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1C" w:rsidRPr="00D4795B" w:rsidRDefault="002C5C1C">
      <w:pPr>
        <w:pStyle w:val="Title"/>
        <w:rPr>
          <w:rFonts w:ascii="Arial" w:hAnsi="Arial" w:cs="Arial"/>
          <w:lang w:val="ro-RO"/>
        </w:rPr>
      </w:pPr>
      <w:r w:rsidRPr="00D4795B">
        <w:rPr>
          <w:rFonts w:ascii="Arial" w:hAnsi="Arial" w:cs="Arial"/>
          <w:lang w:val="ro-RO"/>
        </w:rPr>
        <w:t xml:space="preserve">CAPITOLUL </w:t>
      </w:r>
      <w:r w:rsidR="00FB5BE5">
        <w:rPr>
          <w:rFonts w:ascii="Arial" w:hAnsi="Arial" w:cs="Arial"/>
          <w:lang w:val="ro-RO"/>
        </w:rPr>
        <w:t>i</w:t>
      </w:r>
      <w:r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Scopul principal a fost acela de a  dezvolta o strategie completă şi unitară, cu stabilirea obiectivelor privind calitatea aerului pe termen lung. Implementarea obiectivelor strategice în domeniul protecţiei atmosferei, cuprinse în legislaţia europeană şi transpuse în legislaţia naţională, precum şi a obligaţiilor ce decurg în convenţiile şi tratatele internaţionale </w:t>
      </w:r>
      <w:smartTag w:uri="urn:schemas-microsoft-com:office:smarttags" w:element="PersonName">
        <w:smartTagPr>
          <w:attr w:name="ProductID" w:val="la care Rom￢nia"/>
        </w:smartTagPr>
        <w:r w:rsidRPr="00D4795B">
          <w:rPr>
            <w:rFonts w:ascii="Arial" w:hAnsi="Arial" w:cs="Arial"/>
            <w:sz w:val="24"/>
            <w:szCs w:val="24"/>
            <w:lang w:val="ro-RO"/>
          </w:rPr>
          <w:t>la care România</w:t>
        </w:r>
      </w:smartTag>
      <w:r w:rsidRPr="00D4795B">
        <w:rPr>
          <w:rFonts w:ascii="Arial" w:hAnsi="Arial" w:cs="Arial"/>
          <w:sz w:val="24"/>
          <w:szCs w:val="24"/>
          <w:lang w:val="ro-RO"/>
        </w:rPr>
        <w:t xml:space="preserve"> este parte, au implicat şi implică în continuare eforturi instituţionale şi financiare. La nivel naţional,</w:t>
      </w:r>
      <w:r w:rsidR="005161D0">
        <w:rPr>
          <w:rFonts w:ascii="Arial" w:hAnsi="Arial" w:cs="Arial"/>
          <w:sz w:val="24"/>
          <w:szCs w:val="24"/>
          <w:lang w:val="ro-RO"/>
        </w:rPr>
        <w:t xml:space="preserve"> </w:t>
      </w:r>
      <w:r w:rsidRPr="00D4795B">
        <w:rPr>
          <w:rFonts w:ascii="Arial" w:hAnsi="Arial" w:cs="Arial"/>
          <w:sz w:val="24"/>
          <w:szCs w:val="24"/>
          <w:lang w:val="ro-RO"/>
        </w:rPr>
        <w:t>principalele linii</w:t>
      </w:r>
      <w:r w:rsidR="00DD20C5" w:rsidRPr="00D4795B">
        <w:rPr>
          <w:rFonts w:ascii="Arial" w:hAnsi="Arial" w:cs="Arial"/>
          <w:sz w:val="24"/>
          <w:szCs w:val="24"/>
          <w:lang w:val="ro-RO"/>
        </w:rPr>
        <w:t xml:space="preserve"> st</w:t>
      </w:r>
      <w:r w:rsidR="000037BC">
        <w:rPr>
          <w:rFonts w:ascii="Arial" w:hAnsi="Arial" w:cs="Arial"/>
          <w:sz w:val="24"/>
          <w:szCs w:val="24"/>
          <w:lang w:val="ro-RO"/>
        </w:rPr>
        <w:t xml:space="preserve">rategice pentru perioada </w:t>
      </w:r>
      <w:r w:rsidR="00DD20C5" w:rsidRPr="00D4795B">
        <w:rPr>
          <w:rFonts w:ascii="Arial" w:hAnsi="Arial" w:cs="Arial"/>
          <w:sz w:val="24"/>
          <w:szCs w:val="24"/>
          <w:lang w:val="ro-RO"/>
        </w:rPr>
        <w:t xml:space="preserve">2013 </w:t>
      </w:r>
      <w:r w:rsidR="000037BC">
        <w:rPr>
          <w:rFonts w:ascii="Arial" w:hAnsi="Arial" w:cs="Arial"/>
          <w:sz w:val="24"/>
          <w:szCs w:val="24"/>
          <w:lang w:val="ro-RO"/>
        </w:rPr>
        <w:t>– 2016 în domeni</w:t>
      </w:r>
      <w:r w:rsidR="00642D57">
        <w:rPr>
          <w:rFonts w:ascii="Arial" w:hAnsi="Arial" w:cs="Arial"/>
          <w:sz w:val="24"/>
          <w:szCs w:val="24"/>
          <w:lang w:val="ro-RO"/>
        </w:rPr>
        <w:t>ile</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și</w:t>
      </w:r>
      <w:r w:rsidR="000037BC" w:rsidRPr="000037BC">
        <w:rPr>
          <w:rFonts w:ascii="Arial" w:hAnsi="Arial" w:cs="Arial"/>
          <w:bCs/>
          <w:color w:val="131313"/>
          <w:sz w:val="24"/>
          <w:szCs w:val="24"/>
          <w:lang w:val="ro-RO"/>
        </w:rPr>
        <w:t xml:space="preserve"> controlul</w:t>
      </w:r>
      <w:r w:rsidR="00642D57">
        <w:rPr>
          <w:rFonts w:ascii="Arial" w:hAnsi="Arial" w:cs="Arial"/>
          <w:bCs/>
          <w:color w:val="131313"/>
          <w:sz w:val="24"/>
          <w:szCs w:val="24"/>
          <w:lang w:val="ro-RO"/>
        </w:rPr>
        <w:t>ui</w:t>
      </w:r>
      <w:r w:rsidR="000037BC" w:rsidRPr="000037BC">
        <w:rPr>
          <w:rFonts w:ascii="Arial" w:hAnsi="Arial" w:cs="Arial"/>
          <w:bCs/>
          <w:color w:val="131313"/>
          <w:sz w:val="24"/>
          <w:szCs w:val="24"/>
          <w:lang w:val="ro-RO"/>
        </w:rPr>
        <w:t xml:space="preserve"> poluării industriale</w:t>
      </w:r>
      <w:r w:rsidR="000037BC" w:rsidRPr="00D4795B">
        <w:rPr>
          <w:rFonts w:ascii="Arial" w:hAnsi="Arial" w:cs="Arial"/>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0037BC" w:rsidRDefault="000037BC" w:rsidP="006E735E">
      <w:pPr>
        <w:pStyle w:val="ListParagraph"/>
        <w:numPr>
          <w:ilvl w:val="0"/>
          <w:numId w:val="33"/>
        </w:numPr>
        <w:jc w:val="both"/>
        <w:rPr>
          <w:rFonts w:ascii="Arial" w:hAnsi="Arial" w:cs="Arial"/>
          <w:color w:val="131313"/>
          <w:sz w:val="24"/>
          <w:szCs w:val="24"/>
          <w:lang w:val="ro-RO"/>
        </w:rPr>
      </w:pPr>
      <w:r w:rsidRPr="000037BC">
        <w:rPr>
          <w:rFonts w:ascii="Arial" w:hAnsi="Arial" w:cs="Arial"/>
          <w:color w:val="131313"/>
          <w:sz w:val="24"/>
          <w:szCs w:val="24"/>
          <w:lang w:val="ro-RO"/>
        </w:rPr>
        <w:t>Îmbunătăţirea şi extinderea sistemului naţional de monitorizare a calităţii aerului;</w:t>
      </w:r>
    </w:p>
    <w:p w:rsidR="000037BC" w:rsidRDefault="000037BC" w:rsidP="006E735E">
      <w:pPr>
        <w:pStyle w:val="ListParagraph"/>
        <w:numPr>
          <w:ilvl w:val="0"/>
          <w:numId w:val="33"/>
        </w:numPr>
        <w:jc w:val="both"/>
        <w:rPr>
          <w:rFonts w:ascii="Arial" w:hAnsi="Arial" w:cs="Arial"/>
          <w:color w:val="131313"/>
          <w:sz w:val="24"/>
          <w:szCs w:val="24"/>
          <w:lang w:val="ro-RO"/>
        </w:rPr>
      </w:pPr>
      <w:r w:rsidRPr="000037BC">
        <w:rPr>
          <w:rFonts w:ascii="Arial" w:hAnsi="Arial" w:cs="Arial"/>
          <w:color w:val="131313"/>
          <w:sz w:val="24"/>
          <w:szCs w:val="24"/>
          <w:lang w:val="ro-RO"/>
        </w:rPr>
        <w:t>Reducerea nivelului de zgomot şi vibraţii în zonele rezidenţiale;</w:t>
      </w:r>
    </w:p>
    <w:p w:rsidR="000037BC" w:rsidRPr="000037BC" w:rsidRDefault="000037BC" w:rsidP="006E735E">
      <w:pPr>
        <w:pStyle w:val="ListParagraph"/>
        <w:numPr>
          <w:ilvl w:val="0"/>
          <w:numId w:val="33"/>
        </w:numPr>
        <w:jc w:val="both"/>
        <w:rPr>
          <w:rFonts w:ascii="Arial" w:hAnsi="Arial" w:cs="Arial"/>
          <w:color w:val="131313"/>
          <w:sz w:val="24"/>
          <w:szCs w:val="24"/>
          <w:lang w:val="ro-RO"/>
        </w:rPr>
      </w:pPr>
      <w:r w:rsidRPr="000037BC">
        <w:rPr>
          <w:rFonts w:ascii="Arial" w:hAnsi="Arial" w:cs="Arial"/>
          <w:bCs/>
          <w:color w:val="131313"/>
          <w:sz w:val="24"/>
          <w:szCs w:val="24"/>
          <w:lang w:val="ro-RO"/>
        </w:rPr>
        <w:t>Prevenirea şi controlul poluării industriale prin:</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asigurarea investiţiilor necesare pentru îndeplinirea angajamentelor stabilite în Tratatul de Aderare a României la UE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adoptarea de către industrie a celor mai bune tehnici disponibile în temeiul Directivei privind emisiile industriale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Intensificarea controlului aplicării legislaţiei în domeniu</w:t>
      </w:r>
    </w:p>
    <w:p w:rsidR="000037BC" w:rsidRP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Imbunatatirea sistemului de prognoza, avertizare si informarea populatiei precum si capacitaea de raspuns in caz de accidente: radiologic, chimic, inclusiv in context transfrontier.</w:t>
      </w:r>
    </w:p>
    <w:p w:rsidR="00DD20C5" w:rsidRPr="00D4795B" w:rsidRDefault="00DD20C5" w:rsidP="00807540">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5C1847"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w:t>
      </w:r>
    </w:p>
    <w:p w:rsidR="005C1847" w:rsidRPr="00D4795B" w:rsidRDefault="005C1847"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807540">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regenereze economia pe baza </w:t>
      </w:r>
      <w:r w:rsidRPr="00D4795B">
        <w:rPr>
          <w:rFonts w:ascii="Arial" w:hAnsi="Arial" w:cs="Arial"/>
          <w:sz w:val="24"/>
          <w:szCs w:val="24"/>
          <w:lang w:val="ro-RO" w:eastAsia="en-US"/>
        </w:rPr>
        <w:lastRenderedPageBreak/>
        <w:t>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807540">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644EA4">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FB5BE5">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Default="00FB5BE5" w:rsidP="00807540">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Poluanţii monitorizaţi prin intermediul acestora sunt: SO2,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xml:space="preserve">, pulberi (PM10). De asemenea, în scopul interpretării datelor privind calitatea </w:t>
      </w:r>
      <w:r w:rsidRPr="00FB5BE5">
        <w:rPr>
          <w:rFonts w:ascii="Arial" w:hAnsi="Arial" w:cs="Arial"/>
          <w:sz w:val="24"/>
          <w:szCs w:val="24"/>
          <w:lang w:val="ro-RO" w:eastAsia="en-US"/>
        </w:rPr>
        <w:lastRenderedPageBreak/>
        <w:t>aerului, sunt monitorizaţi şi o serie de parametrii meteorologici: temperatura, precipitaţii, direcţia şi viteza vântului, umiditatea relativă, presiunea, radiaţia solară. Complementar celor trei staţii, APM Gorj deţine  echipamente de laborator utilizate pentru măsurarea concentraţiilor de plumb şi alte metale grele, precum şi pentru determinarea prin metoda gravimetrică a concentraţiilor de pulberi (PM10).</w:t>
      </w:r>
    </w:p>
    <w:p w:rsidR="004E4E47" w:rsidRDefault="004E4E47" w:rsidP="00AB7614">
      <w:pPr>
        <w:autoSpaceDE w:val="0"/>
        <w:autoSpaceDN w:val="0"/>
        <w:adjustRightInd w:val="0"/>
        <w:ind w:firstLine="720"/>
        <w:jc w:val="both"/>
        <w:rPr>
          <w:rFonts w:ascii="Arial" w:hAnsi="Arial" w:cs="Arial"/>
          <w:sz w:val="24"/>
          <w:szCs w:val="24"/>
          <w:lang w:val="ro-RO" w:eastAsia="en-US"/>
        </w:rPr>
      </w:pP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Default="002F2646" w:rsidP="00EA05EB">
      <w:pPr>
        <w:autoSpaceDE w:val="0"/>
        <w:autoSpaceDN w:val="0"/>
        <w:adjustRightInd w:val="0"/>
        <w:jc w:val="both"/>
        <w:rPr>
          <w:rFonts w:ascii="Arial" w:hAnsi="Arial" w:cs="Arial"/>
          <w:sz w:val="24"/>
          <w:szCs w:val="24"/>
          <w:lang w:val="ro-RO" w:eastAsia="en-US"/>
        </w:rPr>
      </w:pPr>
      <w:r w:rsidRPr="002F2646">
        <w:rPr>
          <w:rFonts w:ascii="Arial" w:hAnsi="Arial" w:cs="Arial"/>
          <w:sz w:val="24"/>
          <w:szCs w:val="24"/>
          <w:lang w:val="ro-RO" w:eastAsia="en-US"/>
        </w:rPr>
        <w:t xml:space="preserve">În tabelul </w:t>
      </w:r>
      <w:r w:rsidR="009656EF">
        <w:rPr>
          <w:rFonts w:ascii="Arial" w:hAnsi="Arial" w:cs="Arial"/>
          <w:sz w:val="24"/>
          <w:szCs w:val="24"/>
          <w:lang w:val="ro-RO" w:eastAsia="en-US"/>
        </w:rPr>
        <w:t>I.</w:t>
      </w:r>
      <w:r>
        <w:rPr>
          <w:rFonts w:ascii="Arial" w:hAnsi="Arial" w:cs="Arial"/>
          <w:sz w:val="24"/>
          <w:szCs w:val="24"/>
          <w:lang w:val="ro-RO" w:eastAsia="en-US"/>
        </w:rPr>
        <w:t>1</w:t>
      </w:r>
      <w:r w:rsidR="009656EF">
        <w:rPr>
          <w:rFonts w:ascii="Arial" w:hAnsi="Arial" w:cs="Arial"/>
          <w:sz w:val="24"/>
          <w:szCs w:val="24"/>
          <w:lang w:val="ro-RO" w:eastAsia="en-US"/>
        </w:rPr>
        <w:t>.</w:t>
      </w:r>
      <w:r w:rsidRPr="002F2646">
        <w:rPr>
          <w:rFonts w:ascii="Arial" w:hAnsi="Arial" w:cs="Arial"/>
          <w:sz w:val="24"/>
          <w:szCs w:val="24"/>
          <w:lang w:val="ro-RO" w:eastAsia="en-US"/>
        </w:rPr>
        <w:t xml:space="preserve"> se prezintă situaţia centralizata a datelor de calitate a aerului pentru staţiile automate de monitorizare din judeţul Gorj, în anul 2015:</w:t>
      </w:r>
    </w:p>
    <w:p w:rsidR="002F2646" w:rsidRPr="009656EF"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40"/>
        <w:gridCol w:w="851"/>
        <w:gridCol w:w="862"/>
        <w:gridCol w:w="2400"/>
        <w:gridCol w:w="1701"/>
        <w:gridCol w:w="957"/>
      </w:tblGrid>
      <w:tr w:rsidR="002F2646" w:rsidRPr="002F2646" w:rsidTr="002F2646">
        <w:trPr>
          <w:trHeight w:val="313"/>
        </w:trPr>
        <w:tc>
          <w:tcPr>
            <w:tcW w:w="5000" w:type="pct"/>
            <w:gridSpan w:val="7"/>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Tabel sinteza. Perioada: 2015</w:t>
            </w:r>
          </w:p>
        </w:tc>
      </w:tr>
      <w:tr w:rsidR="002F2646" w:rsidRPr="002F2646" w:rsidTr="002F2646">
        <w:trPr>
          <w:trHeight w:val="528"/>
        </w:trPr>
        <w:tc>
          <w:tcPr>
            <w:tcW w:w="418"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staţie</w:t>
            </w:r>
          </w:p>
        </w:tc>
        <w:tc>
          <w:tcPr>
            <w:tcW w:w="937"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poluant</w:t>
            </w:r>
          </w:p>
        </w:tc>
        <w:tc>
          <w:tcPr>
            <w:tcW w:w="458" w:type="pct"/>
            <w:shd w:val="clear" w:color="auto" w:fill="FFCC99"/>
            <w:vAlign w:val="center"/>
          </w:tcPr>
          <w:p w:rsidR="002F2646" w:rsidRPr="002F2646" w:rsidRDefault="002F2646" w:rsidP="002F2646">
            <w:pP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media anuala</w:t>
            </w:r>
          </w:p>
        </w:tc>
        <w:tc>
          <w:tcPr>
            <w:tcW w:w="464"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unitate măsura</w:t>
            </w:r>
          </w:p>
        </w:tc>
        <w:tc>
          <w:tcPr>
            <w:tcW w:w="1292"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 xml:space="preserve">tip depăşire </w:t>
            </w:r>
          </w:p>
        </w:tc>
        <w:tc>
          <w:tcPr>
            <w:tcW w:w="916"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 xml:space="preserve">nr. depăşiri </w:t>
            </w:r>
          </w:p>
        </w:tc>
        <w:tc>
          <w:tcPr>
            <w:tcW w:w="515" w:type="pct"/>
            <w:shd w:val="clear" w:color="auto" w:fill="FFCC99"/>
            <w:vAlign w:val="center"/>
          </w:tcPr>
          <w:p w:rsidR="002F2646" w:rsidRPr="002F2646" w:rsidRDefault="002F2646" w:rsidP="002F2646">
            <w:pPr>
              <w:jc w:val="center"/>
              <w:rPr>
                <w:rFonts w:ascii="Arial" w:eastAsia="MS Mincho" w:hAnsi="Arial" w:cs="Arial"/>
                <w:b/>
                <w:bCs/>
                <w:sz w:val="18"/>
                <w:szCs w:val="18"/>
                <w:lang w:val="ro-RO" w:eastAsia="ja-JP"/>
              </w:rPr>
            </w:pPr>
            <w:r w:rsidRPr="002F2646">
              <w:rPr>
                <w:rFonts w:ascii="Arial" w:eastAsia="MS Mincho" w:hAnsi="Arial" w:cs="Arial"/>
                <w:b/>
                <w:bCs/>
                <w:sz w:val="18"/>
                <w:szCs w:val="18"/>
                <w:lang w:val="ro-RO" w:eastAsia="ja-JP"/>
              </w:rPr>
              <w:t xml:space="preserve">captura de date (%) </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SO2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 dep VL 24ore</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63,4</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NO2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7,21</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80,2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CO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0,48</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mg/m3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80,2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ozon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64,3</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PM10 gravimetric</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14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51,2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PM10 automat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10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31,7</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Pb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bottom"/>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51,2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As</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bottom"/>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51,2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Cd</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bottom"/>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51,2</w:t>
            </w:r>
          </w:p>
        </w:tc>
      </w:tr>
      <w:tr w:rsidR="002F2646" w:rsidRPr="002F2646" w:rsidTr="002F2646">
        <w:trPr>
          <w:trHeight w:val="255"/>
        </w:trPr>
        <w:tc>
          <w:tcPr>
            <w:tcW w:w="418" w:type="pct"/>
            <w:shd w:val="clear" w:color="auto" w:fill="auto"/>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GJ-1</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Ni</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bottom"/>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51,2</w:t>
            </w:r>
          </w:p>
        </w:tc>
      </w:tr>
      <w:tr w:rsidR="002F2646" w:rsidRPr="002F2646" w:rsidTr="002F2646">
        <w:trPr>
          <w:trHeight w:val="181"/>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SO2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 dep VL 24ore</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2 dep VL ora</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61,2</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NO2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62,1</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CO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mg/m3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62,4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ozon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60,8</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PM10 gravimetric</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28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60,5</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PM10 automat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29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61,0</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Pb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48,4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As</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48,4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Cd</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48,4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GJ-2</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Ni</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42,1</w:t>
            </w:r>
          </w:p>
        </w:tc>
      </w:tr>
      <w:tr w:rsidR="002F2646" w:rsidRPr="002F2646" w:rsidTr="002F2646">
        <w:trPr>
          <w:trHeight w:val="252"/>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SO2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 dep VL 24ore</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5 dep VL ora</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51,8</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NO2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ora</w:t>
            </w:r>
          </w:p>
        </w:tc>
        <w:tc>
          <w:tcPr>
            <w:tcW w:w="916"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50,2</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CO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mg/m3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50,3</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PM10 gravimetric</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15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51,5</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PM10 automat </w:t>
            </w:r>
          </w:p>
        </w:tc>
        <w:tc>
          <w:tcPr>
            <w:tcW w:w="458"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µg/m3</w:t>
            </w:r>
          </w:p>
        </w:tc>
        <w:tc>
          <w:tcPr>
            <w:tcW w:w="1292"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dep VL 24ore</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9 dep VL 24 ore</w:t>
            </w:r>
          </w:p>
        </w:tc>
        <w:tc>
          <w:tcPr>
            <w:tcW w:w="515" w:type="pct"/>
            <w:shd w:val="clear" w:color="auto" w:fill="auto"/>
            <w:noWrap/>
            <w:vAlign w:val="center"/>
          </w:tcPr>
          <w:p w:rsidR="002F2646" w:rsidRPr="002F2646" w:rsidRDefault="002F2646" w:rsidP="002F2646">
            <w:pPr>
              <w:autoSpaceDE w:val="0"/>
              <w:autoSpaceDN w:val="0"/>
              <w:adjustRightInd w:val="0"/>
              <w:jc w:val="center"/>
              <w:rPr>
                <w:rFonts w:ascii="Arial" w:eastAsia="MS Mincho" w:hAnsi="Arial" w:cs="Arial"/>
                <w:sz w:val="18"/>
                <w:szCs w:val="18"/>
                <w:lang w:eastAsia="ja-JP"/>
              </w:rPr>
            </w:pPr>
            <w:r w:rsidRPr="002F2646">
              <w:rPr>
                <w:rFonts w:ascii="Arial" w:eastAsia="MS Mincho" w:hAnsi="Arial" w:cs="Arial"/>
                <w:sz w:val="18"/>
                <w:szCs w:val="18"/>
                <w:lang w:eastAsia="ja-JP"/>
              </w:rPr>
              <w:t>50,6</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 xml:space="preserve">Pb </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39,4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As</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39,4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Cd</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39,4</w:t>
            </w:r>
          </w:p>
        </w:tc>
      </w:tr>
      <w:tr w:rsidR="002F2646" w:rsidRPr="002F2646" w:rsidTr="002F2646">
        <w:trPr>
          <w:trHeight w:val="255"/>
        </w:trPr>
        <w:tc>
          <w:tcPr>
            <w:tcW w:w="418" w:type="pct"/>
            <w:shd w:val="clear" w:color="auto" w:fill="auto"/>
            <w:vAlign w:val="center"/>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GJ-3</w:t>
            </w:r>
          </w:p>
        </w:tc>
        <w:tc>
          <w:tcPr>
            <w:tcW w:w="937" w:type="pct"/>
            <w:shd w:val="clear" w:color="auto" w:fill="auto"/>
            <w:noWrap/>
            <w:vAlign w:val="bottom"/>
          </w:tcPr>
          <w:p w:rsidR="002F2646" w:rsidRPr="002F2646" w:rsidRDefault="002F2646" w:rsidP="002F2646">
            <w:pPr>
              <w:rPr>
                <w:rFonts w:ascii="Arial" w:eastAsia="MS Mincho" w:hAnsi="Arial" w:cs="Arial"/>
                <w:sz w:val="18"/>
                <w:szCs w:val="18"/>
                <w:lang w:val="ro-RO" w:eastAsia="ja-JP"/>
              </w:rPr>
            </w:pPr>
            <w:r w:rsidRPr="002F2646">
              <w:rPr>
                <w:rFonts w:ascii="Arial" w:eastAsia="MS Mincho" w:hAnsi="Arial" w:cs="Arial"/>
                <w:sz w:val="18"/>
                <w:szCs w:val="18"/>
                <w:lang w:val="ro-RO" w:eastAsia="ja-JP"/>
              </w:rPr>
              <w:t>Ni</w:t>
            </w:r>
          </w:p>
        </w:tc>
        <w:tc>
          <w:tcPr>
            <w:tcW w:w="458"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464" w:type="pct"/>
            <w:shd w:val="clear" w:color="auto" w:fill="auto"/>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ng/m3</w:t>
            </w:r>
          </w:p>
        </w:tc>
        <w:tc>
          <w:tcPr>
            <w:tcW w:w="1292"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w:t>
            </w:r>
          </w:p>
        </w:tc>
        <w:tc>
          <w:tcPr>
            <w:tcW w:w="916" w:type="pct"/>
            <w:shd w:val="clear" w:color="auto" w:fill="auto"/>
            <w:noWrap/>
            <w:vAlign w:val="center"/>
          </w:tcPr>
          <w:p w:rsidR="002F2646" w:rsidRPr="002F2646" w:rsidRDefault="002F2646" w:rsidP="002F2646">
            <w:pPr>
              <w:jc w:val="center"/>
              <w:rPr>
                <w:rFonts w:ascii="Arial" w:eastAsia="MS Mincho" w:hAnsi="Arial" w:cs="Arial"/>
                <w:sz w:val="18"/>
                <w:szCs w:val="18"/>
                <w:lang w:val="ro-RO" w:eastAsia="ja-JP"/>
              </w:rPr>
            </w:pPr>
            <w:r w:rsidRPr="002F2646">
              <w:rPr>
                <w:rFonts w:ascii="Arial" w:eastAsia="MS Mincho" w:hAnsi="Arial" w:cs="Arial"/>
                <w:sz w:val="18"/>
                <w:szCs w:val="18"/>
                <w:lang w:val="ro-RO" w:eastAsia="ja-JP"/>
              </w:rPr>
              <w:t>0</w:t>
            </w:r>
          </w:p>
        </w:tc>
        <w:tc>
          <w:tcPr>
            <w:tcW w:w="515" w:type="pct"/>
            <w:shd w:val="clear" w:color="auto" w:fill="auto"/>
            <w:noWrap/>
          </w:tcPr>
          <w:p w:rsidR="002F2646" w:rsidRPr="002F2646" w:rsidRDefault="002F2646" w:rsidP="002F2646">
            <w:pPr>
              <w:jc w:val="center"/>
              <w:rPr>
                <w:rFonts w:ascii="Arial" w:eastAsia="MS Mincho" w:hAnsi="Arial" w:cs="Arial"/>
                <w:sz w:val="18"/>
                <w:szCs w:val="18"/>
                <w:lang w:eastAsia="ja-JP"/>
              </w:rPr>
            </w:pPr>
            <w:r w:rsidRPr="002F2646">
              <w:rPr>
                <w:rFonts w:ascii="Arial" w:eastAsia="MS Mincho" w:hAnsi="Arial" w:cs="Arial"/>
                <w:sz w:val="18"/>
                <w:szCs w:val="18"/>
                <w:lang w:eastAsia="ja-JP"/>
              </w:rPr>
              <w:t>39,4</w:t>
            </w:r>
          </w:p>
        </w:tc>
      </w:tr>
    </w:tbl>
    <w:p w:rsidR="002F2646" w:rsidRDefault="002F2646" w:rsidP="002F2646">
      <w:pPr>
        <w:autoSpaceDE w:val="0"/>
        <w:autoSpaceDN w:val="0"/>
        <w:adjustRightInd w:val="0"/>
        <w:ind w:firstLine="720"/>
        <w:jc w:val="both"/>
        <w:rPr>
          <w:rFonts w:ascii="Arial" w:eastAsia="MS Mincho" w:hAnsi="Arial" w:cs="Arial"/>
          <w:lang w:val="ro-RO" w:eastAsia="ja-JP"/>
        </w:rPr>
      </w:pPr>
      <w:r w:rsidRPr="002F2646">
        <w:rPr>
          <w:rFonts w:ascii="Arial" w:eastAsia="MS Mincho" w:hAnsi="Arial" w:cs="Arial"/>
          <w:lang w:val="ro-RO" w:eastAsia="ja-JP"/>
        </w:rPr>
        <w:t xml:space="preserve">*Nota: nu este îndeplinit criteriul privind proporţia necesara de date valide pentru calculul mediei anuale. </w:t>
      </w:r>
    </w:p>
    <w:p w:rsidR="00745EF8" w:rsidRPr="00DF4B1A" w:rsidRDefault="00745EF8" w:rsidP="00745EF8">
      <w:pPr>
        <w:widowControl w:val="0"/>
        <w:ind w:firstLine="720"/>
        <w:jc w:val="both"/>
        <w:rPr>
          <w:rFonts w:ascii="Arial" w:hAnsi="Arial" w:cs="Arial"/>
          <w:i/>
          <w:sz w:val="12"/>
          <w:szCs w:val="12"/>
          <w:lang w:val="ro-RO"/>
        </w:rPr>
      </w:pPr>
    </w:p>
    <w:p w:rsidR="002F2646" w:rsidRPr="00EF1F8E" w:rsidRDefault="00957204" w:rsidP="002F2646">
      <w:pPr>
        <w:autoSpaceDE w:val="0"/>
        <w:autoSpaceDN w:val="0"/>
        <w:adjustRightInd w:val="0"/>
        <w:ind w:firstLine="720"/>
        <w:jc w:val="both"/>
        <w:rPr>
          <w:rFonts w:ascii="Arial" w:hAnsi="Arial" w:cs="Arial"/>
          <w:i/>
          <w:sz w:val="24"/>
          <w:szCs w:val="24"/>
          <w:lang w:val="ro-RO" w:eastAsia="en-US"/>
        </w:rPr>
      </w:pPr>
      <w:r w:rsidRPr="00EF1F8E">
        <w:rPr>
          <w:rFonts w:ascii="Arial" w:hAnsi="Arial" w:cs="Arial"/>
          <w:i/>
          <w:sz w:val="24"/>
          <w:szCs w:val="24"/>
          <w:lang w:val="ro-RO" w:eastAsia="en-US"/>
        </w:rPr>
        <w:t>În anul 2015, da</w:t>
      </w:r>
      <w:r w:rsidR="00EF1F8E">
        <w:rPr>
          <w:rFonts w:ascii="Arial" w:hAnsi="Arial" w:cs="Arial"/>
          <w:i/>
          <w:sz w:val="24"/>
          <w:szCs w:val="24"/>
          <w:lang w:val="ro-RO" w:eastAsia="en-US"/>
        </w:rPr>
        <w:t>torită unor defecţiuni</w:t>
      </w:r>
      <w:r w:rsidRPr="00EF1F8E">
        <w:rPr>
          <w:rFonts w:ascii="Arial" w:hAnsi="Arial" w:cs="Arial"/>
          <w:i/>
          <w:sz w:val="24"/>
          <w:szCs w:val="24"/>
          <w:lang w:val="ro-RO" w:eastAsia="en-US"/>
        </w:rPr>
        <w:t xml:space="preserve"> apărute la echipamentele de monitorizare din cadrul staţiilor automate , au fost respectate criteriile de calitate a datelor, respectiv o captură de date de minim 75 %</w:t>
      </w:r>
      <w:r w:rsidR="004E4E47">
        <w:rPr>
          <w:rFonts w:ascii="Arial" w:hAnsi="Arial" w:cs="Arial"/>
          <w:i/>
          <w:sz w:val="24"/>
          <w:szCs w:val="24"/>
          <w:lang w:val="ro-RO" w:eastAsia="en-US"/>
        </w:rPr>
        <w:t>,</w:t>
      </w:r>
      <w:r w:rsidRPr="00EF1F8E">
        <w:rPr>
          <w:rFonts w:ascii="Arial" w:hAnsi="Arial" w:cs="Arial"/>
          <w:i/>
          <w:sz w:val="24"/>
          <w:szCs w:val="24"/>
          <w:lang w:val="ro-RO" w:eastAsia="en-US"/>
        </w:rPr>
        <w:t xml:space="preserve"> numai pentru poluanţii NO2 şi CO de la staţia GJ 1. După cum se poate observa, pentru restul poluanţilor monitorizaţi la staţia GJ 1 şi pentru toţi poluanţii monitorizaţi  la stațiile GJ-2 Rovinari și GJ-3 Turceni în anul 2015</w:t>
      </w:r>
      <w:r w:rsidR="00F608E9" w:rsidRPr="00EF1F8E">
        <w:rPr>
          <w:rFonts w:ascii="Arial" w:hAnsi="Arial" w:cs="Arial"/>
          <w:i/>
          <w:sz w:val="24"/>
          <w:szCs w:val="24"/>
          <w:lang w:val="ro-RO" w:eastAsia="en-US"/>
        </w:rPr>
        <w:t>,</w:t>
      </w:r>
      <w:r w:rsidRPr="00EF1F8E">
        <w:rPr>
          <w:rFonts w:ascii="Arial" w:hAnsi="Arial" w:cs="Arial"/>
          <w:i/>
          <w:sz w:val="24"/>
          <w:szCs w:val="24"/>
          <w:lang w:val="ro-RO" w:eastAsia="en-US"/>
        </w:rPr>
        <w:t xml:space="preserve"> datele colectate sunt insuficiente pentru a respecta</w:t>
      </w:r>
      <w:r w:rsidRPr="00EF1F8E">
        <w:rPr>
          <w:rFonts w:ascii="Arial" w:hAnsi="Arial" w:cs="Arial"/>
          <w:sz w:val="24"/>
          <w:szCs w:val="24"/>
          <w:lang w:val="ro-RO" w:eastAsia="en-US"/>
        </w:rPr>
        <w:t xml:space="preserve"> </w:t>
      </w:r>
      <w:r w:rsidRPr="00EF1F8E">
        <w:rPr>
          <w:rFonts w:ascii="Arial" w:hAnsi="Arial" w:cs="Arial"/>
          <w:i/>
          <w:sz w:val="24"/>
          <w:szCs w:val="24"/>
          <w:lang w:val="ro-RO" w:eastAsia="en-US"/>
        </w:rPr>
        <w:t xml:space="preserve">criteriile de calitate </w:t>
      </w:r>
      <w:r w:rsidR="00F608E9" w:rsidRPr="00EF1F8E">
        <w:rPr>
          <w:rFonts w:ascii="Arial" w:hAnsi="Arial" w:cs="Arial"/>
          <w:i/>
          <w:sz w:val="24"/>
          <w:szCs w:val="24"/>
          <w:lang w:val="ro-RO" w:eastAsia="en-US"/>
        </w:rPr>
        <w:t xml:space="preserve">referitoare la captura de  date, </w:t>
      </w:r>
      <w:r w:rsidRPr="00EF1F8E">
        <w:rPr>
          <w:rFonts w:ascii="Arial" w:hAnsi="Arial" w:cs="Arial"/>
          <w:i/>
          <w:sz w:val="24"/>
          <w:szCs w:val="24"/>
          <w:lang w:val="ro-RO" w:eastAsia="en-US"/>
        </w:rPr>
        <w:t>conform Legii 104/2011</w:t>
      </w:r>
      <w:r w:rsidR="00F608E9" w:rsidRPr="00EF1F8E">
        <w:rPr>
          <w:rFonts w:ascii="Arial" w:hAnsi="Arial" w:cs="Arial"/>
          <w:i/>
          <w:sz w:val="24"/>
          <w:szCs w:val="24"/>
          <w:lang w:val="ro-RO" w:eastAsia="en-US"/>
        </w:rPr>
        <w:t>, Anexa nr.4 – Obiective de calitate a datelor.</w:t>
      </w:r>
    </w:p>
    <w:p w:rsidR="00745EF8" w:rsidRPr="004E4E47" w:rsidRDefault="00745EF8" w:rsidP="00745EF8">
      <w:pPr>
        <w:widowControl w:val="0"/>
        <w:ind w:firstLine="720"/>
        <w:jc w:val="both"/>
        <w:rPr>
          <w:rFonts w:ascii="Arial" w:hAnsi="Arial" w:cs="Arial"/>
          <w:i/>
          <w:sz w:val="24"/>
          <w:szCs w:val="24"/>
          <w:lang w:val="ro-RO"/>
        </w:rPr>
      </w:pPr>
      <w:r w:rsidRPr="00EF1F8E">
        <w:rPr>
          <w:rFonts w:ascii="Arial" w:hAnsi="Arial" w:cs="Arial"/>
          <w:i/>
          <w:sz w:val="24"/>
          <w:szCs w:val="24"/>
          <w:lang w:val="ro-RO"/>
        </w:rPr>
        <w:lastRenderedPageBreak/>
        <w:t>În acest raport sunt prezentate doar datele care respectă criteriile de calitate</w:t>
      </w:r>
      <w:r w:rsidRPr="00745EF8">
        <w:rPr>
          <w:rFonts w:ascii="Arial" w:hAnsi="Arial" w:cs="Arial"/>
          <w:i/>
          <w:sz w:val="24"/>
          <w:szCs w:val="24"/>
          <w:u w:val="single"/>
          <w:lang w:val="ro-RO"/>
        </w:rPr>
        <w:t xml:space="preserve"> </w:t>
      </w:r>
      <w:r w:rsidR="004E4E47">
        <w:rPr>
          <w:rFonts w:ascii="Arial" w:hAnsi="Arial" w:cs="Arial"/>
          <w:i/>
          <w:sz w:val="24"/>
          <w:szCs w:val="24"/>
          <w:lang w:val="ro-RO"/>
        </w:rPr>
        <w:t xml:space="preserve">stipulate de Legea </w:t>
      </w:r>
      <w:r w:rsidRPr="004E4E47">
        <w:rPr>
          <w:rFonts w:ascii="Arial" w:hAnsi="Arial" w:cs="Arial"/>
          <w:i/>
          <w:sz w:val="24"/>
          <w:szCs w:val="24"/>
          <w:lang w:val="ro-RO"/>
        </w:rPr>
        <w:t>nr. 104/2011.</w:t>
      </w:r>
    </w:p>
    <w:p w:rsidR="002F2646" w:rsidRDefault="002F2646" w:rsidP="002F2646">
      <w:pPr>
        <w:autoSpaceDE w:val="0"/>
        <w:autoSpaceDN w:val="0"/>
        <w:adjustRightInd w:val="0"/>
        <w:ind w:firstLine="720"/>
        <w:jc w:val="both"/>
        <w:rPr>
          <w:rFonts w:ascii="Arial" w:eastAsia="MS Mincho" w:hAnsi="Arial" w:cs="Arial"/>
          <w:sz w:val="24"/>
          <w:szCs w:val="24"/>
          <w:lang w:val="ro-RO" w:eastAsia="ja-JP"/>
        </w:rPr>
      </w:pPr>
      <w:r w:rsidRPr="002F2646">
        <w:rPr>
          <w:rFonts w:ascii="Arial" w:eastAsia="MS Mincho" w:hAnsi="Arial" w:cs="Arial"/>
          <w:sz w:val="24"/>
          <w:szCs w:val="24"/>
          <w:lang w:val="ro-RO" w:eastAsia="ja-JP"/>
        </w:rPr>
        <w:t xml:space="preserve">În conformitate cu prevederile </w:t>
      </w:r>
      <w:r w:rsidRPr="002F2646">
        <w:rPr>
          <w:rFonts w:ascii="Arial" w:eastAsia="MS Mincho" w:hAnsi="Arial" w:cs="Arial"/>
          <w:i/>
          <w:iCs/>
          <w:sz w:val="24"/>
          <w:szCs w:val="24"/>
          <w:lang w:val="ro-RO" w:eastAsia="ja-JP"/>
        </w:rPr>
        <w:t>Ordinului M.M.D.D. nr. 1095/2007 pentru aprobarea Normativului privind stabilirea indicilor de calitate a aerului în vederea facilitării informării publicului</w:t>
      </w:r>
      <w:r w:rsidRPr="002F2646">
        <w:rPr>
          <w:rFonts w:ascii="Arial" w:eastAsia="MS Mincho" w:hAnsi="Arial" w:cs="Arial"/>
          <w:sz w:val="24"/>
          <w:szCs w:val="24"/>
          <w:lang w:val="ro-RO" w:eastAsia="ja-JP"/>
        </w:rPr>
        <w:t xml:space="preserve">, calitatea aerului este reprezentată prin indici specifici şi generali de calitate, stabiliţi pe baza valorilor concentraţiilor principalilor </w:t>
      </w:r>
      <w:r w:rsidR="004E4E47">
        <w:rPr>
          <w:rFonts w:ascii="Arial" w:eastAsia="MS Mincho" w:hAnsi="Arial" w:cs="Arial"/>
          <w:sz w:val="24"/>
          <w:szCs w:val="24"/>
          <w:lang w:val="ro-RO" w:eastAsia="ja-JP"/>
        </w:rPr>
        <w:t>poluanţi atmosferici măsuraţi,corespunzători</w:t>
      </w:r>
      <w:r w:rsidRPr="002F2646">
        <w:rPr>
          <w:rFonts w:ascii="Arial" w:eastAsia="MS Mincho" w:hAnsi="Arial" w:cs="Arial"/>
          <w:sz w:val="24"/>
          <w:szCs w:val="24"/>
          <w:lang w:val="ro-RO" w:eastAsia="ja-JP"/>
        </w:rPr>
        <w:t xml:space="preserve"> calificativelor: excelent, foarte bun, bun, mediu, rău, foarte rău, calificative asociate de asemenea unui cod de culori. Indicele general zilnic se stabileşte ca fiind cel mai mare dintre indicii specifici corespunzători poluanţilor monitorizaţi in acea zi.</w:t>
      </w:r>
    </w:p>
    <w:p w:rsidR="00EF1F8E" w:rsidRPr="00DF4B1A" w:rsidRDefault="00EF1F8E" w:rsidP="00EF1F8E">
      <w:pPr>
        <w:widowControl w:val="0"/>
        <w:autoSpaceDE w:val="0"/>
        <w:autoSpaceDN w:val="0"/>
        <w:adjustRightInd w:val="0"/>
        <w:ind w:firstLine="708"/>
        <w:jc w:val="both"/>
        <w:rPr>
          <w:rFonts w:ascii="Arial" w:hAnsi="Arial" w:cs="Arial"/>
          <w:lang w:val="ro-RO"/>
        </w:rPr>
      </w:pPr>
      <w:r w:rsidRPr="002F2646">
        <w:rPr>
          <w:rFonts w:ascii="Arial" w:eastAsia="MS Mincho" w:hAnsi="Arial" w:cs="Arial"/>
          <w:sz w:val="24"/>
          <w:szCs w:val="24"/>
          <w:lang w:val="ro-RO" w:eastAsia="ja-JP"/>
        </w:rPr>
        <w:t xml:space="preserve">Indicii generali şi specifici sunt reprezentaţi prin numere </w:t>
      </w:r>
      <w:r>
        <w:rPr>
          <w:rFonts w:ascii="Arial" w:eastAsia="MS Mincho" w:hAnsi="Arial" w:cs="Arial"/>
          <w:sz w:val="24"/>
          <w:szCs w:val="24"/>
          <w:lang w:val="ro-RO" w:eastAsia="ja-JP"/>
        </w:rPr>
        <w:t>întregi cuprinse între 1 şi 6.</w:t>
      </w:r>
      <w:r>
        <w:rPr>
          <w:rFonts w:ascii="Arial" w:hAnsi="Arial" w:cs="Arial"/>
          <w:sz w:val="24"/>
          <w:szCs w:val="24"/>
          <w:lang w:val="ro-RO"/>
        </w:rPr>
        <w:t>F</w:t>
      </w:r>
      <w:r w:rsidRPr="00DF4B1A">
        <w:rPr>
          <w:rFonts w:ascii="Arial" w:hAnsi="Arial" w:cs="Arial"/>
          <w:sz w:val="24"/>
          <w:szCs w:val="24"/>
          <w:lang w:val="ro-RO"/>
        </w:rPr>
        <w:t>iecare indice</w:t>
      </w:r>
      <w:r>
        <w:rPr>
          <w:rFonts w:ascii="Arial" w:hAnsi="Arial" w:cs="Arial"/>
          <w:sz w:val="24"/>
          <w:szCs w:val="24"/>
          <w:lang w:val="ro-RO"/>
        </w:rPr>
        <w:t xml:space="preserve"> </w:t>
      </w:r>
      <w:r w:rsidRPr="00DF4B1A">
        <w:rPr>
          <w:rFonts w:ascii="Arial" w:hAnsi="Arial" w:cs="Arial"/>
          <w:sz w:val="24"/>
          <w:szCs w:val="24"/>
          <w:lang w:val="ro-RO"/>
        </w:rPr>
        <w:t xml:space="preserve">corespunde unui calificativ, de la excelent la foarte rău, acestora </w:t>
      </w:r>
      <w:r w:rsidR="004E4E47">
        <w:rPr>
          <w:rFonts w:ascii="Arial" w:hAnsi="Arial" w:cs="Arial"/>
          <w:sz w:val="24"/>
          <w:szCs w:val="24"/>
          <w:lang w:val="ro-RO"/>
        </w:rPr>
        <w:t xml:space="preserve">fiindu-le asociat </w:t>
      </w:r>
      <w:r w:rsidRPr="00DF4B1A">
        <w:rPr>
          <w:rFonts w:ascii="Arial" w:hAnsi="Arial" w:cs="Arial"/>
          <w:sz w:val="24"/>
          <w:szCs w:val="24"/>
          <w:lang w:val="ro-RO"/>
        </w:rPr>
        <w:t>cod</w:t>
      </w:r>
      <w:r w:rsidR="004E4E47">
        <w:rPr>
          <w:rFonts w:ascii="Arial" w:hAnsi="Arial" w:cs="Arial"/>
          <w:sz w:val="24"/>
          <w:szCs w:val="24"/>
          <w:lang w:val="ro-RO"/>
        </w:rPr>
        <w:t xml:space="preserve">ul </w:t>
      </w:r>
      <w:r w:rsidRPr="00DF4B1A">
        <w:rPr>
          <w:rFonts w:ascii="Arial" w:hAnsi="Arial" w:cs="Arial"/>
          <w:sz w:val="24"/>
          <w:szCs w:val="24"/>
          <w:lang w:val="ro-RO"/>
        </w:rPr>
        <w:t xml:space="preserve"> de culori</w:t>
      </w:r>
      <w:r w:rsidR="004E4E47">
        <w:rPr>
          <w:rFonts w:ascii="Arial" w:hAnsi="Arial" w:cs="Arial"/>
          <w:sz w:val="24"/>
          <w:szCs w:val="24"/>
          <w:lang w:val="ro-RO"/>
        </w:rPr>
        <w:t xml:space="preserve"> corespunzator</w:t>
      </w:r>
      <w:r w:rsidRPr="00DF4B1A">
        <w:rPr>
          <w:rFonts w:ascii="Arial" w:hAnsi="Arial" w:cs="Arial"/>
          <w:sz w:val="24"/>
          <w:szCs w:val="24"/>
          <w:lang w:val="ro-RO"/>
        </w:rPr>
        <w:t>:</w:t>
      </w:r>
      <w:r w:rsidRPr="00DF4B1A">
        <w:rPr>
          <w:rFonts w:ascii="Arial" w:hAnsi="Arial" w:cs="Arial"/>
          <w:lang w:val="ro-RO"/>
        </w:rPr>
        <w:t xml:space="preserve"> </w:t>
      </w:r>
    </w:p>
    <w:p w:rsidR="00EF1F8E" w:rsidRPr="00DF4B1A" w:rsidRDefault="00EF1F8E" w:rsidP="00EF1F8E">
      <w:pPr>
        <w:widowControl w:val="0"/>
        <w:autoSpaceDE w:val="0"/>
        <w:autoSpaceDN w:val="0"/>
        <w:adjustRightInd w:val="0"/>
        <w:ind w:firstLine="708"/>
        <w:jc w:val="both"/>
        <w:rPr>
          <w:rFonts w:ascii="Arial" w:hAnsi="Arial" w:cs="Arial"/>
          <w:sz w:val="6"/>
          <w:szCs w:val="6"/>
          <w:lang w:val="ro-RO"/>
        </w:rPr>
      </w:pPr>
    </w:p>
    <w:tbl>
      <w:tblPr>
        <w:tblStyle w:val="TableGrid"/>
        <w:tblW w:w="0" w:type="auto"/>
        <w:jc w:val="center"/>
        <w:tblInd w:w="188" w:type="dxa"/>
        <w:tblLook w:val="04A0" w:firstRow="1" w:lastRow="0" w:firstColumn="1" w:lastColumn="0" w:noHBand="0" w:noVBand="1"/>
      </w:tblPr>
      <w:tblGrid>
        <w:gridCol w:w="1763"/>
        <w:gridCol w:w="1992"/>
      </w:tblGrid>
      <w:tr w:rsidR="00EF1F8E" w:rsidRPr="00DF4B1A" w:rsidTr="004E4E47">
        <w:trPr>
          <w:trHeight w:val="206"/>
          <w:jc w:val="center"/>
        </w:trPr>
        <w:tc>
          <w:tcPr>
            <w:tcW w:w="1763" w:type="dxa"/>
            <w:shd w:val="clear" w:color="auto" w:fill="FFFF99"/>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Indice</w:t>
            </w:r>
          </w:p>
        </w:tc>
        <w:tc>
          <w:tcPr>
            <w:tcW w:w="1992" w:type="dxa"/>
            <w:shd w:val="clear" w:color="auto" w:fill="FFFF99"/>
          </w:tcPr>
          <w:p w:rsidR="00EF1F8E" w:rsidRPr="00DF4B1A" w:rsidRDefault="00EF1F8E" w:rsidP="004E4E47">
            <w:pPr>
              <w:widowControl w:val="0"/>
              <w:autoSpaceDE w:val="0"/>
              <w:autoSpaceDN w:val="0"/>
              <w:adjustRightInd w:val="0"/>
              <w:spacing w:before="40" w:after="40"/>
              <w:rPr>
                <w:rFonts w:ascii="Arial" w:hAnsi="Arial" w:cs="Arial"/>
                <w:b/>
                <w:lang w:val="ro-RO"/>
              </w:rPr>
            </w:pPr>
            <w:r w:rsidRPr="00DF4B1A">
              <w:rPr>
                <w:rFonts w:ascii="Arial" w:hAnsi="Arial" w:cs="Arial"/>
                <w:b/>
                <w:lang w:val="ro-RO"/>
              </w:rPr>
              <w:t>Calificativ</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1</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Excelent</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2</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Foarte bun</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3</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Bun</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4</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Mediu</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5</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Rău</w:t>
            </w:r>
          </w:p>
        </w:tc>
      </w:tr>
      <w:tr w:rsidR="00EF1F8E" w:rsidRPr="00DF4B1A" w:rsidTr="004E4E47">
        <w:trPr>
          <w:trHeight w:val="206"/>
          <w:jc w:val="center"/>
        </w:trPr>
        <w:tc>
          <w:tcPr>
            <w:tcW w:w="1763" w:type="dxa"/>
          </w:tcPr>
          <w:p w:rsidR="00EF1F8E" w:rsidRPr="00DF4B1A" w:rsidRDefault="00EF1F8E" w:rsidP="004E4E47">
            <w:pPr>
              <w:widowControl w:val="0"/>
              <w:autoSpaceDE w:val="0"/>
              <w:autoSpaceDN w:val="0"/>
              <w:adjustRightInd w:val="0"/>
              <w:spacing w:before="40" w:after="40"/>
              <w:jc w:val="center"/>
              <w:rPr>
                <w:rFonts w:ascii="Arial" w:hAnsi="Arial" w:cs="Arial"/>
                <w:b/>
                <w:lang w:val="ro-RO"/>
              </w:rPr>
            </w:pPr>
            <w:r w:rsidRPr="00DF4B1A">
              <w:rPr>
                <w:rFonts w:ascii="Arial" w:hAnsi="Arial" w:cs="Arial"/>
                <w:b/>
                <w:lang w:val="ro-RO"/>
              </w:rPr>
              <w:t>6</w:t>
            </w:r>
          </w:p>
        </w:tc>
        <w:tc>
          <w:tcPr>
            <w:tcW w:w="1992" w:type="dxa"/>
          </w:tcPr>
          <w:p w:rsidR="00EF1F8E" w:rsidRPr="00DF4B1A" w:rsidRDefault="00EF1F8E" w:rsidP="004E4E47">
            <w:pPr>
              <w:widowControl w:val="0"/>
              <w:autoSpaceDE w:val="0"/>
              <w:autoSpaceDN w:val="0"/>
              <w:adjustRightInd w:val="0"/>
              <w:spacing w:before="40" w:after="40"/>
              <w:jc w:val="both"/>
              <w:rPr>
                <w:rFonts w:ascii="Arial" w:hAnsi="Arial" w:cs="Arial"/>
                <w:lang w:val="ro-RO"/>
              </w:rPr>
            </w:pPr>
            <w:r w:rsidRPr="00DF4B1A">
              <w:rPr>
                <w:rFonts w:ascii="Arial" w:hAnsi="Arial" w:cs="Arial"/>
                <w:lang w:val="ro-RO"/>
              </w:rPr>
              <w:t>Foarte rău</w:t>
            </w:r>
          </w:p>
        </w:tc>
      </w:tr>
    </w:tbl>
    <w:p w:rsidR="00EF1F8E" w:rsidRPr="00DF4B1A" w:rsidRDefault="00EF1F8E" w:rsidP="00EF1F8E">
      <w:pPr>
        <w:widowControl w:val="0"/>
        <w:autoSpaceDE w:val="0"/>
        <w:autoSpaceDN w:val="0"/>
        <w:adjustRightInd w:val="0"/>
        <w:ind w:firstLine="708"/>
        <w:jc w:val="both"/>
        <w:rPr>
          <w:rFonts w:ascii="Arial" w:hAnsi="Arial" w:cs="Arial"/>
          <w:sz w:val="4"/>
          <w:szCs w:val="4"/>
          <w:lang w:val="ro-RO"/>
        </w:rPr>
      </w:pPr>
    </w:p>
    <w:p w:rsidR="00EF1F8E" w:rsidRPr="00DF4B1A" w:rsidRDefault="00EF1F8E" w:rsidP="00EF1F8E">
      <w:pPr>
        <w:widowControl w:val="0"/>
        <w:autoSpaceDE w:val="0"/>
        <w:autoSpaceDN w:val="0"/>
        <w:adjustRightInd w:val="0"/>
        <w:ind w:firstLine="708"/>
        <w:jc w:val="both"/>
        <w:rPr>
          <w:rFonts w:ascii="Arial" w:hAnsi="Arial" w:cs="Arial"/>
          <w:b/>
          <w:sz w:val="10"/>
          <w:szCs w:val="10"/>
          <w:lang w:val="ro-RO"/>
        </w:rPr>
      </w:pPr>
    </w:p>
    <w:p w:rsidR="00EF1F8E" w:rsidRPr="004E4E47" w:rsidRDefault="00EF1F8E" w:rsidP="00EF1F8E">
      <w:pPr>
        <w:widowControl w:val="0"/>
        <w:autoSpaceDE w:val="0"/>
        <w:autoSpaceDN w:val="0"/>
        <w:adjustRightInd w:val="0"/>
        <w:ind w:firstLine="708"/>
        <w:jc w:val="both"/>
        <w:rPr>
          <w:rFonts w:ascii="Arial" w:hAnsi="Arial" w:cs="Arial"/>
          <w:sz w:val="24"/>
          <w:szCs w:val="24"/>
          <w:lang w:val="ro-RO"/>
        </w:rPr>
      </w:pPr>
      <w:r w:rsidRPr="004E4E47">
        <w:rPr>
          <w:rFonts w:ascii="Arial" w:hAnsi="Arial" w:cs="Arial"/>
          <w:b/>
          <w:sz w:val="24"/>
          <w:szCs w:val="24"/>
          <w:lang w:val="ro-RO"/>
        </w:rPr>
        <w:t>Indicele general zilnic</w:t>
      </w:r>
      <w:r w:rsidRPr="004E4E47">
        <w:rPr>
          <w:rFonts w:ascii="Arial" w:hAnsi="Arial" w:cs="Arial"/>
          <w:sz w:val="24"/>
          <w:szCs w:val="24"/>
          <w:lang w:val="ro-RO"/>
        </w:rPr>
        <w:t xml:space="preserve"> se stabileşte ca fiind </w:t>
      </w:r>
      <w:r w:rsidRPr="004E4E47">
        <w:rPr>
          <w:rFonts w:ascii="Arial" w:hAnsi="Arial" w:cs="Arial"/>
          <w:b/>
          <w:sz w:val="24"/>
          <w:szCs w:val="24"/>
          <w:lang w:val="ro-RO"/>
        </w:rPr>
        <w:t>cel mai mare dintre indicii specifici</w:t>
      </w:r>
      <w:r w:rsidRPr="004E4E47">
        <w:rPr>
          <w:rFonts w:ascii="Arial" w:hAnsi="Arial" w:cs="Arial"/>
          <w:sz w:val="24"/>
          <w:szCs w:val="24"/>
          <w:lang w:val="ro-RO"/>
        </w:rPr>
        <w:t xml:space="preserve"> corespunzători poluanţilor monitorizaţi din acea zi, cu condiţia să fie disponibili </w:t>
      </w:r>
      <w:r w:rsidRPr="004E4E47">
        <w:rPr>
          <w:rFonts w:ascii="Arial" w:hAnsi="Arial" w:cs="Arial"/>
          <w:b/>
          <w:sz w:val="24"/>
          <w:szCs w:val="24"/>
          <w:lang w:val="ro-RO"/>
        </w:rPr>
        <w:t>cel puţin 3 dintre indicii specifici</w:t>
      </w:r>
      <w:r w:rsidRPr="004E4E47">
        <w:rPr>
          <w:rFonts w:ascii="Arial" w:hAnsi="Arial" w:cs="Arial"/>
          <w:sz w:val="24"/>
          <w:szCs w:val="24"/>
          <w:lang w:val="ro-RO"/>
        </w:rPr>
        <w:t xml:space="preserve"> corespunzători poluanţilor monitorizaţi.</w:t>
      </w:r>
    </w:p>
    <w:p w:rsidR="002F2646" w:rsidRPr="004E4E47" w:rsidRDefault="002F2646" w:rsidP="00B95691">
      <w:pPr>
        <w:autoSpaceDE w:val="0"/>
        <w:autoSpaceDN w:val="0"/>
        <w:adjustRightInd w:val="0"/>
        <w:ind w:firstLine="720"/>
        <w:jc w:val="both"/>
        <w:rPr>
          <w:rFonts w:ascii="Arial" w:hAnsi="Arial" w:cs="Arial"/>
          <w:sz w:val="24"/>
          <w:szCs w:val="24"/>
          <w:lang w:val="ro-RO" w:eastAsia="en-US"/>
        </w:rPr>
      </w:pPr>
      <w:r w:rsidRPr="004E4E47">
        <w:rPr>
          <w:rFonts w:ascii="Arial" w:eastAsia="MS Mincho" w:hAnsi="Arial" w:cs="Arial"/>
          <w:sz w:val="24"/>
          <w:szCs w:val="24"/>
          <w:lang w:val="ro-RO" w:eastAsia="ja-JP"/>
        </w:rPr>
        <w:t xml:space="preserve">Indicii de calitatea aerului sunt aduşi la cunoştinţa publicului prin intermediul panourilor de informare exterioare şi a panoului interior, a site-ului naţional www.calitateaer.ro, precum şi prin buletinul zilnic de informare pentru public, disponibil la adresa de web </w:t>
      </w:r>
      <w:r w:rsidR="00957204" w:rsidRPr="004E4E47">
        <w:rPr>
          <w:rFonts w:ascii="Arial" w:hAnsi="Arial" w:cs="Arial"/>
          <w:sz w:val="24"/>
          <w:szCs w:val="24"/>
        </w:rPr>
        <w:fldChar w:fldCharType="begin"/>
      </w:r>
      <w:r w:rsidR="00957204" w:rsidRPr="004E4E47">
        <w:rPr>
          <w:rFonts w:ascii="Arial" w:hAnsi="Arial" w:cs="Arial"/>
          <w:sz w:val="24"/>
          <w:szCs w:val="24"/>
        </w:rPr>
        <w:instrText xml:space="preserve"> HYPERLINK "http://www.anpm.ro/web/apm-gorj/buletine-calitate-aer" </w:instrText>
      </w:r>
      <w:r w:rsidR="00957204" w:rsidRPr="004E4E47">
        <w:rPr>
          <w:rFonts w:ascii="Arial" w:hAnsi="Arial" w:cs="Arial"/>
          <w:sz w:val="24"/>
          <w:szCs w:val="24"/>
        </w:rPr>
        <w:fldChar w:fldCharType="separate"/>
      </w:r>
      <w:r w:rsidRPr="004E4E47">
        <w:rPr>
          <w:rFonts w:ascii="Arial" w:eastAsia="MS Mincho" w:hAnsi="Arial" w:cs="Arial"/>
          <w:sz w:val="24"/>
          <w:szCs w:val="24"/>
          <w:lang w:eastAsia="ja-JP"/>
        </w:rPr>
        <w:t>http://www.anpm.ro/web/apm-gorj/buletine-calitate-aer</w:t>
      </w:r>
      <w:r w:rsidR="00957204" w:rsidRPr="004E4E47">
        <w:rPr>
          <w:rFonts w:ascii="Arial" w:eastAsia="MS Mincho" w:hAnsi="Arial" w:cs="Arial"/>
          <w:sz w:val="24"/>
          <w:szCs w:val="24"/>
          <w:lang w:eastAsia="ja-JP"/>
        </w:rPr>
        <w:fldChar w:fldCharType="end"/>
      </w:r>
      <w:r w:rsidRPr="004E4E47">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I.1.1.1. Nivelul concentrațiilor medii anuale ale poluanților atmosferici în aerul înconjurător</w:t>
      </w:r>
    </w:p>
    <w:p w:rsidR="00EF1F8E" w:rsidRDefault="00EF1F8E"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Pr>
          <w:rFonts w:ascii="Arial" w:hAnsi="Arial" w:cs="Arial"/>
          <w:bCs/>
          <w:noProof/>
          <w:lang w:eastAsia="en-US"/>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53E" w:rsidRPr="000B253E" w:rsidRDefault="000B253E"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Notă: Din motive tehnice datele colectate de la stați</w:t>
      </w:r>
      <w:r w:rsidR="00C71DE4">
        <w:rPr>
          <w:rFonts w:ascii="Arial" w:hAnsi="Arial" w:cs="Arial"/>
          <w:lang w:val="ro-RO" w:eastAsia="en-US"/>
        </w:rPr>
        <w:t>ile</w:t>
      </w:r>
      <w:r w:rsidRPr="000B253E">
        <w:rPr>
          <w:rFonts w:ascii="Arial" w:hAnsi="Arial" w:cs="Arial"/>
          <w:lang w:val="ro-RO" w:eastAsia="en-US"/>
        </w:rPr>
        <w:t xml:space="preserve"> GJ-</w:t>
      </w:r>
      <w:r w:rsidR="00C71DE4">
        <w:rPr>
          <w:rFonts w:ascii="Arial" w:hAnsi="Arial" w:cs="Arial"/>
          <w:lang w:val="ro-RO" w:eastAsia="en-US"/>
        </w:rPr>
        <w:t>2</w:t>
      </w:r>
      <w:r w:rsidRPr="000B253E">
        <w:rPr>
          <w:rFonts w:ascii="Arial" w:hAnsi="Arial" w:cs="Arial"/>
          <w:lang w:val="ro-RO" w:eastAsia="en-US"/>
        </w:rPr>
        <w:t xml:space="preserve"> </w:t>
      </w:r>
      <w:r w:rsidR="00C71DE4">
        <w:rPr>
          <w:rFonts w:ascii="Arial" w:hAnsi="Arial" w:cs="Arial"/>
          <w:lang w:val="ro-RO" w:eastAsia="en-US"/>
        </w:rPr>
        <w:t xml:space="preserve">Rovinari și GJ-3 Turceni </w:t>
      </w:r>
      <w:r w:rsidR="00642D57">
        <w:rPr>
          <w:rFonts w:ascii="Arial" w:hAnsi="Arial" w:cs="Arial"/>
          <w:lang w:val="ro-RO" w:eastAsia="en-US"/>
        </w:rPr>
        <w:t>în anul 201</w:t>
      </w:r>
      <w:r w:rsidR="00C71DE4">
        <w:rPr>
          <w:rFonts w:ascii="Arial" w:hAnsi="Arial" w:cs="Arial"/>
          <w:lang w:val="ro-RO" w:eastAsia="en-US"/>
        </w:rPr>
        <w:t>5</w:t>
      </w:r>
      <w:r w:rsidR="00642D57">
        <w:rPr>
          <w:rFonts w:ascii="Arial" w:hAnsi="Arial" w:cs="Arial"/>
          <w:lang w:val="ro-RO" w:eastAsia="en-US"/>
        </w:rPr>
        <w:t xml:space="preserve"> </w:t>
      </w:r>
      <w:r w:rsidRPr="000B253E">
        <w:rPr>
          <w:rFonts w:ascii="Arial" w:hAnsi="Arial" w:cs="Arial"/>
          <w:lang w:val="ro-RO" w:eastAsia="en-US"/>
        </w:rPr>
        <w:t xml:space="preserve">sunt insuficiente pentru a respecta criteriile de calitate </w:t>
      </w:r>
      <w:r w:rsidR="004816E0">
        <w:rPr>
          <w:rFonts w:ascii="Arial" w:hAnsi="Arial" w:cs="Arial"/>
          <w:lang w:val="ro-RO" w:eastAsia="en-US"/>
        </w:rPr>
        <w:t>(captură date)</w:t>
      </w:r>
      <w:r w:rsidRPr="000B253E">
        <w:rPr>
          <w:rFonts w:ascii="Arial" w:hAnsi="Arial" w:cs="Arial"/>
          <w:lang w:val="ro-RO" w:eastAsia="en-US"/>
        </w:rPr>
        <w:t>conform Legii 104/2011</w:t>
      </w:r>
    </w:p>
    <w:p w:rsidR="00D61B62" w:rsidRDefault="00607A5A" w:rsidP="00D61B62">
      <w:pPr>
        <w:autoSpaceDE w:val="0"/>
        <w:autoSpaceDN w:val="0"/>
        <w:adjustRightInd w:val="0"/>
        <w:jc w:val="both"/>
        <w:rPr>
          <w:rFonts w:ascii="Arial" w:hAnsi="Arial" w:cs="Arial"/>
          <w:sz w:val="24"/>
          <w:szCs w:val="24"/>
          <w:lang w:val="ro-RO" w:eastAsia="en-US"/>
        </w:rPr>
      </w:pPr>
      <w:r>
        <w:rPr>
          <w:rFonts w:ascii="Arial" w:hAnsi="Arial" w:cs="Arial"/>
          <w:bCs/>
          <w:noProof/>
          <w:lang w:eastAsia="en-US"/>
        </w:rPr>
        <w:lastRenderedPageBreak/>
        <w:drawing>
          <wp:inline distT="0" distB="0" distL="0" distR="0" wp14:anchorId="5EA6E973" wp14:editId="4456C628">
            <wp:extent cx="5740842" cy="3323645"/>
            <wp:effectExtent l="0" t="0" r="12700" b="10160"/>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B62" w:rsidRDefault="00D61B62" w:rsidP="00D61B62">
      <w:pPr>
        <w:autoSpaceDE w:val="0"/>
        <w:autoSpaceDN w:val="0"/>
        <w:adjustRightInd w:val="0"/>
        <w:jc w:val="both"/>
        <w:rPr>
          <w:rFonts w:ascii="Arial" w:hAnsi="Arial" w:cs="Arial"/>
          <w:lang w:val="ro-RO" w:eastAsia="en-US"/>
        </w:rPr>
      </w:pPr>
    </w:p>
    <w:p w:rsidR="000B253E" w:rsidRDefault="009656EF" w:rsidP="00EA05EB">
      <w:pPr>
        <w:autoSpaceDE w:val="0"/>
        <w:autoSpaceDN w:val="0"/>
        <w:adjustRightInd w:val="0"/>
        <w:jc w:val="both"/>
        <w:rPr>
          <w:rFonts w:ascii="Arial" w:hAnsi="Arial" w:cs="Arial"/>
          <w:lang w:val="ro-RO" w:eastAsia="en-US"/>
        </w:rPr>
      </w:pPr>
      <w:r w:rsidRPr="009656EF">
        <w:rPr>
          <w:rFonts w:ascii="Arial" w:hAnsi="Arial" w:cs="Arial"/>
          <w:lang w:val="ro-RO" w:eastAsia="en-US"/>
        </w:rPr>
        <w:t xml:space="preserve">Notă: Din motive tehnice datele colectate de la stațiile GJ-2 Rovinari și GJ-3 Turceni în anul 2015 sunt insuficiente pentru a respecta criteriile de calitate </w:t>
      </w:r>
      <w:r w:rsidR="004816E0" w:rsidRPr="004816E0">
        <w:rPr>
          <w:rFonts w:ascii="Arial" w:hAnsi="Arial" w:cs="Arial"/>
          <w:lang w:val="ro-RO" w:eastAsia="en-US"/>
        </w:rPr>
        <w:t>(captură date)</w:t>
      </w:r>
      <w:r w:rsidRPr="009656EF">
        <w:rPr>
          <w:rFonts w:ascii="Arial" w:hAnsi="Arial" w:cs="Arial"/>
          <w:lang w:val="ro-RO" w:eastAsia="en-US"/>
        </w:rPr>
        <w:t>conform Legii 104/2011</w:t>
      </w:r>
    </w:p>
    <w:p w:rsidR="00EF1F8E" w:rsidRDefault="00EF1F8E"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6F412C"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7AD8EF9A" wp14:editId="6F6CDB3B">
            <wp:extent cx="5740842" cy="3856383"/>
            <wp:effectExtent l="0" t="0" r="12700" b="10795"/>
            <wp:docPr id="29"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9A0" w:rsidRDefault="00B329A0" w:rsidP="00EA05EB">
      <w:pPr>
        <w:autoSpaceDE w:val="0"/>
        <w:autoSpaceDN w:val="0"/>
        <w:adjustRightInd w:val="0"/>
        <w:jc w:val="both"/>
        <w:rPr>
          <w:rFonts w:ascii="Arial" w:hAnsi="Arial" w:cs="Arial"/>
          <w:lang w:val="ro-RO" w:eastAsia="en-US"/>
        </w:rPr>
      </w:pPr>
    </w:p>
    <w:p w:rsidR="004E4E47" w:rsidRDefault="00D1331B" w:rsidP="004E4E47">
      <w:pPr>
        <w:autoSpaceDE w:val="0"/>
        <w:autoSpaceDN w:val="0"/>
        <w:adjustRightInd w:val="0"/>
        <w:ind w:firstLine="72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07A5A">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SO</w:t>
      </w:r>
      <w:r>
        <w:rPr>
          <w:rFonts w:ascii="Arial" w:hAnsi="Arial" w:cs="Arial"/>
          <w:vertAlign w:val="subscript"/>
          <w:lang w:val="ro-RO" w:eastAsia="en-US"/>
        </w:rPr>
        <w:t>2</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4E4E47" w:rsidRPr="00EE6D76" w:rsidRDefault="004E4E47" w:rsidP="004E4E47">
      <w:pPr>
        <w:autoSpaceDE w:val="0"/>
        <w:autoSpaceDN w:val="0"/>
        <w:adjustRightInd w:val="0"/>
        <w:ind w:firstLine="720"/>
        <w:jc w:val="both"/>
        <w:rPr>
          <w:rFonts w:ascii="Arial" w:hAnsi="Arial" w:cs="Arial"/>
          <w:sz w:val="24"/>
          <w:szCs w:val="24"/>
          <w:lang w:val="ro-RO" w:eastAsia="en-US"/>
        </w:rPr>
      </w:pPr>
      <w:r w:rsidRPr="00EE6D76">
        <w:rPr>
          <w:rFonts w:ascii="Arial" w:hAnsi="Arial" w:cs="Arial"/>
          <w:i/>
          <w:sz w:val="24"/>
          <w:szCs w:val="24"/>
          <w:lang w:val="ro-RO" w:eastAsia="en-US"/>
        </w:rPr>
        <w:t xml:space="preserve"> </w:t>
      </w:r>
      <w:r w:rsidRPr="00EE6D76">
        <w:rPr>
          <w:rFonts w:ascii="Arial" w:hAnsi="Arial" w:cs="Arial"/>
          <w:sz w:val="24"/>
          <w:szCs w:val="24"/>
          <w:lang w:val="ro-RO" w:eastAsia="en-US"/>
        </w:rPr>
        <w:t>În anul 2015,</w:t>
      </w:r>
      <w:r w:rsidR="004B273A" w:rsidRPr="004B273A">
        <w:rPr>
          <w:rFonts w:ascii="Arial" w:hAnsi="Arial" w:cs="Arial"/>
          <w:sz w:val="24"/>
          <w:szCs w:val="24"/>
          <w:lang w:val="ro-RO" w:eastAsia="en-US"/>
        </w:rPr>
        <w:t xml:space="preserve"> </w:t>
      </w:r>
      <w:r w:rsidR="004B273A" w:rsidRPr="00EE6D76">
        <w:rPr>
          <w:rFonts w:ascii="Arial" w:hAnsi="Arial" w:cs="Arial"/>
          <w:sz w:val="24"/>
          <w:szCs w:val="24"/>
          <w:lang w:val="ro-RO" w:eastAsia="en-US"/>
        </w:rPr>
        <w:t xml:space="preserve">datele colectate </w:t>
      </w:r>
      <w:r w:rsidR="00EE6D76" w:rsidRPr="00EE6D76">
        <w:rPr>
          <w:rFonts w:ascii="Arial" w:hAnsi="Arial" w:cs="Arial"/>
          <w:sz w:val="24"/>
          <w:szCs w:val="24"/>
          <w:lang w:val="ro-RO" w:eastAsia="en-US"/>
        </w:rPr>
        <w:t>pentru poluantul SO</w:t>
      </w:r>
      <w:r w:rsidR="00EE6D76" w:rsidRPr="00EE6D76">
        <w:rPr>
          <w:rFonts w:ascii="Arial" w:hAnsi="Arial" w:cs="Arial"/>
          <w:sz w:val="24"/>
          <w:szCs w:val="24"/>
          <w:vertAlign w:val="subscript"/>
          <w:lang w:val="ro-RO" w:eastAsia="en-US"/>
        </w:rPr>
        <w:t>2</w:t>
      </w:r>
      <w:r w:rsidR="00EE6D76" w:rsidRPr="00EE6D76">
        <w:rPr>
          <w:rFonts w:ascii="Arial" w:hAnsi="Arial" w:cs="Arial"/>
          <w:sz w:val="24"/>
          <w:szCs w:val="24"/>
          <w:lang w:val="ro-RO" w:eastAsia="en-US"/>
        </w:rPr>
        <w:t xml:space="preserve"> </w:t>
      </w:r>
      <w:r w:rsidR="004B273A">
        <w:rPr>
          <w:rFonts w:ascii="Arial" w:hAnsi="Arial" w:cs="Arial"/>
          <w:sz w:val="24"/>
          <w:szCs w:val="24"/>
          <w:lang w:val="ro-RO" w:eastAsia="en-US"/>
        </w:rPr>
        <w:t xml:space="preserve"> de </w:t>
      </w:r>
      <w:r w:rsidRPr="00EE6D76">
        <w:rPr>
          <w:rFonts w:ascii="Arial" w:hAnsi="Arial" w:cs="Arial"/>
          <w:sz w:val="24"/>
          <w:szCs w:val="24"/>
          <w:lang w:val="ro-RO" w:eastAsia="en-US"/>
        </w:rPr>
        <w:t>la toate cele 3 staţii de monitorizare, sunt insuficiente pentru a respecta criteriile de calitate referitoare la captura de  date, conform Legii 104/2011, Anexa nr.4 – Obiective de calitate a datelor.</w:t>
      </w:r>
    </w:p>
    <w:p w:rsidR="00AB7614" w:rsidRDefault="00AB7614" w:rsidP="00EA05EB">
      <w:pPr>
        <w:autoSpaceDE w:val="0"/>
        <w:autoSpaceDN w:val="0"/>
        <w:adjustRightInd w:val="0"/>
        <w:jc w:val="both"/>
        <w:rPr>
          <w:rFonts w:ascii="Arial" w:hAnsi="Arial" w:cs="Arial"/>
          <w:lang w:val="ro-RO" w:eastAsia="en-US"/>
        </w:rPr>
      </w:pPr>
    </w:p>
    <w:p w:rsidR="00B329A0" w:rsidRDefault="00B329A0" w:rsidP="00EA05EB">
      <w:pPr>
        <w:autoSpaceDE w:val="0"/>
        <w:autoSpaceDN w:val="0"/>
        <w:adjustRightInd w:val="0"/>
        <w:jc w:val="both"/>
        <w:rPr>
          <w:rFonts w:ascii="Arial" w:hAnsi="Arial" w:cs="Arial"/>
          <w:lang w:val="ro-RO" w:eastAsia="en-US"/>
        </w:rPr>
      </w:pPr>
    </w:p>
    <w:p w:rsidR="00B329A0" w:rsidRDefault="00B329A0" w:rsidP="00EA05EB">
      <w:pPr>
        <w:autoSpaceDE w:val="0"/>
        <w:autoSpaceDN w:val="0"/>
        <w:adjustRightInd w:val="0"/>
        <w:jc w:val="both"/>
        <w:rPr>
          <w:rFonts w:ascii="Arial" w:hAnsi="Arial" w:cs="Arial"/>
          <w:lang w:val="ro-RO" w:eastAsia="en-US"/>
        </w:rPr>
      </w:pPr>
      <w:r>
        <w:rPr>
          <w:noProof/>
          <w:lang w:eastAsia="en-US"/>
        </w:rPr>
        <w:drawing>
          <wp:inline distT="0" distB="0" distL="0" distR="0" wp14:anchorId="53AA41F8" wp14:editId="4960EF0A">
            <wp:extent cx="5693134" cy="4007457"/>
            <wp:effectExtent l="0" t="0" r="2222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331B" w:rsidRDefault="00D1331B" w:rsidP="00EA05EB">
      <w:pPr>
        <w:autoSpaceDE w:val="0"/>
        <w:autoSpaceDN w:val="0"/>
        <w:adjustRightInd w:val="0"/>
        <w:jc w:val="both"/>
        <w:rPr>
          <w:rFonts w:ascii="Arial" w:hAnsi="Arial" w:cs="Arial"/>
          <w:lang w:val="ro-RO" w:eastAsia="en-US"/>
        </w:rPr>
      </w:pPr>
    </w:p>
    <w:p w:rsidR="00E74112" w:rsidRDefault="00B329A0" w:rsidP="00EE6D76">
      <w:pPr>
        <w:autoSpaceDE w:val="0"/>
        <w:autoSpaceDN w:val="0"/>
        <w:adjustRightInd w:val="0"/>
        <w:ind w:firstLine="720"/>
        <w:jc w:val="both"/>
        <w:rPr>
          <w:rFonts w:ascii="Arial" w:hAnsi="Arial" w:cs="Arial"/>
          <w:i/>
          <w:sz w:val="24"/>
          <w:szCs w:val="24"/>
          <w:lang w:val="ro-RO" w:eastAsia="en-US"/>
        </w:rPr>
      </w:pPr>
      <w:r>
        <w:rPr>
          <w:rFonts w:ascii="Arial" w:hAnsi="Arial" w:cs="Arial"/>
          <w:lang w:val="ro-RO" w:eastAsia="en-US"/>
        </w:rPr>
        <w:t>N</w:t>
      </w:r>
      <w:r w:rsidR="00D1331B" w:rsidRPr="00D1331B">
        <w:rPr>
          <w:rFonts w:ascii="Arial" w:hAnsi="Arial" w:cs="Arial"/>
          <w:lang w:val="ro-RO" w:eastAsia="en-US"/>
        </w:rPr>
        <w:t>otă: În perioada 2008-201</w:t>
      </w:r>
      <w:r w:rsidR="00B03B4C">
        <w:rPr>
          <w:rFonts w:ascii="Arial" w:hAnsi="Arial" w:cs="Arial"/>
          <w:lang w:val="ro-RO" w:eastAsia="en-US"/>
        </w:rPr>
        <w:t>5</w:t>
      </w:r>
      <w:r w:rsidR="00D1331B" w:rsidRPr="00D1331B">
        <w:rPr>
          <w:rFonts w:ascii="Arial" w:hAnsi="Arial" w:cs="Arial"/>
          <w:lang w:val="ro-RO" w:eastAsia="en-US"/>
        </w:rPr>
        <w:t xml:space="preserve">, din motive tehnice datele colectate la anumite stații pentru poluantul </w:t>
      </w:r>
      <w:r w:rsidR="00D1331B">
        <w:rPr>
          <w:rFonts w:ascii="Arial" w:hAnsi="Arial" w:cs="Arial"/>
          <w:lang w:val="ro-RO" w:eastAsia="en-US"/>
        </w:rPr>
        <w:t>N</w:t>
      </w:r>
      <w:r w:rsidR="00D1331B" w:rsidRPr="00D1331B">
        <w:rPr>
          <w:rFonts w:ascii="Arial" w:hAnsi="Arial" w:cs="Arial"/>
          <w:lang w:val="ro-RO" w:eastAsia="en-US"/>
        </w:rPr>
        <w:t>O</w:t>
      </w:r>
      <w:r w:rsidR="00D1331B" w:rsidRPr="00D1331B">
        <w:rPr>
          <w:rFonts w:ascii="Arial" w:hAnsi="Arial" w:cs="Arial"/>
          <w:vertAlign w:val="subscript"/>
          <w:lang w:val="ro-RO" w:eastAsia="en-US"/>
        </w:rPr>
        <w:t>2</w:t>
      </w:r>
      <w:r w:rsidR="00D1331B" w:rsidRPr="00D1331B">
        <w:rPr>
          <w:rFonts w:ascii="Arial" w:hAnsi="Arial" w:cs="Arial"/>
          <w:lang w:val="ro-RO" w:eastAsia="en-US"/>
        </w:rPr>
        <w:t xml:space="preserve"> sunt insuficiente pentru a respecta criteriile de calitate conform Legii 104/2011</w:t>
      </w:r>
      <w:r w:rsidR="00B03B4C">
        <w:rPr>
          <w:rFonts w:ascii="Arial" w:hAnsi="Arial" w:cs="Arial"/>
          <w:lang w:val="ro-RO" w:eastAsia="en-US"/>
        </w:rPr>
        <w:t>.</w:t>
      </w:r>
      <w:r w:rsidR="00EE6D76" w:rsidRPr="00EE6D76">
        <w:rPr>
          <w:rFonts w:ascii="Arial" w:hAnsi="Arial" w:cs="Arial"/>
          <w:i/>
          <w:sz w:val="24"/>
          <w:szCs w:val="24"/>
          <w:lang w:val="ro-RO" w:eastAsia="en-US"/>
        </w:rPr>
        <w:t xml:space="preserve"> </w:t>
      </w:r>
    </w:p>
    <w:p w:rsidR="00EE6D76" w:rsidRPr="00E74112" w:rsidRDefault="00EE6D76" w:rsidP="00EE6D76">
      <w:pPr>
        <w:autoSpaceDE w:val="0"/>
        <w:autoSpaceDN w:val="0"/>
        <w:adjustRightInd w:val="0"/>
        <w:ind w:firstLine="720"/>
        <w:jc w:val="both"/>
        <w:rPr>
          <w:rFonts w:ascii="Arial" w:hAnsi="Arial" w:cs="Arial"/>
          <w:sz w:val="24"/>
          <w:szCs w:val="24"/>
          <w:lang w:val="ro-RO" w:eastAsia="en-US"/>
        </w:rPr>
      </w:pPr>
      <w:r w:rsidRPr="00E74112">
        <w:rPr>
          <w:rFonts w:ascii="Arial" w:hAnsi="Arial" w:cs="Arial"/>
          <w:sz w:val="24"/>
          <w:szCs w:val="24"/>
          <w:lang w:val="ro-RO" w:eastAsia="en-US"/>
        </w:rPr>
        <w:t xml:space="preserve">În anul 2015, au fost respectate criteriile de calitate a datelor, respectiv o captură de date de minim 75 %, pentru  </w:t>
      </w:r>
      <w:r w:rsidR="002F2EC9" w:rsidRPr="00E74112">
        <w:rPr>
          <w:rFonts w:ascii="Arial" w:hAnsi="Arial" w:cs="Arial"/>
          <w:sz w:val="24"/>
          <w:szCs w:val="24"/>
          <w:lang w:val="ro-RO" w:eastAsia="en-US"/>
        </w:rPr>
        <w:t xml:space="preserve">numai pentru poluantul </w:t>
      </w:r>
      <w:r w:rsidRPr="00E74112">
        <w:rPr>
          <w:rFonts w:ascii="Arial" w:hAnsi="Arial" w:cs="Arial"/>
          <w:sz w:val="24"/>
          <w:szCs w:val="24"/>
          <w:lang w:val="ro-RO" w:eastAsia="en-US"/>
        </w:rPr>
        <w:t xml:space="preserve">NO2 </w:t>
      </w:r>
      <w:r w:rsidR="002F2EC9" w:rsidRPr="00E74112">
        <w:rPr>
          <w:rFonts w:ascii="Arial" w:hAnsi="Arial" w:cs="Arial"/>
          <w:sz w:val="24"/>
          <w:szCs w:val="24"/>
          <w:lang w:val="ro-RO" w:eastAsia="en-US"/>
        </w:rPr>
        <w:t>monitorizat</w:t>
      </w:r>
      <w:r w:rsidRPr="00E74112">
        <w:rPr>
          <w:rFonts w:ascii="Arial" w:hAnsi="Arial" w:cs="Arial"/>
          <w:sz w:val="24"/>
          <w:szCs w:val="24"/>
          <w:lang w:val="ro-RO" w:eastAsia="en-US"/>
        </w:rPr>
        <w:t xml:space="preserve"> la staţia GJ 1. </w:t>
      </w:r>
    </w:p>
    <w:p w:rsidR="004E2C8C" w:rsidRDefault="004E2C8C" w:rsidP="00EA05EB">
      <w:pPr>
        <w:autoSpaceDE w:val="0"/>
        <w:autoSpaceDN w:val="0"/>
        <w:adjustRightInd w:val="0"/>
        <w:jc w:val="both"/>
        <w:rPr>
          <w:rFonts w:ascii="Arial" w:hAnsi="Arial" w:cs="Arial"/>
          <w:lang w:val="ro-RO" w:eastAsia="en-US"/>
        </w:rPr>
      </w:pPr>
    </w:p>
    <w:p w:rsidR="00EF1F8E" w:rsidRDefault="00EF1F8E" w:rsidP="00EA05EB">
      <w:pPr>
        <w:autoSpaceDE w:val="0"/>
        <w:autoSpaceDN w:val="0"/>
        <w:adjustRightInd w:val="0"/>
        <w:jc w:val="both"/>
        <w:rPr>
          <w:rFonts w:ascii="Arial" w:hAnsi="Arial" w:cs="Arial"/>
          <w:lang w:val="ro-RO" w:eastAsia="en-US"/>
        </w:rPr>
      </w:pPr>
    </w:p>
    <w:p w:rsidR="00BA363A" w:rsidRDefault="00BA363A"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37429A76" wp14:editId="112C5F6F">
            <wp:extent cx="5740842" cy="3387255"/>
            <wp:effectExtent l="0" t="0" r="12700" b="22860"/>
            <wp:docPr id="7"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79D7" w:rsidRDefault="000C79D7" w:rsidP="00EA05EB">
      <w:pPr>
        <w:autoSpaceDE w:val="0"/>
        <w:autoSpaceDN w:val="0"/>
        <w:adjustRightInd w:val="0"/>
        <w:jc w:val="both"/>
        <w:rPr>
          <w:rFonts w:ascii="Arial" w:hAnsi="Arial" w:cs="Arial"/>
          <w:sz w:val="24"/>
          <w:szCs w:val="24"/>
          <w:lang w:val="ro-RO" w:eastAsia="en-US"/>
        </w:rPr>
      </w:pPr>
    </w:p>
    <w:p w:rsidR="00D1331B"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lastRenderedPageBreak/>
        <w:t xml:space="preserve">Notă: </w:t>
      </w:r>
      <w:r>
        <w:rPr>
          <w:rFonts w:ascii="Arial" w:hAnsi="Arial" w:cs="Arial"/>
          <w:lang w:val="ro-RO" w:eastAsia="en-US"/>
        </w:rPr>
        <w:t>În perioada 2008-201</w:t>
      </w:r>
      <w:r w:rsidR="00B03B4C">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PM</w:t>
      </w:r>
      <w:r>
        <w:rPr>
          <w:rFonts w:ascii="Arial" w:hAnsi="Arial" w:cs="Arial"/>
          <w:vertAlign w:val="subscript"/>
          <w:lang w:val="ro-RO" w:eastAsia="en-US"/>
        </w:rPr>
        <w:t>10</w:t>
      </w:r>
      <w:r>
        <w:rPr>
          <w:rFonts w:ascii="Arial" w:hAnsi="Arial" w:cs="Arial"/>
          <w:lang w:val="ro-RO" w:eastAsia="en-US"/>
        </w:rPr>
        <w:t xml:space="preserve"> 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E74112">
        <w:rPr>
          <w:rFonts w:ascii="Arial" w:hAnsi="Arial" w:cs="Arial"/>
          <w:lang w:val="ro-RO" w:eastAsia="en-US"/>
        </w:rPr>
        <w:t>.</w:t>
      </w:r>
    </w:p>
    <w:p w:rsidR="00E74112" w:rsidRPr="00EE6D76" w:rsidRDefault="00E74112" w:rsidP="00E74112">
      <w:pPr>
        <w:autoSpaceDE w:val="0"/>
        <w:autoSpaceDN w:val="0"/>
        <w:adjustRightInd w:val="0"/>
        <w:ind w:firstLine="720"/>
        <w:jc w:val="both"/>
        <w:rPr>
          <w:rFonts w:ascii="Arial" w:hAnsi="Arial" w:cs="Arial"/>
          <w:sz w:val="24"/>
          <w:szCs w:val="24"/>
          <w:lang w:val="ro-RO" w:eastAsia="en-US"/>
        </w:rPr>
      </w:pPr>
      <w:r w:rsidRPr="00EE6D76">
        <w:rPr>
          <w:rFonts w:ascii="Arial" w:hAnsi="Arial" w:cs="Arial"/>
          <w:sz w:val="24"/>
          <w:szCs w:val="24"/>
          <w:lang w:val="ro-RO" w:eastAsia="en-US"/>
        </w:rPr>
        <w:t>În anul 2015,</w:t>
      </w:r>
      <w:r w:rsidR="004B273A">
        <w:rPr>
          <w:rFonts w:ascii="Arial" w:hAnsi="Arial" w:cs="Arial"/>
          <w:sz w:val="24"/>
          <w:szCs w:val="24"/>
          <w:lang w:val="ro-RO" w:eastAsia="en-US"/>
        </w:rPr>
        <w:t xml:space="preserve"> </w:t>
      </w:r>
      <w:r w:rsidR="004B273A" w:rsidRPr="00EE6D76">
        <w:rPr>
          <w:rFonts w:ascii="Arial" w:hAnsi="Arial" w:cs="Arial"/>
          <w:sz w:val="24"/>
          <w:szCs w:val="24"/>
          <w:lang w:val="ro-RO" w:eastAsia="en-US"/>
        </w:rPr>
        <w:t xml:space="preserve">datele colectate </w:t>
      </w:r>
      <w:r w:rsidRPr="00EE6D76">
        <w:rPr>
          <w:rFonts w:ascii="Arial" w:hAnsi="Arial" w:cs="Arial"/>
          <w:sz w:val="24"/>
          <w:szCs w:val="24"/>
          <w:lang w:val="ro-RO" w:eastAsia="en-US"/>
        </w:rPr>
        <w:t xml:space="preserve">pentru poluantul </w:t>
      </w:r>
      <w:r w:rsidR="004B273A" w:rsidRPr="004B273A">
        <w:rPr>
          <w:rFonts w:ascii="Arial" w:hAnsi="Arial" w:cs="Arial"/>
          <w:sz w:val="24"/>
          <w:szCs w:val="24"/>
          <w:lang w:val="ro-RO" w:eastAsia="en-US"/>
        </w:rPr>
        <w:t>PM</w:t>
      </w:r>
      <w:r w:rsidR="004B273A" w:rsidRPr="004B273A">
        <w:rPr>
          <w:rFonts w:ascii="Arial" w:hAnsi="Arial" w:cs="Arial"/>
          <w:sz w:val="24"/>
          <w:szCs w:val="24"/>
          <w:vertAlign w:val="subscript"/>
          <w:lang w:val="ro-RO" w:eastAsia="en-US"/>
        </w:rPr>
        <w:t>10</w:t>
      </w:r>
      <w:r w:rsidR="004B273A" w:rsidRPr="004B273A">
        <w:rPr>
          <w:rFonts w:ascii="Arial" w:hAnsi="Arial" w:cs="Arial"/>
          <w:sz w:val="24"/>
          <w:szCs w:val="24"/>
          <w:lang w:val="ro-RO" w:eastAsia="en-US"/>
        </w:rPr>
        <w:t xml:space="preserve"> gravimetric</w:t>
      </w:r>
      <w:r w:rsidR="004B273A">
        <w:rPr>
          <w:rFonts w:ascii="Arial" w:hAnsi="Arial" w:cs="Arial"/>
          <w:sz w:val="24"/>
          <w:szCs w:val="24"/>
          <w:lang w:val="ro-RO" w:eastAsia="en-US"/>
        </w:rPr>
        <w:t xml:space="preserve"> de</w:t>
      </w:r>
      <w:r w:rsidR="004B273A" w:rsidRPr="004B273A">
        <w:rPr>
          <w:rFonts w:ascii="Arial" w:hAnsi="Arial" w:cs="Arial"/>
          <w:sz w:val="24"/>
          <w:szCs w:val="24"/>
          <w:lang w:val="ro-RO" w:eastAsia="en-US"/>
        </w:rPr>
        <w:t xml:space="preserve"> </w:t>
      </w:r>
      <w:r w:rsidRPr="00EE6D76">
        <w:rPr>
          <w:rFonts w:ascii="Arial" w:hAnsi="Arial" w:cs="Arial"/>
          <w:sz w:val="24"/>
          <w:szCs w:val="24"/>
          <w:lang w:val="ro-RO" w:eastAsia="en-US"/>
        </w:rPr>
        <w:t>la toate cele 3 staţii de monitorizare, sunt insuficiente pentru a respecta criteriile de calitate referitoare la captura de  date, conform Legii 104/2011, Anexa nr.4 – Obiective de calitate a datelor.</w:t>
      </w:r>
    </w:p>
    <w:p w:rsidR="000C79D7" w:rsidRDefault="000C79D7" w:rsidP="00EA05EB">
      <w:pPr>
        <w:autoSpaceDE w:val="0"/>
        <w:autoSpaceDN w:val="0"/>
        <w:adjustRightInd w:val="0"/>
        <w:jc w:val="both"/>
        <w:rPr>
          <w:rFonts w:ascii="Arial" w:hAnsi="Arial" w:cs="Arial"/>
          <w:sz w:val="24"/>
          <w:szCs w:val="24"/>
          <w:lang w:val="ro-RO" w:eastAsia="en-US"/>
        </w:rPr>
      </w:pPr>
    </w:p>
    <w:p w:rsidR="00BA363A" w:rsidRPr="00D1331B" w:rsidRDefault="000C79D7" w:rsidP="00EA05EB">
      <w:pPr>
        <w:autoSpaceDE w:val="0"/>
        <w:autoSpaceDN w:val="0"/>
        <w:adjustRightInd w:val="0"/>
        <w:jc w:val="both"/>
        <w:rPr>
          <w:rFonts w:ascii="Arial" w:hAnsi="Arial" w:cs="Arial"/>
          <w:lang w:val="ro-RO" w:eastAsia="en-US"/>
        </w:rPr>
      </w:pPr>
      <w:r>
        <w:rPr>
          <w:noProof/>
          <w:lang w:eastAsia="en-US"/>
        </w:rPr>
        <w:drawing>
          <wp:inline distT="0" distB="0" distL="0" distR="0" wp14:anchorId="3D180240" wp14:editId="73CFDFDD">
            <wp:extent cx="5700712" cy="4194175"/>
            <wp:effectExtent l="0" t="0" r="1460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B7614">
        <w:rPr>
          <w:rFonts w:ascii="Arial" w:hAnsi="Arial" w:cs="Arial"/>
          <w:sz w:val="24"/>
          <w:szCs w:val="24"/>
          <w:lang w:val="ro-RO" w:eastAsia="en-US"/>
        </w:rPr>
        <w:tab/>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0C79D7">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CO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0C79D7">
        <w:rPr>
          <w:rFonts w:ascii="Arial" w:hAnsi="Arial" w:cs="Arial"/>
          <w:lang w:val="ro-RO" w:eastAsia="en-US"/>
        </w:rPr>
        <w:t>.</w:t>
      </w:r>
    </w:p>
    <w:p w:rsidR="004B273A" w:rsidRPr="00E74112" w:rsidRDefault="004B273A" w:rsidP="004B273A">
      <w:pPr>
        <w:autoSpaceDE w:val="0"/>
        <w:autoSpaceDN w:val="0"/>
        <w:adjustRightInd w:val="0"/>
        <w:ind w:firstLine="720"/>
        <w:jc w:val="both"/>
        <w:rPr>
          <w:rFonts w:ascii="Arial" w:hAnsi="Arial" w:cs="Arial"/>
          <w:sz w:val="24"/>
          <w:szCs w:val="24"/>
          <w:lang w:val="ro-RO" w:eastAsia="en-US"/>
        </w:rPr>
      </w:pPr>
      <w:r w:rsidRPr="00E74112">
        <w:rPr>
          <w:rFonts w:ascii="Arial" w:hAnsi="Arial" w:cs="Arial"/>
          <w:sz w:val="24"/>
          <w:szCs w:val="24"/>
          <w:lang w:val="ro-RO" w:eastAsia="en-US"/>
        </w:rPr>
        <w:t xml:space="preserve">În anul 2015, au fost respectate criteriile de calitate a datelor, respectiv o captură de date de minim 75 %, pentru  numai pentru poluantul </w:t>
      </w:r>
      <w:r>
        <w:rPr>
          <w:rFonts w:ascii="Arial" w:hAnsi="Arial" w:cs="Arial"/>
          <w:sz w:val="24"/>
          <w:szCs w:val="24"/>
          <w:lang w:val="ro-RO" w:eastAsia="en-US"/>
        </w:rPr>
        <w:t>CO</w:t>
      </w:r>
      <w:r w:rsidRPr="00E74112">
        <w:rPr>
          <w:rFonts w:ascii="Arial" w:hAnsi="Arial" w:cs="Arial"/>
          <w:sz w:val="24"/>
          <w:szCs w:val="24"/>
          <w:lang w:val="ro-RO" w:eastAsia="en-US"/>
        </w:rPr>
        <w:t xml:space="preserve"> monitorizat la staţia GJ 1. </w:t>
      </w:r>
    </w:p>
    <w:p w:rsidR="004B273A" w:rsidRDefault="004B273A" w:rsidP="00EA05EB">
      <w:pPr>
        <w:autoSpaceDE w:val="0"/>
        <w:autoSpaceDN w:val="0"/>
        <w:adjustRightInd w:val="0"/>
        <w:jc w:val="both"/>
        <w:rPr>
          <w:rFonts w:ascii="Arial" w:hAnsi="Arial" w:cs="Arial"/>
          <w:sz w:val="24"/>
          <w:szCs w:val="24"/>
          <w:lang w:val="ro-RO" w:eastAsia="en-US"/>
        </w:rPr>
      </w:pPr>
    </w:p>
    <w:p w:rsidR="00D1331B" w:rsidRPr="00D1331B" w:rsidRDefault="00D1331B" w:rsidP="00EA05EB">
      <w:pPr>
        <w:autoSpaceDE w:val="0"/>
        <w:autoSpaceDN w:val="0"/>
        <w:adjustRightInd w:val="0"/>
        <w:jc w:val="both"/>
        <w:rPr>
          <w:rFonts w:ascii="Arial" w:hAnsi="Arial" w:cs="Arial"/>
          <w:lang w:val="ro-RO" w:eastAsia="en-US"/>
        </w:rPr>
      </w:pPr>
    </w:p>
    <w:p w:rsidR="00BF4BE2" w:rsidRDefault="00BF4BE2"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58D3F499" wp14:editId="565B6CB2">
            <wp:extent cx="5740842" cy="2584174"/>
            <wp:effectExtent l="0" t="0" r="12700" b="26035"/>
            <wp:docPr id="3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273A" w:rsidRDefault="00D1331B" w:rsidP="00745EF8">
      <w:pPr>
        <w:autoSpaceDE w:val="0"/>
        <w:autoSpaceDN w:val="0"/>
        <w:adjustRightInd w:val="0"/>
        <w:jc w:val="both"/>
        <w:rPr>
          <w:rFonts w:ascii="Arial" w:hAnsi="Arial" w:cs="Arial"/>
          <w:lang w:val="ro-RO" w:eastAsia="en-US"/>
        </w:rPr>
      </w:pPr>
      <w:r w:rsidRPr="000B253E">
        <w:rPr>
          <w:rFonts w:ascii="Arial" w:hAnsi="Arial" w:cs="Arial"/>
          <w:lang w:val="ro-RO" w:eastAsia="en-US"/>
        </w:rPr>
        <w:lastRenderedPageBreak/>
        <w:t xml:space="preserve">Notă: </w:t>
      </w:r>
      <w:r>
        <w:rPr>
          <w:rFonts w:ascii="Arial" w:hAnsi="Arial" w:cs="Arial"/>
          <w:lang w:val="ro-RO" w:eastAsia="en-US"/>
        </w:rPr>
        <w:t>În perioada 2008-201</w:t>
      </w:r>
      <w:r w:rsidR="00F66786">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O</w:t>
      </w:r>
      <w:r>
        <w:rPr>
          <w:rFonts w:ascii="Arial" w:hAnsi="Arial" w:cs="Arial"/>
          <w:vertAlign w:val="subscript"/>
          <w:lang w:val="ro-RO" w:eastAsia="en-US"/>
        </w:rPr>
        <w:t>3</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r w:rsidR="00745EF8" w:rsidRPr="00745EF8">
        <w:rPr>
          <w:rFonts w:ascii="Arial" w:hAnsi="Arial" w:cs="Arial"/>
          <w:lang w:val="ro-RO" w:eastAsia="en-US"/>
        </w:rPr>
        <w:t xml:space="preserve"> </w:t>
      </w:r>
    </w:p>
    <w:p w:rsidR="00745EF8" w:rsidRDefault="00745EF8" w:rsidP="00745EF8">
      <w:pPr>
        <w:autoSpaceDE w:val="0"/>
        <w:autoSpaceDN w:val="0"/>
        <w:adjustRightInd w:val="0"/>
        <w:jc w:val="both"/>
        <w:rPr>
          <w:rFonts w:ascii="Arial" w:hAnsi="Arial" w:cs="Arial"/>
          <w:lang w:val="ro-RO" w:eastAsia="en-US"/>
        </w:rPr>
      </w:pPr>
      <w:r>
        <w:rPr>
          <w:rFonts w:ascii="Arial" w:hAnsi="Arial" w:cs="Arial"/>
          <w:lang w:val="ro-RO" w:eastAsia="en-US"/>
        </w:rPr>
        <w:t>Datorită unor defecţiuni tehnice, în anul 2015 nu a fost înregistrată captura minimă de date la nicio staţie automată de monitorizare a calităţii aerului.</w:t>
      </w:r>
    </w:p>
    <w:p w:rsidR="00F66786" w:rsidRDefault="00F66786" w:rsidP="00EA05EB">
      <w:pPr>
        <w:autoSpaceDE w:val="0"/>
        <w:autoSpaceDN w:val="0"/>
        <w:adjustRightInd w:val="0"/>
        <w:jc w:val="both"/>
        <w:rPr>
          <w:rFonts w:ascii="Arial" w:hAnsi="Arial" w:cs="Arial"/>
          <w:sz w:val="24"/>
          <w:szCs w:val="24"/>
          <w:lang w:val="ro-RO" w:eastAsia="en-US"/>
        </w:rPr>
      </w:pPr>
    </w:p>
    <w:p w:rsidR="00BF4BE2" w:rsidRDefault="00BF4BE2"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324CBA2C" wp14:editId="448EF729">
            <wp:extent cx="5740842" cy="2592125"/>
            <wp:effectExtent l="0" t="0" r="12700" b="17780"/>
            <wp:docPr id="3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1F8E" w:rsidRDefault="00EF1F8E" w:rsidP="00745EF8">
      <w:pPr>
        <w:autoSpaceDE w:val="0"/>
        <w:autoSpaceDN w:val="0"/>
        <w:adjustRightInd w:val="0"/>
        <w:jc w:val="both"/>
        <w:rPr>
          <w:rFonts w:ascii="Arial" w:hAnsi="Arial" w:cs="Arial"/>
          <w:lang w:val="ro-RO" w:eastAsia="en-US"/>
        </w:rPr>
      </w:pPr>
    </w:p>
    <w:p w:rsidR="00745EF8" w:rsidRDefault="00D1331B" w:rsidP="00745EF8">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66786">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Pb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08E9">
        <w:rPr>
          <w:rFonts w:ascii="Arial" w:hAnsi="Arial" w:cs="Arial"/>
          <w:lang w:val="ro-RO" w:eastAsia="en-US"/>
        </w:rPr>
        <w:t>.</w:t>
      </w:r>
      <w:r w:rsidR="00F608E9" w:rsidRPr="00F608E9">
        <w:rPr>
          <w:rFonts w:ascii="Arial" w:hAnsi="Arial" w:cs="Arial"/>
          <w:lang w:val="ro-RO" w:eastAsia="en-US"/>
        </w:rPr>
        <w:t xml:space="preserve"> </w:t>
      </w:r>
      <w:r w:rsidR="00745EF8">
        <w:rPr>
          <w:rFonts w:ascii="Arial" w:hAnsi="Arial" w:cs="Arial"/>
          <w:lang w:val="ro-RO" w:eastAsia="en-US"/>
        </w:rPr>
        <w:t>Datorită unor defecţiuni tehnice, în anul 2015 nu a fost înregistrată captura minimă de date la nicio staţie automată de monitorizare a calităţii aerului.</w:t>
      </w:r>
    </w:p>
    <w:p w:rsidR="00BF4BE2" w:rsidRDefault="00BF4BE2" w:rsidP="00EA05EB">
      <w:pPr>
        <w:autoSpaceDE w:val="0"/>
        <w:autoSpaceDN w:val="0"/>
        <w:adjustRightInd w:val="0"/>
        <w:jc w:val="both"/>
        <w:rPr>
          <w:rFonts w:ascii="Arial" w:hAnsi="Arial" w:cs="Arial"/>
          <w:lang w:val="ro-RO" w:eastAsia="en-US"/>
        </w:rPr>
      </w:pP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1A40C1E8" wp14:editId="415B99C7">
            <wp:extent cx="5740842" cy="2608027"/>
            <wp:effectExtent l="0" t="0" r="12700" b="20955"/>
            <wp:docPr id="35"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1F8E" w:rsidRDefault="00EF1F8E" w:rsidP="00745EF8">
      <w:pPr>
        <w:autoSpaceDE w:val="0"/>
        <w:autoSpaceDN w:val="0"/>
        <w:adjustRightInd w:val="0"/>
        <w:jc w:val="both"/>
        <w:rPr>
          <w:rFonts w:ascii="Arial" w:hAnsi="Arial" w:cs="Arial"/>
          <w:lang w:val="ro-RO" w:eastAsia="en-US"/>
        </w:rPr>
      </w:pPr>
    </w:p>
    <w:p w:rsidR="00745EF8" w:rsidRDefault="00235402" w:rsidP="00745EF8">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66786">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As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w:t>
      </w:r>
      <w:r w:rsidR="00957204" w:rsidRPr="00957204">
        <w:rPr>
          <w:rFonts w:ascii="Arial" w:hAnsi="Arial" w:cs="Arial"/>
          <w:lang w:val="ro-RO" w:eastAsia="en-US"/>
        </w:rPr>
        <w:t>(captură date)</w:t>
      </w:r>
      <w:r w:rsidRPr="000B253E">
        <w:rPr>
          <w:rFonts w:ascii="Arial" w:hAnsi="Arial" w:cs="Arial"/>
          <w:lang w:val="ro-RO" w:eastAsia="en-US"/>
        </w:rPr>
        <w:t xml:space="preserve"> conform Legii 104/2011</w:t>
      </w:r>
      <w:r w:rsidR="00745EF8">
        <w:rPr>
          <w:rFonts w:ascii="Arial" w:hAnsi="Arial" w:cs="Arial"/>
          <w:lang w:val="ro-RO" w:eastAsia="en-US"/>
        </w:rPr>
        <w:t>.</w:t>
      </w:r>
      <w:r w:rsidR="00745EF8" w:rsidRPr="00745EF8">
        <w:rPr>
          <w:rFonts w:ascii="Arial" w:hAnsi="Arial" w:cs="Arial"/>
          <w:lang w:val="ro-RO" w:eastAsia="en-US"/>
        </w:rPr>
        <w:t xml:space="preserve"> </w:t>
      </w:r>
      <w:r w:rsidR="00745EF8">
        <w:rPr>
          <w:rFonts w:ascii="Arial" w:hAnsi="Arial" w:cs="Arial"/>
          <w:lang w:val="ro-RO" w:eastAsia="en-US"/>
        </w:rPr>
        <w:t>Datorită unor defecţiuni tehnice, în anul 2015 nu a fost înregistrată captura minimă de date la nicio staţie automată de monitorizare a calităţii aerului.</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eastAsia="en-US"/>
        </w:rPr>
        <w:lastRenderedPageBreak/>
        <w:drawing>
          <wp:inline distT="0" distB="0" distL="0" distR="0" wp14:anchorId="5F4FE0A7" wp14:editId="166A45D4">
            <wp:extent cx="5740842" cy="2663687"/>
            <wp:effectExtent l="0" t="0" r="12700" b="2286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1F8E" w:rsidRDefault="00EF1F8E" w:rsidP="00745EF8">
      <w:pPr>
        <w:autoSpaceDE w:val="0"/>
        <w:autoSpaceDN w:val="0"/>
        <w:adjustRightInd w:val="0"/>
        <w:jc w:val="both"/>
        <w:rPr>
          <w:rFonts w:ascii="Arial" w:hAnsi="Arial" w:cs="Arial"/>
          <w:lang w:val="ro-RO" w:eastAsia="en-US"/>
        </w:rPr>
      </w:pPr>
    </w:p>
    <w:p w:rsidR="00745EF8" w:rsidRDefault="00D1331B" w:rsidP="00745EF8">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66786">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00D711FF">
        <w:rPr>
          <w:rFonts w:ascii="Arial" w:hAnsi="Arial" w:cs="Arial"/>
          <w:lang w:val="ro-RO" w:eastAsia="en-US"/>
        </w:rPr>
        <w:t>Cd</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w:t>
      </w:r>
      <w:r w:rsidR="00957204" w:rsidRPr="00957204">
        <w:rPr>
          <w:rFonts w:ascii="Arial" w:hAnsi="Arial" w:cs="Arial"/>
          <w:lang w:val="ro-RO" w:eastAsia="en-US"/>
        </w:rPr>
        <w:t>(captură date)</w:t>
      </w:r>
      <w:r w:rsidRPr="000B253E">
        <w:rPr>
          <w:rFonts w:ascii="Arial" w:hAnsi="Arial" w:cs="Arial"/>
          <w:lang w:val="ro-RO" w:eastAsia="en-US"/>
        </w:rPr>
        <w:t>conform Legii 104/2011</w:t>
      </w:r>
      <w:r w:rsidR="00F66786">
        <w:rPr>
          <w:rFonts w:ascii="Arial" w:hAnsi="Arial" w:cs="Arial"/>
          <w:lang w:val="ro-RO" w:eastAsia="en-US"/>
        </w:rPr>
        <w:t>.</w:t>
      </w:r>
      <w:r w:rsidR="00745EF8" w:rsidRPr="00745EF8">
        <w:rPr>
          <w:rFonts w:ascii="Arial" w:hAnsi="Arial" w:cs="Arial"/>
          <w:lang w:val="ro-RO" w:eastAsia="en-US"/>
        </w:rPr>
        <w:t xml:space="preserve"> </w:t>
      </w:r>
      <w:r w:rsidR="00745EF8">
        <w:rPr>
          <w:rFonts w:ascii="Arial" w:hAnsi="Arial" w:cs="Arial"/>
          <w:lang w:val="ro-RO" w:eastAsia="en-US"/>
        </w:rPr>
        <w:t>Datorită unor defecţiuni tehnice, în anul 2015 nu a fost înregistrată captura minimă de date la nicio staţie automată de monitorizare a calităţii aerului.</w:t>
      </w:r>
    </w:p>
    <w:p w:rsidR="00B24EDD" w:rsidRDefault="00B24EDD" w:rsidP="00EA05EB">
      <w:pPr>
        <w:autoSpaceDE w:val="0"/>
        <w:autoSpaceDN w:val="0"/>
        <w:adjustRightInd w:val="0"/>
        <w:jc w:val="both"/>
        <w:rPr>
          <w:rFonts w:ascii="Arial" w:hAnsi="Arial" w:cs="Arial"/>
          <w:lang w:val="ro-RO" w:eastAsia="en-US"/>
        </w:rPr>
      </w:pPr>
    </w:p>
    <w:p w:rsidR="00F66786" w:rsidRDefault="00F66786"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eastAsia="en-US"/>
        </w:rPr>
        <w:drawing>
          <wp:inline distT="0" distB="0" distL="0" distR="0" wp14:anchorId="5D07BFD1" wp14:editId="0D56A1A7">
            <wp:extent cx="5740842" cy="2663687"/>
            <wp:effectExtent l="0" t="0" r="12700" b="22860"/>
            <wp:docPr id="37"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1F8E" w:rsidRDefault="00EF1F8E" w:rsidP="00745EF8">
      <w:pPr>
        <w:autoSpaceDE w:val="0"/>
        <w:autoSpaceDN w:val="0"/>
        <w:adjustRightInd w:val="0"/>
        <w:jc w:val="both"/>
        <w:rPr>
          <w:rFonts w:ascii="Arial" w:hAnsi="Arial" w:cs="Arial"/>
          <w:lang w:val="ro-RO" w:eastAsia="en-US"/>
        </w:rPr>
      </w:pPr>
    </w:p>
    <w:p w:rsidR="00745EF8" w:rsidRDefault="00D711FF" w:rsidP="00745EF8">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F66786">
        <w:rPr>
          <w:rFonts w:ascii="Arial" w:hAnsi="Arial" w:cs="Arial"/>
          <w:lang w:val="ro-RO" w:eastAsia="en-US"/>
        </w:rPr>
        <w:t>5</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Ni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w:t>
      </w:r>
      <w:r w:rsidR="00957204" w:rsidRPr="00957204">
        <w:rPr>
          <w:rFonts w:ascii="Arial" w:hAnsi="Arial" w:cs="Arial"/>
          <w:lang w:val="ro-RO" w:eastAsia="en-US"/>
        </w:rPr>
        <w:t>(captură date)</w:t>
      </w:r>
      <w:r w:rsidRPr="000B253E">
        <w:rPr>
          <w:rFonts w:ascii="Arial" w:hAnsi="Arial" w:cs="Arial"/>
          <w:lang w:val="ro-RO" w:eastAsia="en-US"/>
        </w:rPr>
        <w:t>conform Legii 104/2011</w:t>
      </w:r>
      <w:r w:rsidR="00745EF8">
        <w:rPr>
          <w:rFonts w:ascii="Arial" w:hAnsi="Arial" w:cs="Arial"/>
          <w:lang w:val="ro-RO" w:eastAsia="en-US"/>
        </w:rPr>
        <w:t>.</w:t>
      </w:r>
      <w:r w:rsidR="00745EF8" w:rsidRPr="00745EF8">
        <w:rPr>
          <w:rFonts w:ascii="Arial" w:hAnsi="Arial" w:cs="Arial"/>
          <w:lang w:val="ro-RO" w:eastAsia="en-US"/>
        </w:rPr>
        <w:t xml:space="preserve"> </w:t>
      </w:r>
      <w:r w:rsidR="00745EF8">
        <w:rPr>
          <w:rFonts w:ascii="Arial" w:hAnsi="Arial" w:cs="Arial"/>
          <w:lang w:val="ro-RO" w:eastAsia="en-US"/>
        </w:rPr>
        <w:t>Datorită unor defecţiuni tehnice, în anul 2015 nu a fost înregistrată captura minimă de date la nicio staţie automată de monitorizare a calităţii aerului.</w:t>
      </w:r>
    </w:p>
    <w:p w:rsidR="00D711FF" w:rsidRDefault="00D711FF" w:rsidP="00EA05EB">
      <w:pPr>
        <w:autoSpaceDE w:val="0"/>
        <w:autoSpaceDN w:val="0"/>
        <w:adjustRightInd w:val="0"/>
        <w:jc w:val="both"/>
        <w:rPr>
          <w:rFonts w:ascii="Arial" w:hAnsi="Arial" w:cs="Arial"/>
          <w:sz w:val="24"/>
          <w:szCs w:val="24"/>
          <w:lang w:val="ro-RO" w:eastAsia="en-US"/>
        </w:rPr>
      </w:pPr>
    </w:p>
    <w:p w:rsidR="00EF1F8E" w:rsidRDefault="00B24EDD" w:rsidP="00EF1F8E">
      <w:pPr>
        <w:autoSpaceDE w:val="0"/>
        <w:autoSpaceDN w:val="0"/>
        <w:adjustRightInd w:val="0"/>
        <w:jc w:val="both"/>
        <w:rPr>
          <w:rFonts w:ascii="Arial" w:hAnsi="Arial" w:cs="Arial"/>
          <w:sz w:val="24"/>
          <w:szCs w:val="24"/>
          <w:lang w:val="ro-RO"/>
        </w:rPr>
      </w:pPr>
      <w:r>
        <w:rPr>
          <w:rFonts w:ascii="Arial" w:hAnsi="Arial" w:cs="Arial"/>
          <w:sz w:val="24"/>
          <w:szCs w:val="24"/>
          <w:lang w:val="ro-RO" w:eastAsia="en-US"/>
        </w:rPr>
        <w:t>I.1.1.3. Depășiri ale valorilor limită și valorilor țintă privind calitatea aerului înconjurător în zonele urbane</w:t>
      </w:r>
    </w:p>
    <w:p w:rsidR="00EF1F8E" w:rsidRDefault="00EF1F8E" w:rsidP="002700A7">
      <w:pPr>
        <w:jc w:val="both"/>
        <w:rPr>
          <w:rFonts w:ascii="Arial" w:hAnsi="Arial" w:cs="Arial"/>
          <w:sz w:val="24"/>
          <w:szCs w:val="24"/>
          <w:lang w:val="ro-RO"/>
        </w:rPr>
      </w:pPr>
    </w:p>
    <w:p w:rsidR="00B24EDD" w:rsidRPr="00D4795B" w:rsidRDefault="00B24EDD" w:rsidP="002700A7">
      <w:pPr>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1"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2283"/>
        <w:gridCol w:w="2283"/>
        <w:gridCol w:w="2283"/>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2457D3">
        <w:trPr>
          <w:trHeight w:val="357"/>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24 de ori într-</w:t>
            </w:r>
            <w:r w:rsidRPr="00D4795B">
              <w:rPr>
                <w:rFonts w:ascii="Arial" w:hAnsi="Arial" w:cs="Arial"/>
                <w:sz w:val="18"/>
                <w:szCs w:val="18"/>
                <w:lang w:val="ro-RO"/>
              </w:rPr>
              <w:lastRenderedPageBreak/>
              <w:t xml:space="preserve">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lastRenderedPageBreak/>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lastRenderedPageBreak/>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4E4E47" w:rsidP="00B24EDD">
      <w:pPr>
        <w:rPr>
          <w:rFonts w:ascii="Arial" w:hAnsi="Arial" w:cs="Arial"/>
          <w:sz w:val="16"/>
          <w:szCs w:val="16"/>
          <w:lang w:val="ro-RO"/>
        </w:rPr>
      </w:pPr>
      <w:hyperlink r:id="rId22"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4E4E47" w:rsidP="00B24EDD">
      <w:pPr>
        <w:rPr>
          <w:rFonts w:ascii="Arial" w:hAnsi="Arial" w:cs="Arial"/>
          <w:sz w:val="16"/>
          <w:szCs w:val="16"/>
          <w:lang w:val="ro-RO"/>
        </w:rPr>
      </w:pPr>
      <w:hyperlink r:id="rId23"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4E4E47"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B24EDD" w:rsidRDefault="00B24EDD"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În cursul anul 201</w:t>
      </w:r>
      <w:r w:rsidR="00F66786">
        <w:rPr>
          <w:rFonts w:ascii="Arial" w:hAnsi="Arial" w:cs="Arial"/>
          <w:sz w:val="24"/>
          <w:szCs w:val="24"/>
          <w:lang w:val="ro-RO" w:eastAsia="en-US"/>
        </w:rPr>
        <w:t>5</w:t>
      </w:r>
      <w:r>
        <w:rPr>
          <w:rFonts w:ascii="Arial" w:hAnsi="Arial" w:cs="Arial"/>
          <w:sz w:val="24"/>
          <w:szCs w:val="24"/>
          <w:lang w:val="ro-RO" w:eastAsia="en-US"/>
        </w:rPr>
        <w:t xml:space="preserve"> nu au fost depășite valorile limită/țintă pentru poluanții monitorizați la cele trei stații automate de monitorizarea calității aerului.</w:t>
      </w:r>
    </w:p>
    <w:p w:rsidR="00B24EDD" w:rsidRDefault="00B24EDD" w:rsidP="00EA05EB">
      <w:pPr>
        <w:autoSpaceDE w:val="0"/>
        <w:autoSpaceDN w:val="0"/>
        <w:adjustRightInd w:val="0"/>
        <w:jc w:val="both"/>
        <w:rPr>
          <w:rFonts w:ascii="Arial" w:hAnsi="Arial" w:cs="Arial"/>
          <w:sz w:val="24"/>
          <w:szCs w:val="24"/>
          <w:lang w:val="ro-RO" w:eastAsia="en-US"/>
        </w:rPr>
      </w:pPr>
    </w:p>
    <w:p w:rsidR="00AB7614" w:rsidRPr="002457D3" w:rsidRDefault="00AB7614" w:rsidP="002457D3">
      <w:pPr>
        <w:autoSpaceDE w:val="0"/>
        <w:autoSpaceDN w:val="0"/>
        <w:adjustRightInd w:val="0"/>
        <w:ind w:firstLine="720"/>
        <w:jc w:val="both"/>
        <w:rPr>
          <w:rFonts w:ascii="Arial" w:hAnsi="Arial" w:cs="Arial"/>
          <w:sz w:val="24"/>
          <w:szCs w:val="24"/>
          <w:lang w:val="ro-RO" w:eastAsia="en-US"/>
        </w:rPr>
      </w:pPr>
      <w:r w:rsidRPr="002457D3">
        <w:rPr>
          <w:rFonts w:ascii="Arial" w:hAnsi="Arial" w:cs="Arial"/>
          <w:sz w:val="24"/>
          <w:szCs w:val="24"/>
          <w:lang w:val="ro-RO" w:eastAsia="en-US"/>
        </w:rPr>
        <w:t>I.1.2. Efectele poluării aerului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EF1F8E" w:rsidRDefault="00AB7614" w:rsidP="00EF1F8E">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I.1.2.1.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sănătății</w:t>
      </w:r>
    </w:p>
    <w:p w:rsidR="004B273A" w:rsidRDefault="004B273A" w:rsidP="00EF1F8E">
      <w:pPr>
        <w:autoSpaceDE w:val="0"/>
        <w:autoSpaceDN w:val="0"/>
        <w:adjustRightInd w:val="0"/>
        <w:jc w:val="both"/>
        <w:rPr>
          <w:rFonts w:ascii="Arial" w:hAnsi="Arial" w:cs="Arial"/>
          <w:sz w:val="24"/>
          <w:szCs w:val="24"/>
          <w:lang w:val="ro-RO" w:eastAsia="en-US"/>
        </w:rPr>
      </w:pPr>
    </w:p>
    <w:p w:rsidR="00AB7614" w:rsidRDefault="00EF1F8E" w:rsidP="00EF1F8E">
      <w:pPr>
        <w:autoSpaceDE w:val="0"/>
        <w:autoSpaceDN w:val="0"/>
        <w:adjustRightInd w:val="0"/>
        <w:jc w:val="both"/>
        <w:rPr>
          <w:rFonts w:ascii="Arial" w:hAnsi="Arial" w:cs="Arial"/>
          <w:sz w:val="24"/>
          <w:szCs w:val="24"/>
          <w:lang w:val="ro-RO" w:eastAsia="en-US"/>
        </w:rPr>
      </w:pPr>
      <w:r>
        <w:rPr>
          <w:rFonts w:ascii="Arial" w:hAnsi="Arial" w:cs="Arial"/>
          <w:color w:val="000000"/>
          <w:sz w:val="24"/>
          <w:szCs w:val="24"/>
        </w:rPr>
        <w:t>O</w:t>
      </w:r>
      <w:r w:rsidR="006D37C6">
        <w:rPr>
          <w:rFonts w:ascii="Arial" w:hAnsi="Arial" w:cs="Arial"/>
          <w:color w:val="000000"/>
          <w:sz w:val="24"/>
          <w:szCs w:val="24"/>
        </w:rPr>
        <w:t xml:space="preserve"> </w:t>
      </w:r>
      <w:proofErr w:type="spellStart"/>
      <w:r w:rsidR="006D37C6">
        <w:rPr>
          <w:rFonts w:ascii="Arial" w:hAnsi="Arial" w:cs="Arial"/>
          <w:color w:val="000000"/>
          <w:sz w:val="24"/>
          <w:szCs w:val="24"/>
        </w:rPr>
        <w:t>serie</w:t>
      </w:r>
      <w:proofErr w:type="spellEnd"/>
      <w:r w:rsidR="006D37C6">
        <w:rPr>
          <w:rFonts w:ascii="Arial" w:hAnsi="Arial" w:cs="Arial"/>
          <w:color w:val="000000"/>
          <w:sz w:val="24"/>
          <w:szCs w:val="24"/>
        </w:rPr>
        <w:t xml:space="preserve"> de date </w:t>
      </w:r>
      <w:proofErr w:type="spellStart"/>
      <w:proofErr w:type="gramStart"/>
      <w:r w:rsidR="006D37C6">
        <w:rPr>
          <w:rFonts w:ascii="Arial" w:hAnsi="Arial" w:cs="Arial"/>
          <w:color w:val="000000"/>
          <w:sz w:val="24"/>
          <w:szCs w:val="24"/>
        </w:rPr>
        <w:t>şi</w:t>
      </w:r>
      <w:proofErr w:type="spellEnd"/>
      <w:r w:rsidR="006D37C6">
        <w:rPr>
          <w:rFonts w:ascii="Arial" w:hAnsi="Arial" w:cs="Arial"/>
          <w:color w:val="000000"/>
          <w:sz w:val="24"/>
          <w:szCs w:val="24"/>
        </w:rPr>
        <w:t xml:space="preserve">  </w:t>
      </w:r>
      <w:proofErr w:type="spellStart"/>
      <w:r w:rsidR="006D37C6">
        <w:rPr>
          <w:rFonts w:ascii="Arial" w:hAnsi="Arial" w:cs="Arial"/>
          <w:sz w:val="24"/>
          <w:szCs w:val="24"/>
        </w:rPr>
        <w:t>informa</w:t>
      </w:r>
      <w:proofErr w:type="gramEnd"/>
      <w:r w:rsidR="006D37C6">
        <w:rPr>
          <w:rFonts w:ascii="Arial" w:hAnsi="Arial" w:cs="Arial"/>
          <w:sz w:val="24"/>
          <w:szCs w:val="24"/>
        </w:rPr>
        <w:t>ții</w:t>
      </w:r>
      <w:proofErr w:type="spellEnd"/>
      <w:r w:rsidR="006D37C6">
        <w:rPr>
          <w:rFonts w:ascii="Arial" w:hAnsi="Arial" w:cs="Arial"/>
          <w:sz w:val="24"/>
          <w:szCs w:val="24"/>
        </w:rPr>
        <w:t xml:space="preserve"> </w:t>
      </w:r>
      <w:proofErr w:type="spellStart"/>
      <w:r w:rsidR="006D37C6">
        <w:rPr>
          <w:rFonts w:ascii="Arial" w:hAnsi="Arial" w:cs="Arial"/>
          <w:sz w:val="24"/>
          <w:szCs w:val="24"/>
        </w:rPr>
        <w:t>r</w:t>
      </w:r>
      <w:r w:rsidR="006D37C6">
        <w:rPr>
          <w:rFonts w:ascii="Arial" w:hAnsi="Arial" w:cs="Arial"/>
          <w:color w:val="000000"/>
          <w:sz w:val="24"/>
          <w:szCs w:val="24"/>
        </w:rPr>
        <w:t>eferitoare</w:t>
      </w:r>
      <w:proofErr w:type="spellEnd"/>
      <w:r w:rsidR="006D37C6">
        <w:rPr>
          <w:rFonts w:ascii="Arial" w:hAnsi="Arial" w:cs="Arial"/>
          <w:sz w:val="24"/>
          <w:szCs w:val="24"/>
        </w:rPr>
        <w:t xml:space="preserve"> la </w:t>
      </w:r>
      <w:proofErr w:type="spellStart"/>
      <w:r w:rsidR="006D37C6">
        <w:rPr>
          <w:rFonts w:ascii="Arial" w:hAnsi="Arial" w:cs="Arial"/>
          <w:sz w:val="24"/>
          <w:szCs w:val="24"/>
        </w:rPr>
        <w:t>principalii</w:t>
      </w:r>
      <w:proofErr w:type="spellEnd"/>
      <w:r w:rsidR="006D37C6">
        <w:rPr>
          <w:rFonts w:ascii="Arial" w:hAnsi="Arial" w:cs="Arial"/>
          <w:sz w:val="24"/>
          <w:szCs w:val="24"/>
        </w:rPr>
        <w:t xml:space="preserve"> </w:t>
      </w:r>
      <w:proofErr w:type="spellStart"/>
      <w:r w:rsidR="006D37C6">
        <w:rPr>
          <w:rFonts w:ascii="Arial" w:hAnsi="Arial" w:cs="Arial"/>
          <w:sz w:val="24"/>
          <w:szCs w:val="24"/>
        </w:rPr>
        <w:t>poluanți</w:t>
      </w:r>
      <w:proofErr w:type="spellEnd"/>
      <w:r w:rsidR="006D37C6">
        <w:rPr>
          <w:rFonts w:ascii="Arial" w:hAnsi="Arial" w:cs="Arial"/>
          <w:sz w:val="24"/>
          <w:szCs w:val="24"/>
        </w:rPr>
        <w:t xml:space="preserve"> din </w:t>
      </w:r>
      <w:proofErr w:type="spellStart"/>
      <w:r w:rsidR="006D37C6">
        <w:rPr>
          <w:rFonts w:ascii="Arial" w:hAnsi="Arial" w:cs="Arial"/>
          <w:sz w:val="24"/>
          <w:szCs w:val="24"/>
        </w:rPr>
        <w:t>atmosferă</w:t>
      </w:r>
      <w:proofErr w:type="spellEnd"/>
      <w:r w:rsidR="006D37C6">
        <w:rPr>
          <w:rFonts w:ascii="Arial" w:hAnsi="Arial" w:cs="Arial"/>
          <w:sz w:val="24"/>
          <w:szCs w:val="24"/>
        </w:rPr>
        <w:t xml:space="preserve"> </w:t>
      </w:r>
      <w:proofErr w:type="spellStart"/>
      <w:r w:rsidR="006D37C6">
        <w:rPr>
          <w:rFonts w:ascii="Arial" w:hAnsi="Arial" w:cs="Arial"/>
          <w:sz w:val="24"/>
          <w:szCs w:val="24"/>
        </w:rPr>
        <w:t>și</w:t>
      </w:r>
      <w:proofErr w:type="spellEnd"/>
      <w:r w:rsidR="006D37C6">
        <w:rPr>
          <w:rFonts w:ascii="Arial" w:hAnsi="Arial" w:cs="Arial"/>
          <w:sz w:val="24"/>
          <w:szCs w:val="24"/>
        </w:rPr>
        <w:t xml:space="preserve"> </w:t>
      </w:r>
      <w:proofErr w:type="spellStart"/>
      <w:r w:rsidR="006D37C6">
        <w:rPr>
          <w:rFonts w:ascii="Arial" w:hAnsi="Arial" w:cs="Arial"/>
          <w:sz w:val="24"/>
          <w:szCs w:val="24"/>
        </w:rPr>
        <w:t>efectele</w:t>
      </w:r>
      <w:proofErr w:type="spellEnd"/>
      <w:r w:rsidR="006D37C6">
        <w:rPr>
          <w:rFonts w:ascii="Arial" w:hAnsi="Arial" w:cs="Arial"/>
          <w:sz w:val="24"/>
          <w:szCs w:val="24"/>
        </w:rPr>
        <w:t xml:space="preserve"> </w:t>
      </w:r>
      <w:proofErr w:type="spellStart"/>
      <w:r w:rsidR="006D37C6">
        <w:rPr>
          <w:rFonts w:ascii="Arial" w:hAnsi="Arial" w:cs="Arial"/>
          <w:sz w:val="24"/>
          <w:szCs w:val="24"/>
        </w:rPr>
        <w:t>acestora</w:t>
      </w:r>
      <w:proofErr w:type="spellEnd"/>
      <w:r w:rsidR="006D37C6">
        <w:rPr>
          <w:rFonts w:ascii="Arial" w:hAnsi="Arial" w:cs="Arial"/>
          <w:sz w:val="24"/>
          <w:szCs w:val="24"/>
        </w:rPr>
        <w:t xml:space="preserve"> </w:t>
      </w:r>
      <w:proofErr w:type="spellStart"/>
      <w:r w:rsidR="006D37C6">
        <w:rPr>
          <w:rFonts w:ascii="Arial" w:hAnsi="Arial" w:cs="Arial"/>
          <w:sz w:val="24"/>
          <w:szCs w:val="24"/>
        </w:rPr>
        <w:t>asupra</w:t>
      </w:r>
      <w:proofErr w:type="spellEnd"/>
      <w:r w:rsidR="006D37C6">
        <w:rPr>
          <w:rFonts w:ascii="Arial" w:hAnsi="Arial" w:cs="Arial"/>
          <w:sz w:val="24"/>
          <w:szCs w:val="24"/>
        </w:rPr>
        <w:t xml:space="preserve"> </w:t>
      </w:r>
      <w:proofErr w:type="spellStart"/>
      <w:r w:rsidR="006D37C6">
        <w:rPr>
          <w:rFonts w:ascii="Arial" w:hAnsi="Arial" w:cs="Arial"/>
          <w:sz w:val="24"/>
          <w:szCs w:val="24"/>
        </w:rPr>
        <w:t>sănătății</w:t>
      </w:r>
      <w:proofErr w:type="spellEnd"/>
      <w:r w:rsidR="00AB2BB7">
        <w:rPr>
          <w:rFonts w:ascii="Arial" w:hAnsi="Arial" w:cs="Arial"/>
          <w:sz w:val="24"/>
          <w:szCs w:val="24"/>
        </w:rPr>
        <w:t xml:space="preserve"> </w:t>
      </w:r>
      <w:proofErr w:type="spellStart"/>
      <w:r w:rsidR="00AB2BB7">
        <w:rPr>
          <w:rFonts w:ascii="Arial" w:hAnsi="Arial" w:cs="Arial"/>
          <w:sz w:val="24"/>
          <w:szCs w:val="24"/>
        </w:rPr>
        <w:t>sunt</w:t>
      </w:r>
      <w:proofErr w:type="spellEnd"/>
      <w:r w:rsidR="00AB2BB7">
        <w:rPr>
          <w:rFonts w:ascii="Arial" w:hAnsi="Arial" w:cs="Arial"/>
          <w:sz w:val="24"/>
          <w:szCs w:val="24"/>
        </w:rPr>
        <w:t xml:space="preserve"> </w:t>
      </w:r>
      <w:proofErr w:type="spellStart"/>
      <w:r w:rsidR="00AB2BB7">
        <w:rPr>
          <w:rFonts w:ascii="Arial" w:hAnsi="Arial" w:cs="Arial"/>
          <w:sz w:val="24"/>
          <w:szCs w:val="24"/>
        </w:rPr>
        <w:t>prezentate</w:t>
      </w:r>
      <w:proofErr w:type="spellEnd"/>
      <w:r w:rsidR="00AB2BB7">
        <w:rPr>
          <w:rFonts w:ascii="Arial" w:hAnsi="Arial" w:cs="Arial"/>
          <w:sz w:val="24"/>
          <w:szCs w:val="24"/>
        </w:rPr>
        <w:t xml:space="preserve"> </w:t>
      </w:r>
      <w:proofErr w:type="spellStart"/>
      <w:r w:rsidR="00AB2BB7">
        <w:rPr>
          <w:rFonts w:ascii="Arial" w:hAnsi="Arial" w:cs="Arial"/>
          <w:sz w:val="24"/>
          <w:szCs w:val="24"/>
        </w:rPr>
        <w:t>şi</w:t>
      </w:r>
      <w:proofErr w:type="spellEnd"/>
      <w:r w:rsidR="00AB2BB7">
        <w:rPr>
          <w:rFonts w:ascii="Arial" w:hAnsi="Arial" w:cs="Arial"/>
          <w:sz w:val="24"/>
          <w:szCs w:val="24"/>
        </w:rPr>
        <w:t xml:space="preserve"> pot fi </w:t>
      </w:r>
      <w:proofErr w:type="spellStart"/>
      <w:r w:rsidR="00AB2BB7">
        <w:rPr>
          <w:rFonts w:ascii="Arial" w:hAnsi="Arial" w:cs="Arial"/>
          <w:sz w:val="24"/>
          <w:szCs w:val="24"/>
        </w:rPr>
        <w:t>consultate</w:t>
      </w:r>
      <w:proofErr w:type="spellEnd"/>
      <w:r w:rsidR="00AB2BB7">
        <w:rPr>
          <w:rFonts w:ascii="Arial" w:hAnsi="Arial" w:cs="Arial"/>
          <w:sz w:val="24"/>
          <w:szCs w:val="24"/>
        </w:rPr>
        <w:t xml:space="preserve"> </w:t>
      </w:r>
      <w:proofErr w:type="spellStart"/>
      <w:r w:rsidR="00AB2BB7">
        <w:rPr>
          <w:rFonts w:ascii="Arial" w:hAnsi="Arial" w:cs="Arial"/>
          <w:sz w:val="24"/>
          <w:szCs w:val="24"/>
        </w:rPr>
        <w:t>pe</w:t>
      </w:r>
      <w:proofErr w:type="spellEnd"/>
      <w:r w:rsidR="00AB2BB7">
        <w:rPr>
          <w:rFonts w:ascii="Arial" w:hAnsi="Arial" w:cs="Arial"/>
          <w:sz w:val="24"/>
          <w:szCs w:val="24"/>
        </w:rPr>
        <w:t xml:space="preserve"> </w:t>
      </w:r>
      <w:r w:rsidR="006D37C6">
        <w:rPr>
          <w:rFonts w:ascii="Arial" w:hAnsi="Arial" w:cs="Arial"/>
          <w:color w:val="000000"/>
          <w:sz w:val="24"/>
          <w:szCs w:val="24"/>
        </w:rPr>
        <w:t>site-</w:t>
      </w:r>
      <w:proofErr w:type="spellStart"/>
      <w:r w:rsidR="006D37C6">
        <w:rPr>
          <w:rFonts w:ascii="Arial" w:hAnsi="Arial" w:cs="Arial"/>
          <w:color w:val="000000"/>
          <w:sz w:val="24"/>
          <w:szCs w:val="24"/>
        </w:rPr>
        <w:t>ul</w:t>
      </w:r>
      <w:proofErr w:type="spellEnd"/>
      <w:r w:rsidR="006D37C6">
        <w:rPr>
          <w:rFonts w:ascii="Arial" w:hAnsi="Arial" w:cs="Arial"/>
          <w:color w:val="000000"/>
          <w:sz w:val="24"/>
          <w:szCs w:val="24"/>
        </w:rPr>
        <w:t xml:space="preserve"> </w:t>
      </w:r>
      <w:r w:rsidR="006D37C6" w:rsidRPr="004B273A">
        <w:rPr>
          <w:rFonts w:ascii="Arial" w:hAnsi="Arial" w:cs="Arial"/>
          <w:sz w:val="24"/>
          <w:szCs w:val="24"/>
        </w:rPr>
        <w:t>www.calitateaer.ro</w:t>
      </w:r>
      <w:r w:rsidR="00AB2BB7" w:rsidRPr="004B273A">
        <w:rPr>
          <w:rFonts w:ascii="Arial" w:hAnsi="Arial" w:cs="Arial"/>
          <w:sz w:val="24"/>
          <w:szCs w:val="24"/>
        </w:rPr>
        <w:t>.</w:t>
      </w:r>
    </w:p>
    <w:p w:rsidR="006E423C" w:rsidRPr="006E423C" w:rsidRDefault="006E423C" w:rsidP="00BA631C">
      <w:pPr>
        <w:autoSpaceDE w:val="0"/>
        <w:autoSpaceDN w:val="0"/>
        <w:adjustRightInd w:val="0"/>
        <w:ind w:firstLine="72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201</w:t>
      </w:r>
      <w:r w:rsidR="008A1113">
        <w:rPr>
          <w:rFonts w:ascii="Arial" w:hAnsi="Arial" w:cs="Arial"/>
          <w:bCs/>
          <w:sz w:val="24"/>
          <w:szCs w:val="24"/>
          <w:lang w:val="ro-RO" w:eastAsia="en-US"/>
        </w:rPr>
        <w:t>5</w:t>
      </w:r>
      <w:r w:rsidRPr="006E423C">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6E423C">
      <w:pPr>
        <w:autoSpaceDE w:val="0"/>
        <w:autoSpaceDN w:val="0"/>
        <w:adjustRightInd w:val="0"/>
        <w:jc w:val="both"/>
        <w:rPr>
          <w:rFonts w:ascii="Arial" w:hAnsi="Arial" w:cs="Arial"/>
          <w:bCs/>
          <w:sz w:val="24"/>
          <w:szCs w:val="24"/>
          <w:lang w:val="ro-RO" w:eastAsia="en-US"/>
        </w:rPr>
      </w:pPr>
      <w:r>
        <w:rPr>
          <w:rFonts w:ascii="Arial" w:hAnsi="Arial" w:cs="Arial"/>
          <w:bCs/>
          <w:sz w:val="24"/>
          <w:szCs w:val="24"/>
          <w:lang w:val="ro-RO" w:eastAsia="en-US"/>
        </w:rPr>
        <w:lastRenderedPageBreak/>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toare municipiului</w:t>
      </w:r>
      <w:r w:rsidR="006E423C">
        <w:rPr>
          <w:rFonts w:ascii="Arial" w:hAnsi="Arial" w:cs="Arial"/>
          <w:bCs/>
          <w:sz w:val="24"/>
          <w:szCs w:val="24"/>
          <w:lang w:val="ro-RO" w:eastAsia="en-US"/>
        </w:rPr>
        <w:t xml:space="preserve"> </w:t>
      </w:r>
      <w:r w:rsidR="006E423C" w:rsidRPr="006E423C">
        <w:rPr>
          <w:rFonts w:ascii="Arial" w:hAnsi="Arial" w:cs="Arial"/>
          <w:bCs/>
          <w:sz w:val="24"/>
          <w:szCs w:val="24"/>
          <w:lang w:val="ro-RO" w:eastAsia="en-US"/>
        </w:rPr>
        <w:t xml:space="preserve">Tg-Jiu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localit</w:t>
      </w:r>
      <w:r w:rsidR="006E423C">
        <w:rPr>
          <w:rFonts w:ascii="Arial" w:hAnsi="Arial" w:cs="Arial"/>
          <w:bCs/>
          <w:sz w:val="24"/>
          <w:szCs w:val="24"/>
          <w:lang w:val="ro-RO" w:eastAsia="en-US"/>
        </w:rPr>
        <w:t>ăț</w:t>
      </w:r>
      <w:r w:rsidR="006E423C" w:rsidRPr="006E423C">
        <w:rPr>
          <w:rFonts w:ascii="Arial" w:hAnsi="Arial" w:cs="Arial"/>
          <w:bCs/>
          <w:sz w:val="24"/>
          <w:szCs w:val="24"/>
          <w:lang w:val="ro-RO" w:eastAsia="en-US"/>
        </w:rPr>
        <w:t xml:space="preserve">ilor 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p>
    <w:p w:rsidR="00745EF8"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p>
    <w:p w:rsidR="006E423C" w:rsidRDefault="008412E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Tabel I.</w:t>
      </w:r>
      <w:r w:rsidR="009656EF">
        <w:rPr>
          <w:rFonts w:ascii="Arial" w:hAnsi="Arial" w:cs="Arial"/>
          <w:bCs/>
          <w:sz w:val="24"/>
          <w:szCs w:val="24"/>
          <w:lang w:val="ro-RO" w:eastAsia="en-US"/>
        </w:rPr>
        <w:t>3</w:t>
      </w:r>
      <w:r>
        <w:rPr>
          <w:rFonts w:ascii="Arial" w:hAnsi="Arial" w:cs="Arial"/>
          <w:bCs/>
          <w:sz w:val="24"/>
          <w:szCs w:val="24"/>
          <w:lang w:val="ro-RO" w:eastAsia="en-US"/>
        </w:rPr>
        <w:t xml:space="preserve">. </w:t>
      </w:r>
      <w:r w:rsidR="00D711FF">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D711FF" w:rsidRPr="00D711FF" w:rsidRDefault="00D711FF" w:rsidP="008412EF">
      <w:pPr>
        <w:numPr>
          <w:ilvl w:val="0"/>
          <w:numId w:val="28"/>
        </w:numPr>
        <w:pBdr>
          <w:bottom w:val="single" w:sz="4" w:space="1" w:color="auto"/>
        </w:pBdr>
        <w:contextualSpacing/>
        <w:rPr>
          <w:sz w:val="24"/>
          <w:szCs w:val="24"/>
          <w:lang w:eastAsia="en-US"/>
        </w:rPr>
      </w:pPr>
      <w:r w:rsidRPr="00D711FF">
        <w:rPr>
          <w:b/>
          <w:sz w:val="24"/>
          <w:szCs w:val="24"/>
          <w:lang w:eastAsia="en-US"/>
        </w:rPr>
        <w:t>POPULATIE/SEX</w:t>
      </w:r>
      <w:r w:rsidRPr="00D711FF">
        <w:rPr>
          <w:sz w:val="24"/>
          <w:szCs w:val="24"/>
          <w:lang w:eastAsia="en-US"/>
        </w:rPr>
        <w:t xml:space="preserve">                        </w:t>
      </w:r>
      <w:r w:rsidRPr="00C82062">
        <w:rPr>
          <w:b/>
          <w:sz w:val="24"/>
          <w:szCs w:val="24"/>
          <w:lang w:eastAsia="en-US"/>
        </w:rPr>
        <w:t>BARBATI                         FEMEI                TOTAL</w:t>
      </w:r>
    </w:p>
    <w:p w:rsidR="00D711FF" w:rsidRDefault="00D711FF" w:rsidP="008412EF">
      <w:pPr>
        <w:pBdr>
          <w:bottom w:val="single" w:sz="4" w:space="1" w:color="auto"/>
        </w:pBdr>
        <w:contextualSpacing/>
        <w:rPr>
          <w:sz w:val="24"/>
          <w:szCs w:val="24"/>
          <w:lang w:eastAsia="en-US"/>
        </w:rPr>
      </w:pPr>
      <w:r w:rsidRPr="00D711FF">
        <w:rPr>
          <w:sz w:val="24"/>
          <w:szCs w:val="24"/>
          <w:lang w:eastAsia="en-US"/>
        </w:rPr>
        <w:t xml:space="preserve">                                                                 </w:t>
      </w:r>
      <w:r w:rsidR="008A1113" w:rsidRPr="008A1113">
        <w:rPr>
          <w:sz w:val="24"/>
          <w:szCs w:val="24"/>
          <w:lang w:eastAsia="en-US"/>
        </w:rPr>
        <w:t>181998                              189264                367262</w:t>
      </w:r>
    </w:p>
    <w:p w:rsidR="00D711FF" w:rsidRPr="00D711FF" w:rsidRDefault="00D711FF" w:rsidP="008412EF">
      <w:pPr>
        <w:numPr>
          <w:ilvl w:val="0"/>
          <w:numId w:val="28"/>
        </w:numPr>
        <w:pBdr>
          <w:bottom w:val="single" w:sz="4" w:space="1" w:color="auto"/>
        </w:pBdr>
        <w:contextualSpacing/>
        <w:rPr>
          <w:sz w:val="24"/>
          <w:szCs w:val="24"/>
          <w:lang w:eastAsia="en-US"/>
        </w:rPr>
      </w:pPr>
      <w:r w:rsidRPr="00D711FF">
        <w:rPr>
          <w:b/>
          <w:sz w:val="24"/>
          <w:szCs w:val="24"/>
          <w:lang w:eastAsia="en-US"/>
        </w:rPr>
        <w:t>POPULATIA/GRUPE DE VARSTA</w:t>
      </w:r>
      <w:r w:rsidRPr="00D711FF">
        <w:rPr>
          <w:sz w:val="24"/>
          <w:szCs w:val="24"/>
          <w:lang w:eastAsia="en-US"/>
        </w:rPr>
        <w:t xml:space="preserve">    </w:t>
      </w:r>
      <w:r w:rsidRPr="00C82062">
        <w:rPr>
          <w:b/>
          <w:sz w:val="24"/>
          <w:szCs w:val="24"/>
          <w:lang w:eastAsia="en-US"/>
        </w:rPr>
        <w:t>0-14 ANI           15-64 ANI         64-65 ANI</w:t>
      </w:r>
    </w:p>
    <w:p w:rsidR="008412EF" w:rsidRDefault="00D711FF" w:rsidP="008412EF">
      <w:pPr>
        <w:numPr>
          <w:ilvl w:val="1"/>
          <w:numId w:val="29"/>
        </w:numPr>
        <w:pBdr>
          <w:bottom w:val="single" w:sz="4" w:space="1" w:color="auto"/>
        </w:pBdr>
        <w:spacing w:after="200"/>
        <w:contextualSpacing/>
        <w:rPr>
          <w:sz w:val="24"/>
          <w:szCs w:val="24"/>
          <w:lang w:eastAsia="en-US"/>
        </w:rPr>
      </w:pPr>
      <w:r w:rsidRPr="00D711FF">
        <w:rPr>
          <w:sz w:val="24"/>
          <w:szCs w:val="24"/>
          <w:lang w:eastAsia="en-US"/>
        </w:rPr>
        <w:t xml:space="preserve">                  265.240            53.146</w:t>
      </w:r>
    </w:p>
    <w:p w:rsidR="00D711FF" w:rsidRPr="002457D3" w:rsidRDefault="002457D3" w:rsidP="008412EF">
      <w:pPr>
        <w:numPr>
          <w:ilvl w:val="0"/>
          <w:numId w:val="28"/>
        </w:numPr>
        <w:pBdr>
          <w:bottom w:val="single" w:sz="4" w:space="1" w:color="auto"/>
        </w:pBdr>
        <w:spacing w:after="200"/>
        <w:contextualSpacing/>
        <w:rPr>
          <w:b/>
          <w:sz w:val="24"/>
          <w:szCs w:val="24"/>
          <w:lang w:eastAsia="en-US"/>
        </w:rPr>
      </w:pPr>
      <w:r>
        <w:rPr>
          <w:b/>
          <w:sz w:val="24"/>
          <w:szCs w:val="24"/>
          <w:lang w:eastAsia="en-US"/>
        </w:rPr>
        <w:t>DATE DE MORTALITATE</w:t>
      </w:r>
      <w:r w:rsidR="00D711FF" w:rsidRPr="002457D3">
        <w:rPr>
          <w:b/>
          <w:sz w:val="24"/>
          <w:szCs w:val="24"/>
          <w:lang w:eastAsia="en-US"/>
        </w:rPr>
        <w:t xml:space="preserve">                                                  </w:t>
      </w:r>
      <w:proofErr w:type="spellStart"/>
      <w:r w:rsidR="00D711FF" w:rsidRPr="002457D3">
        <w:rPr>
          <w:b/>
          <w:sz w:val="24"/>
          <w:szCs w:val="24"/>
          <w:lang w:eastAsia="en-US"/>
        </w:rPr>
        <w:t>cifra</w:t>
      </w:r>
      <w:proofErr w:type="spellEnd"/>
      <w:r w:rsidR="00D711FF" w:rsidRPr="002457D3">
        <w:rPr>
          <w:b/>
          <w:sz w:val="24"/>
          <w:szCs w:val="24"/>
          <w:lang w:eastAsia="en-US"/>
        </w:rPr>
        <w:t xml:space="preserve"> abs               rata </w:t>
      </w:r>
      <w:proofErr w:type="spellStart"/>
      <w:r w:rsidR="00D711FF" w:rsidRPr="002457D3">
        <w:rPr>
          <w:b/>
          <w:sz w:val="24"/>
          <w:szCs w:val="24"/>
          <w:lang w:eastAsia="en-US"/>
        </w:rPr>
        <w:t>calc</w:t>
      </w:r>
      <w:proofErr w:type="spellEnd"/>
      <w:r w:rsidR="00D711FF" w:rsidRPr="002457D3">
        <w:rPr>
          <w:b/>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INFANTILA                                                    </w:t>
      </w:r>
      <w:r w:rsidR="007F6823">
        <w:rPr>
          <w:sz w:val="24"/>
          <w:szCs w:val="24"/>
          <w:lang w:eastAsia="en-US"/>
        </w:rPr>
        <w:t>2</w:t>
      </w:r>
      <w:r w:rsidRPr="00D711FF">
        <w:rPr>
          <w:sz w:val="24"/>
          <w:szCs w:val="24"/>
          <w:lang w:eastAsia="en-US"/>
        </w:rPr>
        <w:t xml:space="preserve">                        </w:t>
      </w:r>
      <w:r w:rsidR="007F6823">
        <w:rPr>
          <w:sz w:val="24"/>
          <w:szCs w:val="24"/>
          <w:lang w:eastAsia="en-US"/>
        </w:rPr>
        <w:t>1</w:t>
      </w:r>
      <w:proofErr w:type="gramStart"/>
      <w:r w:rsidR="007F6823">
        <w:rPr>
          <w:sz w:val="24"/>
          <w:szCs w:val="24"/>
          <w:lang w:eastAsia="en-US"/>
        </w:rPr>
        <w:t>,0</w:t>
      </w:r>
      <w:proofErr w:type="gramEnd"/>
      <w:r w:rsidR="007F6823">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w:t>
      </w:r>
      <w:proofErr w:type="gramStart"/>
      <w:r w:rsidRPr="00D711FF">
        <w:rPr>
          <w:sz w:val="24"/>
          <w:szCs w:val="24"/>
          <w:lang w:eastAsia="en-US"/>
        </w:rPr>
        <w:t>INFANTILA  PRIN</w:t>
      </w:r>
      <w:proofErr w:type="gramEnd"/>
      <w:r w:rsidRPr="00D711FF">
        <w:rPr>
          <w:sz w:val="24"/>
          <w:szCs w:val="24"/>
          <w:lang w:eastAsia="en-US"/>
        </w:rPr>
        <w:t xml:space="preserve"> BOLI RESP.                   1                         0</w:t>
      </w:r>
      <w:proofErr w:type="gramStart"/>
      <w:r w:rsidRPr="00D711FF">
        <w:rPr>
          <w:sz w:val="24"/>
          <w:szCs w:val="24"/>
          <w:lang w:eastAsia="en-US"/>
        </w:rPr>
        <w:t>,</w:t>
      </w:r>
      <w:r w:rsidR="007F6823">
        <w:rPr>
          <w:sz w:val="24"/>
          <w:szCs w:val="24"/>
          <w:lang w:eastAsia="en-US"/>
        </w:rPr>
        <w:t>5</w:t>
      </w:r>
      <w:proofErr w:type="gramEnd"/>
      <w:r w:rsidR="007F6823" w:rsidRPr="007F6823">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GENERALA TOTAL                                 </w:t>
      </w:r>
      <w:r w:rsidR="007F6823">
        <w:rPr>
          <w:sz w:val="24"/>
          <w:szCs w:val="24"/>
          <w:lang w:eastAsia="en-US"/>
        </w:rPr>
        <w:t>3988</w:t>
      </w:r>
      <w:r w:rsidRPr="00D711FF">
        <w:rPr>
          <w:sz w:val="24"/>
          <w:szCs w:val="24"/>
          <w:lang w:eastAsia="en-US"/>
        </w:rPr>
        <w:t xml:space="preserve">                      </w:t>
      </w:r>
      <w:r w:rsidR="007F6823">
        <w:rPr>
          <w:sz w:val="24"/>
          <w:szCs w:val="24"/>
          <w:lang w:eastAsia="en-US"/>
        </w:rPr>
        <w:t>10</w:t>
      </w:r>
      <w:proofErr w:type="gramStart"/>
      <w:r w:rsidR="007F6823">
        <w:rPr>
          <w:sz w:val="24"/>
          <w:szCs w:val="24"/>
          <w:lang w:eastAsia="en-US"/>
        </w:rPr>
        <w:t>,9</w:t>
      </w:r>
      <w:proofErr w:type="gramEnd"/>
      <w:r w:rsidR="007F6823" w:rsidRPr="007F6823">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PRIN AFECT .RESP.                                   </w:t>
      </w:r>
      <w:r w:rsidR="007F6823">
        <w:rPr>
          <w:sz w:val="24"/>
          <w:szCs w:val="24"/>
          <w:lang w:eastAsia="en-US"/>
        </w:rPr>
        <w:t>126</w:t>
      </w:r>
      <w:r w:rsidRPr="00D711FF">
        <w:rPr>
          <w:sz w:val="24"/>
          <w:szCs w:val="24"/>
          <w:lang w:eastAsia="en-US"/>
        </w:rPr>
        <w:t xml:space="preserve">                       </w:t>
      </w:r>
      <w:r w:rsidR="007F6823">
        <w:rPr>
          <w:sz w:val="24"/>
          <w:szCs w:val="24"/>
          <w:lang w:eastAsia="en-US"/>
        </w:rPr>
        <w:t>0</w:t>
      </w:r>
      <w:proofErr w:type="gramStart"/>
      <w:r w:rsidR="007F6823">
        <w:rPr>
          <w:sz w:val="24"/>
          <w:szCs w:val="24"/>
          <w:lang w:eastAsia="en-US"/>
        </w:rPr>
        <w:t>,3</w:t>
      </w:r>
      <w:proofErr w:type="gramEnd"/>
      <w:r w:rsidR="007F6823" w:rsidRPr="007F6823">
        <w:rPr>
          <w:sz w:val="24"/>
          <w:szCs w:val="24"/>
          <w:lang w:eastAsia="en-US"/>
        </w:rPr>
        <w:t>‰</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MORTALITATE PRIN AFECT C-V                                      2</w:t>
      </w:r>
      <w:r w:rsidR="007F6823">
        <w:rPr>
          <w:sz w:val="24"/>
          <w:szCs w:val="24"/>
          <w:lang w:eastAsia="en-US"/>
        </w:rPr>
        <w:t>110</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7F6823">
        <w:rPr>
          <w:sz w:val="24"/>
          <w:szCs w:val="24"/>
          <w:lang w:eastAsia="en-US"/>
        </w:rPr>
        <w:t>5</w:t>
      </w:r>
      <w:proofErr w:type="gramStart"/>
      <w:r w:rsidR="007F6823">
        <w:rPr>
          <w:sz w:val="24"/>
          <w:szCs w:val="24"/>
          <w:lang w:eastAsia="en-US"/>
        </w:rPr>
        <w:t>,7</w:t>
      </w:r>
      <w:proofErr w:type="gramEnd"/>
      <w:r w:rsidR="007F6823" w:rsidRPr="007F6823">
        <w:rPr>
          <w:sz w:val="24"/>
          <w:szCs w:val="24"/>
          <w:lang w:eastAsia="en-US"/>
        </w:rPr>
        <w:t>‰</w:t>
      </w:r>
      <w:r w:rsidR="007F6823">
        <w:rPr>
          <w:sz w:val="24"/>
          <w:szCs w:val="24"/>
          <w:lang w:eastAsia="en-US"/>
        </w:rPr>
        <w:t xml:space="preserve"> </w:t>
      </w:r>
      <w:r w:rsidRPr="00D711FF">
        <w:rPr>
          <w:sz w:val="24"/>
          <w:szCs w:val="24"/>
          <w:lang w:eastAsia="en-US"/>
        </w:rPr>
        <w:t xml:space="preserve">MORTALITATE PRIN TUMORI MALIGNE RESP.              </w:t>
      </w:r>
      <w:r w:rsidR="007F6823">
        <w:rPr>
          <w:sz w:val="24"/>
          <w:szCs w:val="24"/>
          <w:lang w:eastAsia="en-US"/>
        </w:rPr>
        <w:t>120</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7F6823">
        <w:rPr>
          <w:sz w:val="24"/>
          <w:szCs w:val="24"/>
          <w:lang w:eastAsia="en-US"/>
        </w:rPr>
        <w:t>0</w:t>
      </w:r>
      <w:proofErr w:type="gramStart"/>
      <w:r w:rsidR="007F6823">
        <w:rPr>
          <w:sz w:val="24"/>
          <w:szCs w:val="24"/>
          <w:lang w:eastAsia="en-US"/>
        </w:rPr>
        <w:t>,3</w:t>
      </w:r>
      <w:proofErr w:type="gramEnd"/>
      <w:r w:rsidR="007F6823">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 xml:space="preserve">DATE DE MORBIDITATE (INCIDENTA)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GENERALA –TOTAL                                </w:t>
      </w:r>
      <w:r w:rsidR="00515185">
        <w:rPr>
          <w:sz w:val="24"/>
          <w:szCs w:val="24"/>
          <w:lang w:eastAsia="en-US"/>
        </w:rPr>
        <w:t>377730</w:t>
      </w:r>
      <w:r w:rsidRPr="00D711FF">
        <w:rPr>
          <w:sz w:val="24"/>
          <w:szCs w:val="24"/>
          <w:lang w:eastAsia="en-US"/>
        </w:rPr>
        <w:t xml:space="preserve">      </w:t>
      </w:r>
      <w:r w:rsidR="00515185">
        <w:rPr>
          <w:sz w:val="24"/>
          <w:szCs w:val="24"/>
          <w:lang w:eastAsia="en-US"/>
        </w:rPr>
        <w:t>102850</w:t>
      </w:r>
      <w:proofErr w:type="gramStart"/>
      <w:r w:rsidR="00515185">
        <w:rPr>
          <w:sz w:val="24"/>
          <w:szCs w:val="24"/>
          <w:lang w:eastAsia="en-US"/>
        </w:rPr>
        <w:t>,28</w:t>
      </w:r>
      <w:proofErr w:type="gramEnd"/>
      <w:r w:rsidRPr="00D711FF">
        <w:rPr>
          <w:sz w:val="24"/>
          <w:szCs w:val="24"/>
          <w:lang w:eastAsia="en-US"/>
        </w:rPr>
        <w:t xml:space="preserve"> </w:t>
      </w:r>
      <w:r w:rsidR="00515185" w:rsidRPr="00515185">
        <w:rPr>
          <w:sz w:val="24"/>
          <w:szCs w:val="24"/>
          <w:lang w:eastAsia="en-US"/>
        </w:rPr>
        <w:t>‰</w:t>
      </w:r>
      <w:r w:rsidRPr="00D711FF">
        <w:rPr>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AFECTIUNI RESPIRATORII           </w:t>
      </w:r>
      <w:r w:rsidR="00515185">
        <w:rPr>
          <w:sz w:val="24"/>
          <w:szCs w:val="24"/>
          <w:lang w:eastAsia="en-US"/>
        </w:rPr>
        <w:t>104658</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515185">
        <w:rPr>
          <w:sz w:val="24"/>
          <w:szCs w:val="24"/>
          <w:lang w:eastAsia="en-US"/>
        </w:rPr>
        <w:t>28496</w:t>
      </w:r>
      <w:proofErr w:type="gramStart"/>
      <w:r w:rsidR="00515185">
        <w:rPr>
          <w:sz w:val="24"/>
          <w:szCs w:val="24"/>
          <w:lang w:eastAsia="en-US"/>
        </w:rPr>
        <w:t>,82</w:t>
      </w:r>
      <w:proofErr w:type="gramEnd"/>
      <w:r w:rsidR="00515185" w:rsidRPr="00515185">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AFECTIUNI C-V                                </w:t>
      </w:r>
      <w:r w:rsidR="00515185">
        <w:rPr>
          <w:sz w:val="24"/>
          <w:szCs w:val="24"/>
          <w:lang w:eastAsia="en-US"/>
        </w:rPr>
        <w:t>19365          5272</w:t>
      </w:r>
      <w:proofErr w:type="gramStart"/>
      <w:r w:rsidR="00515185">
        <w:rPr>
          <w:sz w:val="24"/>
          <w:szCs w:val="24"/>
          <w:lang w:eastAsia="en-US"/>
        </w:rPr>
        <w:t>,80</w:t>
      </w:r>
      <w:proofErr w:type="gramEnd"/>
      <w:r w:rsidR="00515185" w:rsidRPr="00515185">
        <w:rPr>
          <w:sz w:val="24"/>
          <w:szCs w:val="24"/>
          <w:lang w:eastAsia="en-US"/>
        </w:rPr>
        <w:t>‰</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TUMORI MALIGNE                          </w:t>
      </w:r>
      <w:r w:rsidR="00515185">
        <w:rPr>
          <w:sz w:val="24"/>
          <w:szCs w:val="24"/>
          <w:lang w:eastAsia="en-US"/>
        </w:rPr>
        <w:t>1371               373</w:t>
      </w:r>
      <w:proofErr w:type="gramStart"/>
      <w:r w:rsidR="00515185">
        <w:rPr>
          <w:sz w:val="24"/>
          <w:szCs w:val="24"/>
          <w:lang w:eastAsia="en-US"/>
        </w:rPr>
        <w:t>,30</w:t>
      </w:r>
      <w:proofErr w:type="gramEnd"/>
      <w:r w:rsidR="00515185" w:rsidRPr="00515185">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 xml:space="preserve">DATE DE MORBIDITATE SPECIFICA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I.A.C.R.S                                            </w:t>
      </w:r>
      <w:r w:rsidR="00515185">
        <w:rPr>
          <w:sz w:val="24"/>
          <w:szCs w:val="24"/>
          <w:lang w:eastAsia="en-US"/>
        </w:rPr>
        <w:t>36611</w:t>
      </w:r>
      <w:r w:rsidR="00515185">
        <w:rPr>
          <w:sz w:val="24"/>
          <w:szCs w:val="24"/>
          <w:lang w:eastAsia="en-US"/>
        </w:rPr>
        <w:tab/>
        <w:t>9968</w:t>
      </w:r>
      <w:proofErr w:type="gramStart"/>
      <w:r w:rsidR="00515185">
        <w:rPr>
          <w:sz w:val="24"/>
          <w:szCs w:val="24"/>
          <w:lang w:eastAsia="en-US"/>
        </w:rPr>
        <w:t>,63</w:t>
      </w:r>
      <w:proofErr w:type="gramEnd"/>
      <w:r w:rsidR="00515185">
        <w:rPr>
          <w:sz w:val="24"/>
          <w:szCs w:val="24"/>
          <w:lang w:eastAsia="en-US"/>
        </w:rPr>
        <w:t>‰</w:t>
      </w:r>
      <w:r w:rsidRPr="00D711FF">
        <w:rPr>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PNEUMONIE                                              </w:t>
      </w:r>
      <w:r w:rsidR="00515185">
        <w:rPr>
          <w:sz w:val="24"/>
          <w:szCs w:val="24"/>
          <w:lang w:eastAsia="en-US"/>
        </w:rPr>
        <w:t>21057</w:t>
      </w:r>
      <w:r w:rsidR="00515185">
        <w:rPr>
          <w:sz w:val="24"/>
          <w:szCs w:val="24"/>
          <w:lang w:eastAsia="en-US"/>
        </w:rPr>
        <w:tab/>
        <w:t>5733</w:t>
      </w:r>
      <w:proofErr w:type="gramStart"/>
      <w:r w:rsidR="00515185">
        <w:rPr>
          <w:sz w:val="24"/>
          <w:szCs w:val="24"/>
          <w:lang w:eastAsia="en-US"/>
        </w:rPr>
        <w:t>,50</w:t>
      </w:r>
      <w:proofErr w:type="gramEnd"/>
      <w:r w:rsidR="00515185">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BRONSITA SI BRONSIOLITA AC           </w:t>
      </w:r>
      <w:r w:rsidR="00515185">
        <w:rPr>
          <w:sz w:val="24"/>
          <w:szCs w:val="24"/>
          <w:lang w:eastAsia="en-US"/>
        </w:rPr>
        <w:t>23482</w:t>
      </w:r>
      <w:r w:rsidR="00515185">
        <w:rPr>
          <w:sz w:val="24"/>
          <w:szCs w:val="24"/>
          <w:lang w:eastAsia="en-US"/>
        </w:rPr>
        <w:tab/>
        <w:t>6393</w:t>
      </w:r>
      <w:proofErr w:type="gramStart"/>
      <w:r w:rsidR="00515185">
        <w:rPr>
          <w:sz w:val="24"/>
          <w:szCs w:val="24"/>
          <w:lang w:eastAsia="en-US"/>
        </w:rPr>
        <w:t>,80</w:t>
      </w:r>
      <w:proofErr w:type="gramEnd"/>
      <w:r w:rsidR="00515185">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BRONSITA CR.                                             </w:t>
      </w:r>
      <w:r w:rsidR="00515185">
        <w:rPr>
          <w:sz w:val="24"/>
          <w:szCs w:val="24"/>
          <w:lang w:eastAsia="en-US"/>
        </w:rPr>
        <w:t>2435</w:t>
      </w:r>
      <w:r w:rsidR="00515185">
        <w:rPr>
          <w:sz w:val="24"/>
          <w:szCs w:val="24"/>
          <w:lang w:eastAsia="en-US"/>
        </w:rPr>
        <w:tab/>
        <w:t xml:space="preserve">   663</w:t>
      </w:r>
      <w:proofErr w:type="gramStart"/>
      <w:r w:rsidR="00515185">
        <w:rPr>
          <w:sz w:val="24"/>
          <w:szCs w:val="24"/>
          <w:lang w:eastAsia="en-US"/>
        </w:rPr>
        <w:t>,01</w:t>
      </w:r>
      <w:proofErr w:type="gramEnd"/>
      <w:r w:rsidR="00515185">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EMFIZEM                                                           </w:t>
      </w:r>
      <w:r w:rsidR="00515185">
        <w:rPr>
          <w:sz w:val="24"/>
          <w:szCs w:val="24"/>
          <w:lang w:eastAsia="en-US"/>
        </w:rPr>
        <w:t>17</w:t>
      </w:r>
      <w:r w:rsidR="00515185">
        <w:rPr>
          <w:sz w:val="24"/>
          <w:szCs w:val="24"/>
          <w:lang w:eastAsia="en-US"/>
        </w:rPr>
        <w:tab/>
        <w:t xml:space="preserve">       4</w:t>
      </w:r>
      <w:proofErr w:type="gramStart"/>
      <w:r w:rsidR="00515185">
        <w:rPr>
          <w:sz w:val="24"/>
          <w:szCs w:val="24"/>
          <w:lang w:eastAsia="en-US"/>
        </w:rPr>
        <w:t>,62</w:t>
      </w:r>
      <w:proofErr w:type="gramEnd"/>
      <w:r w:rsidR="00515185">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ASTM BRONSIC                                              </w:t>
      </w:r>
      <w:r w:rsidR="00515185">
        <w:rPr>
          <w:sz w:val="24"/>
          <w:szCs w:val="24"/>
          <w:lang w:eastAsia="en-US"/>
        </w:rPr>
        <w:t>520</w:t>
      </w:r>
      <w:r w:rsidR="00515185">
        <w:rPr>
          <w:sz w:val="24"/>
          <w:szCs w:val="24"/>
          <w:lang w:eastAsia="en-US"/>
        </w:rPr>
        <w:tab/>
        <w:t xml:space="preserve">    141</w:t>
      </w:r>
      <w:proofErr w:type="gramStart"/>
      <w:r w:rsidR="00515185">
        <w:rPr>
          <w:sz w:val="24"/>
          <w:szCs w:val="24"/>
          <w:lang w:eastAsia="en-US"/>
        </w:rPr>
        <w:t>,58</w:t>
      </w:r>
      <w:proofErr w:type="gramEnd"/>
      <w:r w:rsidR="00515185">
        <w:rPr>
          <w:sz w:val="24"/>
          <w:szCs w:val="24"/>
          <w:lang w:eastAsia="en-US"/>
        </w:rPr>
        <w:t>‰</w:t>
      </w:r>
      <w:r w:rsidRPr="00D711FF">
        <w:rPr>
          <w:sz w:val="24"/>
          <w:szCs w:val="24"/>
          <w:lang w:eastAsia="en-US"/>
        </w:rPr>
        <w:t xml:space="preserve">                </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I.M.A.                                                                   </w:t>
      </w:r>
      <w:r w:rsidR="00515185">
        <w:rPr>
          <w:sz w:val="24"/>
          <w:szCs w:val="24"/>
          <w:lang w:eastAsia="en-US"/>
        </w:rPr>
        <w:t>40</w:t>
      </w:r>
      <w:r w:rsidR="00515185">
        <w:rPr>
          <w:sz w:val="24"/>
          <w:szCs w:val="24"/>
          <w:lang w:eastAsia="en-US"/>
        </w:rPr>
        <w:tab/>
        <w:t xml:space="preserve">      10</w:t>
      </w:r>
      <w:proofErr w:type="gramStart"/>
      <w:r w:rsidR="00515185">
        <w:rPr>
          <w:sz w:val="24"/>
          <w:szCs w:val="24"/>
          <w:lang w:eastAsia="en-US"/>
        </w:rPr>
        <w:t>,89</w:t>
      </w:r>
      <w:proofErr w:type="gramEnd"/>
      <w:r w:rsidR="00515185">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ADMISIBILITATE IN SPITAL PRIN:</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IACRS                                                                               </w:t>
      </w:r>
      <w:r w:rsidR="00515185">
        <w:rPr>
          <w:sz w:val="24"/>
          <w:szCs w:val="24"/>
          <w:lang w:eastAsia="en-US"/>
        </w:rPr>
        <w:t>897</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BRONSITA CRONICA                                                    </w:t>
      </w:r>
      <w:r w:rsidR="00515185">
        <w:rPr>
          <w:sz w:val="24"/>
          <w:szCs w:val="24"/>
          <w:lang w:eastAsia="en-US"/>
        </w:rPr>
        <w:t>249</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EMFIZEM                                                                             </w:t>
      </w:r>
      <w:r w:rsidR="00515185">
        <w:rPr>
          <w:sz w:val="24"/>
          <w:szCs w:val="24"/>
          <w:lang w:eastAsia="en-US"/>
        </w:rPr>
        <w:t>4</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ASTM BRONSIC                                                             2</w:t>
      </w:r>
      <w:r w:rsidR="00515185">
        <w:rPr>
          <w:sz w:val="24"/>
          <w:szCs w:val="24"/>
          <w:lang w:eastAsia="en-US"/>
        </w:rPr>
        <w:t>16</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I.M.A                                                                                 1</w:t>
      </w:r>
      <w:r w:rsidR="00515185">
        <w:rPr>
          <w:sz w:val="24"/>
          <w:szCs w:val="24"/>
          <w:lang w:eastAsia="en-US"/>
        </w:rPr>
        <w:t>50</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NUMAR ZILE SPITALIZARE PRIN:</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IACRS                                                                                  </w:t>
      </w:r>
      <w:r w:rsidR="00515185">
        <w:rPr>
          <w:sz w:val="24"/>
          <w:szCs w:val="24"/>
          <w:lang w:eastAsia="en-US"/>
        </w:rPr>
        <w:t>4705</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BRONSITA CRONICA                                                       </w:t>
      </w:r>
      <w:r w:rsidR="00515185">
        <w:rPr>
          <w:sz w:val="24"/>
          <w:szCs w:val="24"/>
          <w:lang w:eastAsia="en-US"/>
        </w:rPr>
        <w:t>2207</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EMFIZEM                                                                                </w:t>
      </w:r>
      <w:r w:rsidR="00515185">
        <w:rPr>
          <w:sz w:val="24"/>
          <w:szCs w:val="24"/>
          <w:lang w:eastAsia="en-US"/>
        </w:rPr>
        <w:t>32</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ASTM BRONSIC                                                                </w:t>
      </w:r>
      <w:r w:rsidR="00515185">
        <w:rPr>
          <w:sz w:val="24"/>
          <w:szCs w:val="24"/>
          <w:lang w:eastAsia="en-US"/>
        </w:rPr>
        <w:t>1816</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I.M.A                                                                                    </w:t>
      </w:r>
      <w:r w:rsidR="00515185">
        <w:rPr>
          <w:sz w:val="24"/>
          <w:szCs w:val="24"/>
          <w:lang w:eastAsia="en-US"/>
        </w:rPr>
        <w:t xml:space="preserve">  777</w:t>
      </w: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BA631C" w:rsidRDefault="00BA631C" w:rsidP="00EA05EB">
      <w:pPr>
        <w:autoSpaceDE w:val="0"/>
        <w:autoSpaceDN w:val="0"/>
        <w:adjustRightInd w:val="0"/>
        <w:jc w:val="both"/>
        <w:rPr>
          <w:rFonts w:ascii="Arial" w:hAnsi="Arial" w:cs="Arial"/>
          <w:sz w:val="24"/>
          <w:szCs w:val="24"/>
          <w:lang w:val="ro-RO" w:eastAsia="en-US"/>
        </w:rPr>
      </w:pPr>
    </w:p>
    <w:p w:rsidR="002F15C9" w:rsidRPr="00DF4B1A" w:rsidRDefault="002F15C9" w:rsidP="002F15C9">
      <w:pPr>
        <w:pStyle w:val="Default"/>
        <w:widowControl w:val="0"/>
        <w:ind w:firstLine="720"/>
        <w:jc w:val="both"/>
      </w:pPr>
      <w:proofErr w:type="spellStart"/>
      <w:r w:rsidRPr="00DF4B1A">
        <w:t>Efectele</w:t>
      </w:r>
      <w:proofErr w:type="spellEnd"/>
      <w:r w:rsidRPr="00DF4B1A">
        <w:t xml:space="preserve"> </w:t>
      </w:r>
      <w:proofErr w:type="spellStart"/>
      <w:r w:rsidRPr="00DF4B1A">
        <w:t>poluării</w:t>
      </w:r>
      <w:proofErr w:type="spellEnd"/>
      <w:r w:rsidRPr="00DF4B1A">
        <w:t xml:space="preserve"> </w:t>
      </w:r>
      <w:proofErr w:type="spellStart"/>
      <w:r w:rsidRPr="00DF4B1A">
        <w:t>aerului</w:t>
      </w:r>
      <w:proofErr w:type="spellEnd"/>
      <w:r w:rsidRPr="00DF4B1A">
        <w:t xml:space="preserve"> </w:t>
      </w:r>
      <w:proofErr w:type="spellStart"/>
      <w:r w:rsidRPr="00DF4B1A">
        <w:t>înconjurător</w:t>
      </w:r>
      <w:proofErr w:type="spellEnd"/>
      <w:r w:rsidRPr="00DF4B1A">
        <w:t xml:space="preserve"> </w:t>
      </w:r>
      <w:proofErr w:type="spellStart"/>
      <w:r w:rsidRPr="00DF4B1A">
        <w:t>asupra</w:t>
      </w:r>
      <w:proofErr w:type="spellEnd"/>
      <w:r w:rsidRPr="00DF4B1A">
        <w:t xml:space="preserve"> </w:t>
      </w:r>
      <w:proofErr w:type="spellStart"/>
      <w:r w:rsidRPr="00DF4B1A">
        <w:t>ecosistemelor</w:t>
      </w:r>
      <w:proofErr w:type="spellEnd"/>
      <w:r w:rsidRPr="00DF4B1A">
        <w:t xml:space="preserve"> </w:t>
      </w:r>
      <w:proofErr w:type="spellStart"/>
      <w:r w:rsidRPr="00DF4B1A">
        <w:t>vor</w:t>
      </w:r>
      <w:proofErr w:type="spellEnd"/>
      <w:r w:rsidRPr="00DF4B1A">
        <w:t xml:space="preserve"> fi </w:t>
      </w:r>
      <w:proofErr w:type="spellStart"/>
      <w:r w:rsidRPr="00DF4B1A">
        <w:t>tratate</w:t>
      </w:r>
      <w:proofErr w:type="spellEnd"/>
      <w:r w:rsidRPr="00DF4B1A">
        <w:t xml:space="preserve"> global, la </w:t>
      </w:r>
      <w:proofErr w:type="spellStart"/>
      <w:r w:rsidRPr="00DF4B1A">
        <w:t>nivel</w:t>
      </w:r>
      <w:proofErr w:type="spellEnd"/>
      <w:r w:rsidRPr="00DF4B1A">
        <w:t xml:space="preserve"> </w:t>
      </w:r>
      <w:proofErr w:type="spellStart"/>
      <w:r w:rsidRPr="00DF4B1A">
        <w:t>naţional</w:t>
      </w:r>
      <w:proofErr w:type="spellEnd"/>
      <w:r w:rsidRPr="00DF4B1A">
        <w:t xml:space="preserve">, </w:t>
      </w:r>
      <w:proofErr w:type="spellStart"/>
      <w:r w:rsidRPr="00DF4B1A">
        <w:t>în</w:t>
      </w:r>
      <w:proofErr w:type="spellEnd"/>
      <w:r w:rsidRPr="00DF4B1A">
        <w:t xml:space="preserve"> </w:t>
      </w:r>
      <w:proofErr w:type="spellStart"/>
      <w:r w:rsidRPr="00DF4B1A">
        <w:t>Raportul</w:t>
      </w:r>
      <w:proofErr w:type="spellEnd"/>
      <w:r w:rsidRPr="00DF4B1A">
        <w:t xml:space="preserve"> </w:t>
      </w:r>
      <w:proofErr w:type="spellStart"/>
      <w:r w:rsidRPr="00DF4B1A">
        <w:t>naţional</w:t>
      </w:r>
      <w:proofErr w:type="spellEnd"/>
      <w:r w:rsidRPr="00DF4B1A">
        <w:t xml:space="preserve"> </w:t>
      </w:r>
      <w:proofErr w:type="spellStart"/>
      <w:r w:rsidRPr="00DF4B1A">
        <w:t>privind</w:t>
      </w:r>
      <w:proofErr w:type="spellEnd"/>
      <w:r w:rsidRPr="00DF4B1A">
        <w:t xml:space="preserve"> </w:t>
      </w:r>
      <w:proofErr w:type="spellStart"/>
      <w:r w:rsidRPr="00DF4B1A">
        <w:t>starea</w:t>
      </w:r>
      <w:proofErr w:type="spellEnd"/>
      <w:r w:rsidRPr="00DF4B1A">
        <w:t xml:space="preserve"> </w:t>
      </w:r>
      <w:proofErr w:type="spellStart"/>
      <w:r w:rsidRPr="00DF4B1A">
        <w:t>mediului</w:t>
      </w:r>
      <w:proofErr w:type="spellEnd"/>
      <w:r w:rsidRPr="00DF4B1A">
        <w:t xml:space="preserve">, </w:t>
      </w:r>
      <w:proofErr w:type="spellStart"/>
      <w:r w:rsidRPr="00DF4B1A">
        <w:t>deoarece</w:t>
      </w:r>
      <w:proofErr w:type="spellEnd"/>
      <w:r w:rsidRPr="00DF4B1A">
        <w:t xml:space="preserve"> </w:t>
      </w:r>
      <w:proofErr w:type="spellStart"/>
      <w:r w:rsidRPr="00DF4B1A">
        <w:t>datele</w:t>
      </w:r>
      <w:proofErr w:type="spellEnd"/>
      <w:r w:rsidRPr="00DF4B1A">
        <w:t xml:space="preserve"> </w:t>
      </w:r>
      <w:proofErr w:type="spellStart"/>
      <w:r w:rsidRPr="00DF4B1A">
        <w:t>obţinute</w:t>
      </w:r>
      <w:proofErr w:type="spellEnd"/>
      <w:r w:rsidRPr="00DF4B1A">
        <w:t xml:space="preserve"> din  RNMCA nu </w:t>
      </w:r>
      <w:proofErr w:type="spellStart"/>
      <w:r w:rsidRPr="00DF4B1A">
        <w:t>acoperă</w:t>
      </w:r>
      <w:proofErr w:type="spellEnd"/>
      <w:r w:rsidRPr="00DF4B1A">
        <w:t xml:space="preserve"> </w:t>
      </w:r>
      <w:proofErr w:type="spellStart"/>
      <w:r w:rsidRPr="00DF4B1A">
        <w:t>fiecare</w:t>
      </w:r>
      <w:proofErr w:type="spellEnd"/>
      <w:r w:rsidRPr="00DF4B1A">
        <w:t xml:space="preserve"> </w:t>
      </w:r>
      <w:proofErr w:type="spellStart"/>
      <w:r w:rsidRPr="00DF4B1A">
        <w:t>judeţ</w:t>
      </w:r>
      <w:proofErr w:type="spellEnd"/>
      <w:r w:rsidRPr="00DF4B1A">
        <w:t xml:space="preserve"> cu </w:t>
      </w:r>
      <w:proofErr w:type="spellStart"/>
      <w:r w:rsidRPr="00DF4B1A">
        <w:t>valorile</w:t>
      </w:r>
      <w:proofErr w:type="spellEnd"/>
      <w:r w:rsidRPr="00DF4B1A">
        <w:t xml:space="preserve"> SO</w:t>
      </w:r>
      <w:r w:rsidRPr="00DF4B1A">
        <w:rPr>
          <w:vertAlign w:val="subscript"/>
        </w:rPr>
        <w:t>2</w:t>
      </w:r>
      <w:r w:rsidRPr="00DF4B1A">
        <w:t xml:space="preserve">, </w:t>
      </w:r>
      <w:proofErr w:type="spellStart"/>
      <w:r w:rsidRPr="00DF4B1A">
        <w:t>NO</w:t>
      </w:r>
      <w:r w:rsidRPr="00DF4B1A">
        <w:rPr>
          <w:vertAlign w:val="subscript"/>
        </w:rPr>
        <w:t>x</w:t>
      </w:r>
      <w:proofErr w:type="spellEnd"/>
      <w:r w:rsidRPr="00DF4B1A">
        <w:t xml:space="preserve"> </w:t>
      </w:r>
      <w:proofErr w:type="spellStart"/>
      <w:r w:rsidRPr="00DF4B1A">
        <w:t>şi</w:t>
      </w:r>
      <w:proofErr w:type="spellEnd"/>
      <w:r w:rsidRPr="00DF4B1A">
        <w:t xml:space="preserve"> O</w:t>
      </w:r>
      <w:r w:rsidRPr="00DF4B1A">
        <w:rPr>
          <w:vertAlign w:val="subscript"/>
        </w:rPr>
        <w:t>3</w:t>
      </w:r>
      <w:r w:rsidRPr="00DF4B1A">
        <w:t xml:space="preserve"> din </w:t>
      </w:r>
      <w:proofErr w:type="spellStart"/>
      <w:r w:rsidRPr="00DF4B1A">
        <w:t>staţii</w:t>
      </w:r>
      <w:proofErr w:type="spellEnd"/>
      <w:r w:rsidRPr="00DF4B1A">
        <w:t xml:space="preserve"> de </w:t>
      </w:r>
      <w:proofErr w:type="spellStart"/>
      <w:r w:rsidRPr="00DF4B1A">
        <w:t>monitorizare</w:t>
      </w:r>
      <w:proofErr w:type="spellEnd"/>
      <w:r w:rsidRPr="00DF4B1A">
        <w:t xml:space="preserve"> </w:t>
      </w:r>
      <w:proofErr w:type="spellStart"/>
      <w:r w:rsidRPr="00DF4B1A">
        <w:t>pentru</w:t>
      </w:r>
      <w:proofErr w:type="spellEnd"/>
      <w:r w:rsidRPr="00DF4B1A">
        <w:t xml:space="preserve"> </w:t>
      </w:r>
      <w:proofErr w:type="spellStart"/>
      <w:r w:rsidRPr="00DF4B1A">
        <w:t>protecţia</w:t>
      </w:r>
      <w:proofErr w:type="spellEnd"/>
      <w:r w:rsidRPr="00DF4B1A">
        <w:t xml:space="preserve"> </w:t>
      </w:r>
      <w:proofErr w:type="spellStart"/>
      <w:r w:rsidRPr="00DF4B1A">
        <w:t>vegetaţiei</w:t>
      </w:r>
      <w:proofErr w:type="spellEnd"/>
      <w:r w:rsidRPr="00DF4B1A">
        <w:t xml:space="preserve"> </w:t>
      </w:r>
      <w:proofErr w:type="spellStart"/>
      <w:r w:rsidRPr="00DF4B1A">
        <w:t>şi</w:t>
      </w:r>
      <w:proofErr w:type="spellEnd"/>
      <w:r w:rsidRPr="00DF4B1A">
        <w:t xml:space="preserve"> </w:t>
      </w:r>
      <w:proofErr w:type="spellStart"/>
      <w:r w:rsidRPr="00DF4B1A">
        <w:t>ecosistemelor</w:t>
      </w:r>
      <w:proofErr w:type="spellEnd"/>
      <w:r w:rsidRPr="00DF4B1A">
        <w:t xml:space="preserve"> (</w:t>
      </w:r>
      <w:proofErr w:type="spellStart"/>
      <w:r w:rsidRPr="00DF4B1A">
        <w:t>staţii</w:t>
      </w:r>
      <w:proofErr w:type="spellEnd"/>
      <w:r w:rsidRPr="00DF4B1A">
        <w:t xml:space="preserve"> de tip suburban, rural, de fond rural). </w:t>
      </w:r>
    </w:p>
    <w:p w:rsidR="00AB7614" w:rsidRDefault="00BA631C" w:rsidP="00BA631C">
      <w:pPr>
        <w:pStyle w:val="Default"/>
        <w:widowControl w:val="0"/>
        <w:ind w:firstLine="720"/>
        <w:jc w:val="both"/>
      </w:pPr>
      <w:r>
        <w:rPr>
          <w:lang w:val="ro-RO"/>
        </w:rPr>
        <w:lastRenderedPageBreak/>
        <w:t xml:space="preserve">În </w:t>
      </w:r>
      <w:r>
        <w:t xml:space="preserve"> </w:t>
      </w:r>
      <w:proofErr w:type="spellStart"/>
      <w:r>
        <w:t>judeţul</w:t>
      </w:r>
      <w:proofErr w:type="spellEnd"/>
      <w:r>
        <w:t xml:space="preserve"> </w:t>
      </w:r>
      <w:proofErr w:type="spellStart"/>
      <w:r>
        <w:t>Gorj</w:t>
      </w:r>
      <w:proofErr w:type="spellEnd"/>
      <w:r w:rsidR="002F15C9" w:rsidRPr="00DF4B1A">
        <w:t xml:space="preserve"> nu </w:t>
      </w:r>
      <w:proofErr w:type="spellStart"/>
      <w:r w:rsidR="002F15C9" w:rsidRPr="00DF4B1A">
        <w:t>sunt</w:t>
      </w:r>
      <w:proofErr w:type="spellEnd"/>
      <w:r w:rsidR="002F15C9" w:rsidRPr="00DF4B1A">
        <w:t xml:space="preserve"> </w:t>
      </w:r>
      <w:proofErr w:type="spellStart"/>
      <w:r w:rsidR="002F15C9" w:rsidRPr="00DF4B1A">
        <w:t>amplasate</w:t>
      </w:r>
      <w:proofErr w:type="spellEnd"/>
      <w:r w:rsidR="002F15C9" w:rsidRPr="00DF4B1A">
        <w:t xml:space="preserve"> </w:t>
      </w:r>
      <w:proofErr w:type="spellStart"/>
      <w:r w:rsidR="002F15C9" w:rsidRPr="00DF4B1A">
        <w:t>staţii</w:t>
      </w:r>
      <w:proofErr w:type="spellEnd"/>
      <w:r w:rsidR="002F15C9" w:rsidRPr="00DF4B1A">
        <w:t xml:space="preserve"> de tip suburban</w:t>
      </w:r>
      <w:r>
        <w:t xml:space="preserve">, rural, de fond rural </w:t>
      </w:r>
      <w:proofErr w:type="spellStart"/>
      <w:r>
        <w:t>pentru</w:t>
      </w:r>
      <w:proofErr w:type="spellEnd"/>
      <w:r>
        <w:t xml:space="preserve">  </w:t>
      </w:r>
      <w:proofErr w:type="spellStart"/>
      <w:r>
        <w:t>protecţia</w:t>
      </w:r>
      <w:proofErr w:type="spellEnd"/>
      <w:r>
        <w:t xml:space="preserve"> </w:t>
      </w:r>
      <w:proofErr w:type="spellStart"/>
      <w:r w:rsidR="002F15C9" w:rsidRPr="00DF4B1A">
        <w:t>vegetaţiei</w:t>
      </w:r>
      <w:proofErr w:type="spellEnd"/>
      <w:r w:rsidR="002F15C9" w:rsidRPr="00DF4B1A">
        <w:t xml:space="preserve"> </w:t>
      </w:r>
      <w:proofErr w:type="spellStart"/>
      <w:r w:rsidR="002F15C9" w:rsidRPr="00DF4B1A">
        <w:t>şi</w:t>
      </w:r>
      <w:proofErr w:type="spellEnd"/>
      <w:r w:rsidR="002F15C9" w:rsidRPr="00DF4B1A">
        <w:t xml:space="preserve"> </w:t>
      </w:r>
      <w:proofErr w:type="spellStart"/>
      <w:r w:rsidR="002F15C9" w:rsidRPr="00DF4B1A">
        <w:t>ecosistemelor</w:t>
      </w:r>
      <w:proofErr w:type="spellEnd"/>
      <w:r w:rsidR="002F15C9">
        <w:t>.</w:t>
      </w:r>
    </w:p>
    <w:p w:rsidR="004B273A" w:rsidRDefault="004B273A" w:rsidP="00BA631C">
      <w:pPr>
        <w:pStyle w:val="Default"/>
        <w:widowControl w:val="0"/>
        <w:ind w:firstLine="720"/>
        <w:jc w:val="both"/>
        <w:rPr>
          <w:lang w:val="ro-RO"/>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r>
      <w:r w:rsidR="00AB7614">
        <w:rPr>
          <w:rFonts w:ascii="Arial" w:hAnsi="Arial" w:cs="Arial"/>
          <w:sz w:val="24"/>
          <w:szCs w:val="24"/>
          <w:lang w:val="ro-RO" w:eastAsia="en-US"/>
        </w:rPr>
        <w:t xml:space="preserve">I.1.2.3. </w:t>
      </w:r>
      <w:r w:rsidR="00AB7614" w:rsidRPr="00AB7614">
        <w:rPr>
          <w:rFonts w:ascii="Arial" w:hAnsi="Arial" w:cs="Arial"/>
          <w:sz w:val="24"/>
          <w:szCs w:val="24"/>
          <w:lang w:val="ro-RO" w:eastAsia="en-US"/>
        </w:rPr>
        <w:t>Efectele poluării aerului înconjurător</w:t>
      </w:r>
      <w:r w:rsidR="00AB7614">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7369C0" w:rsidRPr="007369C0" w:rsidRDefault="007369C0" w:rsidP="008412E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2F15C9">
        <w:rPr>
          <w:rFonts w:ascii="Arial" w:hAnsi="Arial" w:cs="Arial"/>
          <w:sz w:val="24"/>
          <w:szCs w:val="24"/>
          <w:lang w:val="ro-RO" w:eastAsia="en-US"/>
        </w:rPr>
        <w:t>,</w:t>
      </w:r>
      <w:r w:rsidR="002F15C9" w:rsidRPr="002F15C9">
        <w:rPr>
          <w:rFonts w:ascii="Arial" w:hAnsi="Arial" w:cs="Arial"/>
          <w:sz w:val="24"/>
          <w:szCs w:val="24"/>
          <w:lang w:val="ro-RO"/>
        </w:rPr>
        <w:t xml:space="preserve"> </w:t>
      </w:r>
      <w:r w:rsidR="002F15C9">
        <w:rPr>
          <w:rFonts w:ascii="Arial" w:hAnsi="Arial" w:cs="Arial"/>
          <w:sz w:val="24"/>
          <w:szCs w:val="24"/>
          <w:lang w:val="ro-RO"/>
        </w:rPr>
        <w:t>aceste aspecte fiind tratate</w:t>
      </w:r>
      <w:r w:rsidR="002F15C9" w:rsidRPr="00DF4B1A">
        <w:rPr>
          <w:rFonts w:ascii="Arial" w:hAnsi="Arial" w:cs="Arial"/>
          <w:sz w:val="24"/>
          <w:szCs w:val="24"/>
          <w:lang w:val="ro-RO"/>
        </w:rPr>
        <w:t xml:space="preserve"> doar global, la scară naţională, în Raportul naţional privind starea mediului</w:t>
      </w:r>
      <w:r w:rsidR="002F15C9">
        <w:rPr>
          <w:rFonts w:ascii="Arial" w:hAnsi="Arial" w:cs="Arial"/>
          <w:sz w:val="24"/>
          <w:szCs w:val="24"/>
          <w:lang w:val="ro-RO"/>
        </w:rPr>
        <w:t xml:space="preserve">, </w:t>
      </w:r>
      <w:r w:rsidR="008412EF">
        <w:rPr>
          <w:rFonts w:ascii="Arial" w:hAnsi="Arial" w:cs="Arial"/>
          <w:sz w:val="24"/>
          <w:szCs w:val="24"/>
          <w:lang w:val="ro-RO" w:eastAsia="en-US"/>
        </w:rPr>
        <w:t>.</w:t>
      </w:r>
    </w:p>
    <w:p w:rsidR="00745EF8" w:rsidRDefault="00745EF8" w:rsidP="00AB7614">
      <w:pPr>
        <w:autoSpaceDE w:val="0"/>
        <w:autoSpaceDN w:val="0"/>
        <w:adjustRightInd w:val="0"/>
        <w:jc w:val="center"/>
        <w:rPr>
          <w:rFonts w:ascii="Arial" w:hAnsi="Arial" w:cs="Arial"/>
          <w:b/>
          <w:sz w:val="24"/>
          <w:szCs w:val="24"/>
          <w:lang w:val="ro-RO" w:eastAsia="en-US"/>
        </w:rPr>
      </w:pPr>
    </w:p>
    <w:p w:rsidR="00745EF8" w:rsidRDefault="00745EF8" w:rsidP="00AB7614">
      <w:pPr>
        <w:autoSpaceDE w:val="0"/>
        <w:autoSpaceDN w:val="0"/>
        <w:adjustRightInd w:val="0"/>
        <w:jc w:val="center"/>
        <w:rPr>
          <w:rFonts w:ascii="Arial" w:hAnsi="Arial" w:cs="Arial"/>
          <w:b/>
          <w:sz w:val="24"/>
          <w:szCs w:val="24"/>
          <w:lang w:val="ro-RO" w:eastAsia="en-US"/>
        </w:rPr>
      </w:pPr>
    </w:p>
    <w:p w:rsidR="00377D3D" w:rsidRDefault="00AB7614" w:rsidP="00AB7614">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I.2. Factorii determinanți și presiunile care afectează starea de calitate</w:t>
      </w:r>
    </w:p>
    <w:p w:rsidR="00AB7614" w:rsidRDefault="00AB7614" w:rsidP="00AB7614">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 xml:space="preserve"> a aerului înconjurător</w:t>
      </w:r>
    </w:p>
    <w:p w:rsidR="00AB7614" w:rsidRDefault="00AB7614" w:rsidP="00AB7614">
      <w:pPr>
        <w:autoSpaceDE w:val="0"/>
        <w:autoSpaceDN w:val="0"/>
        <w:adjustRightInd w:val="0"/>
        <w:jc w:val="center"/>
        <w:rPr>
          <w:rFonts w:ascii="Arial" w:hAnsi="Arial" w:cs="Arial"/>
          <w:b/>
          <w:sz w:val="24"/>
          <w:szCs w:val="24"/>
          <w:lang w:val="ro-RO" w:eastAsia="en-US"/>
        </w:rPr>
      </w:pPr>
    </w:p>
    <w:p w:rsidR="00AB7614" w:rsidRDefault="00AB7614"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I.2.1. Emisiile de poluanți atmosferici și principalele surse de emisie</w:t>
      </w:r>
    </w:p>
    <w:p w:rsidR="00377D3D" w:rsidRDefault="00377D3D" w:rsidP="00AB7614">
      <w:pPr>
        <w:autoSpaceDE w:val="0"/>
        <w:autoSpaceDN w:val="0"/>
        <w:adjustRightInd w:val="0"/>
        <w:jc w:val="both"/>
        <w:rPr>
          <w:rFonts w:ascii="Arial" w:hAnsi="Arial" w:cs="Arial"/>
          <w:sz w:val="24"/>
          <w:szCs w:val="24"/>
          <w:lang w:val="ro-RO" w:eastAsia="en-US"/>
        </w:rPr>
      </w:pPr>
    </w:p>
    <w:p w:rsidR="002F15C9" w:rsidRPr="00DF4B1A" w:rsidRDefault="002F15C9" w:rsidP="002F15C9">
      <w:pPr>
        <w:widowControl w:val="0"/>
        <w:ind w:firstLine="709"/>
        <w:jc w:val="both"/>
        <w:rPr>
          <w:rFonts w:ascii="Arial" w:hAnsi="Arial" w:cs="Arial"/>
          <w:sz w:val="24"/>
          <w:lang w:val="ro-RO"/>
        </w:rPr>
      </w:pPr>
      <w:r w:rsidRPr="00DF4B1A">
        <w:rPr>
          <w:rFonts w:ascii="Arial" w:hAnsi="Arial" w:cs="Arial"/>
          <w:sz w:val="24"/>
          <w:lang w:val="ro-RO"/>
        </w:rPr>
        <w:t xml:space="preserve">România transmite anual estimări ale emisiilor de poluanţi atmosferici care cad sub incidenţa Directivei NEC şi a protocoalelor </w:t>
      </w:r>
      <w:r w:rsidRPr="00DF4B1A">
        <w:rPr>
          <w:rFonts w:ascii="Arial" w:hAnsi="Arial" w:cs="Arial"/>
          <w:i/>
          <w:sz w:val="24"/>
          <w:lang w:val="ro-RO"/>
        </w:rPr>
        <w:t>Convenţiei asupra poluării atmosferice transfrontaliere pe distanţe lungi</w:t>
      </w:r>
      <w:r w:rsidRPr="00DF4B1A">
        <w:rPr>
          <w:rFonts w:ascii="Arial" w:hAnsi="Arial" w:cs="Arial"/>
          <w:sz w:val="24"/>
          <w:lang w:val="ro-RO"/>
        </w:rPr>
        <w:t xml:space="preserve">, încheiată la Geneva la 13 noiembrie 1979 (UNECE/ CLRTAP). În acest sens, se elaborează inventarul naţional anual de emisii de dioxid de sulf, oxizi de azot, compuşi organici volatili şi amoniac, pornind de la inventarele judeţene de emisii. </w:t>
      </w:r>
    </w:p>
    <w:p w:rsidR="002F15C9" w:rsidRPr="00DF4B1A" w:rsidRDefault="002F15C9" w:rsidP="002F15C9">
      <w:pPr>
        <w:widowControl w:val="0"/>
        <w:autoSpaceDE w:val="0"/>
        <w:autoSpaceDN w:val="0"/>
        <w:adjustRightInd w:val="0"/>
        <w:ind w:firstLine="709"/>
        <w:jc w:val="both"/>
        <w:rPr>
          <w:rFonts w:ascii="Arial" w:hAnsi="Arial" w:cs="Arial"/>
          <w:color w:val="000000"/>
          <w:sz w:val="24"/>
          <w:szCs w:val="24"/>
          <w:lang w:val="ro-RO"/>
        </w:rPr>
      </w:pPr>
      <w:r w:rsidRPr="00DF4B1A">
        <w:rPr>
          <w:rFonts w:ascii="Arial" w:hAnsi="Arial" w:cs="Arial"/>
          <w:color w:val="000000"/>
          <w:sz w:val="24"/>
          <w:szCs w:val="24"/>
          <w:lang w:val="ro-RO"/>
        </w:rPr>
        <w:t>Pentru a obţine un format consecvent de raportare către Agenţia Europeană de Mediu şi CEENU/EMEP (Comisia Economică pentru Europa a Naţiunilor Unite/Programul de Cooperare pentru monitorizarea şi evaluarea transportului pe distanţe lungi al poluanţilor atmosferici în Europa), Convenţia Naţiunilor Unite privind Poluarea Atmosferică Transfrontieră pe Distanţe Lungi (Convenţia LRTAP)</w:t>
      </w:r>
      <w:r w:rsidRPr="00DF4B1A">
        <w:rPr>
          <w:rFonts w:ascii="Arial" w:hAnsi="Arial" w:cs="Arial"/>
          <w:color w:val="000000"/>
          <w:lang w:val="ro-RO"/>
        </w:rPr>
        <w:t>,</w:t>
      </w:r>
      <w:r w:rsidRPr="00DF4B1A">
        <w:rPr>
          <w:rFonts w:ascii="Arial" w:hAnsi="Arial" w:cs="Arial"/>
          <w:color w:val="000000"/>
          <w:sz w:val="24"/>
          <w:szCs w:val="24"/>
          <w:lang w:val="ro-RO"/>
        </w:rPr>
        <w:t xml:space="preserve"> în toate ţările şi pentru toţi poluanţii. datele privind emisiile anuale, raportate în conformitate cu Nomenclatorul pentru Raportare (NFR), sunt agregate în următoarele grupe de activităţi: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
          <w:color w:val="000000"/>
          <w:sz w:val="24"/>
          <w:szCs w:val="24"/>
          <w:lang w:val="ro-RO"/>
        </w:rPr>
        <w:t xml:space="preserve">- </w:t>
      </w:r>
      <w:r w:rsidRPr="00DF4B1A">
        <w:rPr>
          <w:rFonts w:ascii="Arial" w:hAnsi="Arial" w:cs="Arial"/>
          <w:b/>
          <w:i/>
          <w:color w:val="000000"/>
          <w:sz w:val="24"/>
          <w:szCs w:val="24"/>
          <w:lang w:val="ro-RO"/>
        </w:rPr>
        <w:t>Energie</w:t>
      </w:r>
      <w:r w:rsidRPr="00DF4B1A">
        <w:rPr>
          <w:rFonts w:ascii="Arial" w:hAnsi="Arial" w:cs="Arial"/>
          <w:i/>
          <w:color w:val="000000"/>
          <w:sz w:val="24"/>
          <w:szCs w:val="24"/>
          <w:lang w:val="ro-RO"/>
        </w:rPr>
        <w:t xml:space="preserve"> </w:t>
      </w:r>
      <w:r w:rsidRPr="00DF4B1A">
        <w:rPr>
          <w:rFonts w:ascii="Arial" w:hAnsi="Arial" w:cs="Arial"/>
          <w:color w:val="000000"/>
          <w:sz w:val="24"/>
          <w:szCs w:val="24"/>
          <w:lang w:val="ro-RO"/>
        </w:rPr>
        <w:t>:</w:t>
      </w:r>
    </w:p>
    <w:p w:rsidR="002F15C9" w:rsidRPr="00DF4B1A" w:rsidRDefault="002F15C9" w:rsidP="002F15C9">
      <w:pPr>
        <w:pStyle w:val="ListParagraph"/>
        <w:widowControl w:val="0"/>
        <w:numPr>
          <w:ilvl w:val="0"/>
          <w:numId w:val="32"/>
        </w:numPr>
        <w:overflowPunct w:val="0"/>
        <w:autoSpaceDE w:val="0"/>
        <w:autoSpaceDN w:val="0"/>
        <w:adjustRightInd w:val="0"/>
        <w:ind w:left="851" w:hanging="284"/>
        <w:contextualSpacing w:val="0"/>
        <w:jc w:val="both"/>
        <w:textAlignment w:val="baseline"/>
        <w:rPr>
          <w:rFonts w:ascii="Arial" w:hAnsi="Arial" w:cs="Arial"/>
          <w:color w:val="000000"/>
          <w:sz w:val="24"/>
          <w:szCs w:val="24"/>
          <w:lang w:val="ro-RO"/>
        </w:rPr>
      </w:pPr>
      <w:r w:rsidRPr="00DF4B1A">
        <w:rPr>
          <w:rFonts w:ascii="Arial" w:hAnsi="Arial" w:cs="Arial"/>
          <w:i/>
          <w:iCs/>
          <w:color w:val="000000"/>
          <w:sz w:val="24"/>
          <w:szCs w:val="24"/>
          <w:lang w:val="ro-RO"/>
        </w:rPr>
        <w:t>Producţia şi distribuţia energiei</w:t>
      </w:r>
      <w:r w:rsidRPr="00DF4B1A">
        <w:rPr>
          <w:rFonts w:ascii="Arial" w:hAnsi="Arial" w:cs="Arial"/>
          <w:color w:val="000000"/>
          <w:sz w:val="24"/>
          <w:szCs w:val="24"/>
          <w:lang w:val="ro-RO"/>
        </w:rPr>
        <w:t xml:space="preserve">: emisii din generarea de căldură şi energie electrică în instalaţii mai mari de 50 MW termici; </w:t>
      </w:r>
    </w:p>
    <w:p w:rsidR="002F15C9" w:rsidRPr="00DF4B1A" w:rsidRDefault="002F15C9" w:rsidP="002F15C9">
      <w:pPr>
        <w:pStyle w:val="ListParagraph"/>
        <w:widowControl w:val="0"/>
        <w:numPr>
          <w:ilvl w:val="0"/>
          <w:numId w:val="32"/>
        </w:numPr>
        <w:overflowPunct w:val="0"/>
        <w:autoSpaceDE w:val="0"/>
        <w:autoSpaceDN w:val="0"/>
        <w:adjustRightInd w:val="0"/>
        <w:ind w:left="851" w:hanging="284"/>
        <w:contextualSpacing w:val="0"/>
        <w:jc w:val="both"/>
        <w:textAlignment w:val="baseline"/>
        <w:rPr>
          <w:rFonts w:ascii="Arial" w:hAnsi="Arial" w:cs="Arial"/>
          <w:color w:val="000000"/>
          <w:sz w:val="24"/>
          <w:szCs w:val="24"/>
          <w:lang w:val="ro-RO"/>
        </w:rPr>
      </w:pPr>
      <w:r w:rsidRPr="00DF4B1A">
        <w:rPr>
          <w:rFonts w:ascii="Arial" w:hAnsi="Arial" w:cs="Arial"/>
          <w:i/>
          <w:iCs/>
          <w:color w:val="000000"/>
          <w:sz w:val="24"/>
          <w:szCs w:val="24"/>
          <w:lang w:val="ro-RO"/>
        </w:rPr>
        <w:t>Utilizarea energiei în industrie</w:t>
      </w:r>
      <w:r w:rsidRPr="00DF4B1A">
        <w:rPr>
          <w:rFonts w:ascii="Arial" w:hAnsi="Arial" w:cs="Arial"/>
          <w:color w:val="000000"/>
          <w:sz w:val="24"/>
          <w:szCs w:val="24"/>
          <w:lang w:val="ro-RO"/>
        </w:rPr>
        <w:t xml:space="preserve">: emisii din procesele de ardere utilizate în industria prelucrătoare, inclusiv cazane, turbine cu gaz şi motoare staţionare;  </w:t>
      </w:r>
    </w:p>
    <w:p w:rsidR="002F15C9" w:rsidRPr="00DF4B1A" w:rsidRDefault="002F15C9" w:rsidP="002F15C9">
      <w:pPr>
        <w:pStyle w:val="ListParagraph"/>
        <w:widowControl w:val="0"/>
        <w:numPr>
          <w:ilvl w:val="0"/>
          <w:numId w:val="32"/>
        </w:numPr>
        <w:overflowPunct w:val="0"/>
        <w:autoSpaceDE w:val="0"/>
        <w:autoSpaceDN w:val="0"/>
        <w:adjustRightInd w:val="0"/>
        <w:ind w:left="851" w:hanging="284"/>
        <w:contextualSpacing w:val="0"/>
        <w:jc w:val="both"/>
        <w:textAlignment w:val="baseline"/>
        <w:rPr>
          <w:rFonts w:ascii="Arial" w:hAnsi="Arial" w:cs="Arial"/>
          <w:color w:val="000000"/>
          <w:sz w:val="24"/>
          <w:szCs w:val="24"/>
          <w:lang w:val="ro-RO"/>
        </w:rPr>
      </w:pPr>
      <w:r w:rsidRPr="00DF4B1A">
        <w:rPr>
          <w:rFonts w:ascii="Arial" w:hAnsi="Arial" w:cs="Arial"/>
          <w:i/>
          <w:iCs/>
          <w:color w:val="000000"/>
          <w:sz w:val="24"/>
          <w:szCs w:val="24"/>
          <w:lang w:val="ro-RO"/>
        </w:rPr>
        <w:t>Comercial, instituţional şi gospodării</w:t>
      </w:r>
      <w:r w:rsidRPr="00DF4B1A">
        <w:rPr>
          <w:rFonts w:ascii="Arial" w:hAnsi="Arial" w:cs="Arial"/>
          <w:color w:val="000000"/>
          <w:sz w:val="24"/>
          <w:szCs w:val="24"/>
          <w:lang w:val="ro-RO"/>
        </w:rPr>
        <w:t xml:space="preserve">: emisiile care apar în principal din arderea combustibililor în sectoarele de servicii şi gospodării; </w:t>
      </w:r>
    </w:p>
    <w:p w:rsidR="002F15C9" w:rsidRPr="00DF4B1A" w:rsidRDefault="002F15C9" w:rsidP="002F15C9">
      <w:pPr>
        <w:pStyle w:val="ListParagraph"/>
        <w:widowControl w:val="0"/>
        <w:numPr>
          <w:ilvl w:val="0"/>
          <w:numId w:val="32"/>
        </w:numPr>
        <w:overflowPunct w:val="0"/>
        <w:autoSpaceDE w:val="0"/>
        <w:autoSpaceDN w:val="0"/>
        <w:adjustRightInd w:val="0"/>
        <w:ind w:left="851" w:hanging="284"/>
        <w:contextualSpacing w:val="0"/>
        <w:jc w:val="both"/>
        <w:textAlignment w:val="baseline"/>
        <w:rPr>
          <w:rFonts w:ascii="Arial" w:hAnsi="Arial" w:cs="Arial"/>
          <w:b/>
          <w:i/>
          <w:iCs/>
          <w:color w:val="000000"/>
          <w:sz w:val="24"/>
          <w:szCs w:val="24"/>
          <w:lang w:val="ro-RO"/>
        </w:rPr>
      </w:pPr>
      <w:r w:rsidRPr="00DF4B1A">
        <w:rPr>
          <w:rFonts w:ascii="Arial" w:hAnsi="Arial" w:cs="Arial"/>
          <w:i/>
          <w:iCs/>
          <w:color w:val="000000"/>
          <w:sz w:val="24"/>
          <w:szCs w:val="24"/>
          <w:lang w:val="ro-RO"/>
        </w:rPr>
        <w:t>Transport nerutier</w:t>
      </w:r>
      <w:r w:rsidRPr="00DF4B1A">
        <w:rPr>
          <w:rFonts w:ascii="Arial" w:hAnsi="Arial" w:cs="Arial"/>
          <w:color w:val="000000"/>
          <w:sz w:val="24"/>
          <w:szCs w:val="24"/>
          <w:lang w:val="ro-RO"/>
        </w:rPr>
        <w:t xml:space="preserve">: utilaje mobile nerutiere utilizate în agricultură şi silvicultură;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
          <w:iCs/>
          <w:color w:val="000000"/>
          <w:sz w:val="24"/>
          <w:szCs w:val="24"/>
          <w:lang w:val="ro-RO"/>
        </w:rPr>
        <w:t xml:space="preserve">- </w:t>
      </w:r>
      <w:r w:rsidRPr="00DF4B1A">
        <w:rPr>
          <w:rFonts w:ascii="Arial" w:hAnsi="Arial" w:cs="Arial"/>
          <w:b/>
          <w:i/>
          <w:iCs/>
          <w:color w:val="000000"/>
          <w:sz w:val="24"/>
          <w:szCs w:val="24"/>
          <w:lang w:val="ro-RO"/>
        </w:rPr>
        <w:t>Transport rutier</w:t>
      </w:r>
      <w:r w:rsidRPr="00DF4B1A">
        <w:rPr>
          <w:rFonts w:ascii="Arial" w:hAnsi="Arial" w:cs="Arial"/>
          <w:b/>
          <w:color w:val="000000"/>
          <w:sz w:val="24"/>
          <w:szCs w:val="24"/>
          <w:lang w:val="ro-RO"/>
        </w:rPr>
        <w:t>:</w:t>
      </w:r>
      <w:r w:rsidRPr="00DF4B1A">
        <w:rPr>
          <w:rFonts w:ascii="Arial" w:hAnsi="Arial" w:cs="Arial"/>
          <w:color w:val="000000"/>
          <w:sz w:val="24"/>
          <w:szCs w:val="24"/>
          <w:lang w:val="ro-RO"/>
        </w:rPr>
        <w:t xml:space="preserve"> vehicule utilitare uşoare şi grele, autoturisme şi motociclete;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Cs/>
          <w:color w:val="000000"/>
          <w:sz w:val="24"/>
          <w:szCs w:val="24"/>
          <w:lang w:val="ro-RO"/>
        </w:rPr>
        <w:t>-</w:t>
      </w:r>
      <w:r w:rsidRPr="00DF4B1A">
        <w:rPr>
          <w:rFonts w:ascii="Arial" w:hAnsi="Arial" w:cs="Arial"/>
          <w:b/>
          <w:i/>
          <w:iCs/>
          <w:color w:val="000000"/>
          <w:sz w:val="24"/>
          <w:szCs w:val="24"/>
          <w:lang w:val="ro-RO"/>
        </w:rPr>
        <w:t xml:space="preserve"> Procese industriale</w:t>
      </w:r>
      <w:r w:rsidRPr="00DF4B1A">
        <w:rPr>
          <w:rFonts w:ascii="Arial" w:hAnsi="Arial" w:cs="Arial"/>
          <w:color w:val="000000"/>
          <w:sz w:val="24"/>
          <w:szCs w:val="24"/>
          <w:lang w:val="ro-RO"/>
        </w:rPr>
        <w:t xml:space="preserve">: emisii provenite din procesele non-ardere, cum ar fi producţia de minerale, produse chimice şi producţia de metale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
          <w:iCs/>
          <w:color w:val="000000"/>
          <w:sz w:val="24"/>
          <w:szCs w:val="24"/>
          <w:lang w:val="ro-RO"/>
        </w:rPr>
        <w:t>-</w:t>
      </w:r>
      <w:r w:rsidRPr="00DF4B1A">
        <w:rPr>
          <w:rFonts w:ascii="Arial" w:hAnsi="Arial" w:cs="Arial"/>
          <w:b/>
          <w:i/>
          <w:iCs/>
          <w:color w:val="000000"/>
          <w:sz w:val="24"/>
          <w:szCs w:val="24"/>
          <w:lang w:val="ro-RO"/>
        </w:rPr>
        <w:t xml:space="preserve"> Utilizarea solvenţilor şi a altor produse</w:t>
      </w:r>
      <w:r w:rsidRPr="00DF4B1A">
        <w:rPr>
          <w:rFonts w:ascii="Arial" w:hAnsi="Arial" w:cs="Arial"/>
          <w:color w:val="000000"/>
          <w:sz w:val="24"/>
          <w:szCs w:val="24"/>
          <w:lang w:val="ro-RO"/>
        </w:rPr>
        <w:t xml:space="preserve">: emisiile legate de surse non-ardere, în principal, în sectoarele de servicii şi gospodării, inclusiv activităţi, cum ar fi aplicare vopsele, curăţare şi alte utilizări de solvenţi;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
          <w:iCs/>
          <w:color w:val="000000"/>
          <w:sz w:val="24"/>
          <w:szCs w:val="24"/>
          <w:lang w:val="ro-RO"/>
        </w:rPr>
        <w:t>-</w:t>
      </w:r>
      <w:r w:rsidRPr="00DF4B1A">
        <w:rPr>
          <w:rFonts w:ascii="Arial" w:hAnsi="Arial" w:cs="Arial"/>
          <w:b/>
          <w:i/>
          <w:iCs/>
          <w:color w:val="000000"/>
          <w:sz w:val="24"/>
          <w:szCs w:val="24"/>
          <w:lang w:val="ro-RO"/>
        </w:rPr>
        <w:t xml:space="preserve"> Agricultura</w:t>
      </w:r>
      <w:r w:rsidRPr="00DF4B1A">
        <w:rPr>
          <w:rFonts w:ascii="Arial" w:hAnsi="Arial" w:cs="Arial"/>
          <w:color w:val="000000"/>
          <w:sz w:val="24"/>
          <w:szCs w:val="24"/>
          <w:lang w:val="ro-RO"/>
        </w:rPr>
        <w:t xml:space="preserve">: managementul gunoiului de grajd, aplicarea fertilizatorilor, arderea pe teren a deşeurilor agricole;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2F15C9" w:rsidRPr="00DF4B1A" w:rsidRDefault="002F15C9" w:rsidP="002F15C9">
      <w:pPr>
        <w:widowControl w:val="0"/>
        <w:autoSpaceDE w:val="0"/>
        <w:autoSpaceDN w:val="0"/>
        <w:adjustRightInd w:val="0"/>
        <w:jc w:val="both"/>
        <w:rPr>
          <w:rFonts w:ascii="Arial" w:hAnsi="Arial" w:cs="Arial"/>
          <w:color w:val="000000"/>
          <w:sz w:val="24"/>
          <w:szCs w:val="24"/>
          <w:lang w:val="ro-RO"/>
        </w:rPr>
      </w:pPr>
      <w:r w:rsidRPr="00DF4B1A">
        <w:rPr>
          <w:rFonts w:ascii="Arial" w:hAnsi="Arial" w:cs="Arial"/>
          <w:i/>
          <w:iCs/>
          <w:color w:val="000000"/>
          <w:sz w:val="24"/>
          <w:szCs w:val="24"/>
          <w:lang w:val="ro-RO"/>
        </w:rPr>
        <w:t>-</w:t>
      </w:r>
      <w:r w:rsidRPr="00DF4B1A">
        <w:rPr>
          <w:rFonts w:ascii="Arial" w:hAnsi="Arial" w:cs="Arial"/>
          <w:b/>
          <w:i/>
          <w:iCs/>
          <w:color w:val="000000"/>
          <w:sz w:val="24"/>
          <w:szCs w:val="24"/>
          <w:lang w:val="ro-RO"/>
        </w:rPr>
        <w:t xml:space="preserve"> Deşeuri</w:t>
      </w:r>
      <w:r w:rsidRPr="00DF4B1A">
        <w:rPr>
          <w:rFonts w:ascii="Arial" w:hAnsi="Arial" w:cs="Arial"/>
          <w:color w:val="000000"/>
          <w:sz w:val="24"/>
          <w:szCs w:val="24"/>
          <w:lang w:val="ro-RO"/>
        </w:rPr>
        <w:t xml:space="preserve">: incinerare, gospodărirea apelor uzate; </w:t>
      </w:r>
    </w:p>
    <w:p w:rsidR="002F15C9" w:rsidRPr="00DF4B1A" w:rsidRDefault="002F15C9" w:rsidP="002F15C9">
      <w:pPr>
        <w:widowControl w:val="0"/>
        <w:autoSpaceDE w:val="0"/>
        <w:autoSpaceDN w:val="0"/>
        <w:adjustRightInd w:val="0"/>
        <w:jc w:val="both"/>
        <w:rPr>
          <w:rFonts w:ascii="Arial" w:hAnsi="Arial" w:cs="Arial"/>
          <w:i/>
          <w:iCs/>
          <w:color w:val="000000"/>
          <w:sz w:val="6"/>
          <w:szCs w:val="6"/>
          <w:lang w:val="ro-RO"/>
        </w:rPr>
      </w:pPr>
    </w:p>
    <w:p w:rsidR="001C427B" w:rsidRPr="00D4795B" w:rsidRDefault="002F15C9" w:rsidP="002F15C9">
      <w:pPr>
        <w:autoSpaceDE w:val="0"/>
        <w:autoSpaceDN w:val="0"/>
        <w:adjustRightInd w:val="0"/>
        <w:jc w:val="both"/>
        <w:rPr>
          <w:rFonts w:ascii="Arial" w:hAnsi="Arial" w:cs="Arial"/>
          <w:sz w:val="24"/>
          <w:szCs w:val="24"/>
          <w:lang w:val="ro-RO" w:eastAsia="en-US"/>
        </w:rPr>
      </w:pPr>
      <w:r w:rsidRPr="00DF4B1A">
        <w:rPr>
          <w:rFonts w:ascii="Arial" w:hAnsi="Arial" w:cs="Arial"/>
          <w:i/>
          <w:iCs/>
          <w:color w:val="000000"/>
          <w:sz w:val="24"/>
          <w:szCs w:val="24"/>
          <w:lang w:val="ro-RO"/>
        </w:rPr>
        <w:t xml:space="preserve">- </w:t>
      </w:r>
      <w:r w:rsidRPr="00DF4B1A">
        <w:rPr>
          <w:rFonts w:ascii="Arial" w:hAnsi="Arial" w:cs="Arial"/>
          <w:b/>
          <w:i/>
          <w:iCs/>
          <w:color w:val="000000"/>
          <w:sz w:val="24"/>
          <w:szCs w:val="24"/>
          <w:lang w:val="ro-RO"/>
        </w:rPr>
        <w:t>Altele</w:t>
      </w:r>
      <w:r w:rsidRPr="00DF4B1A">
        <w:rPr>
          <w:rFonts w:ascii="Arial" w:hAnsi="Arial" w:cs="Arial"/>
          <w:color w:val="000000"/>
          <w:sz w:val="24"/>
          <w:szCs w:val="24"/>
          <w:lang w:val="ro-RO"/>
        </w:rPr>
        <w:t>: emisii incluse în totalul naţional pentru întregul teritoriu și nealocate unui alt sector</w:t>
      </w:r>
      <w:r w:rsidR="001C427B" w:rsidRPr="00D4795B">
        <w:rPr>
          <w:rFonts w:ascii="Arial" w:hAnsi="Arial" w:cs="Arial"/>
          <w:sz w:val="24"/>
          <w:szCs w:val="24"/>
          <w:lang w:val="ro-RO" w:eastAsia="en-US"/>
        </w:rPr>
        <w:t>În scopul evalu</w:t>
      </w:r>
      <w:r w:rsidR="001C427B" w:rsidRPr="00D4795B">
        <w:rPr>
          <w:rFonts w:ascii="Arial" w:eastAsia="TT5B5o00" w:hAnsi="Arial" w:cs="Arial"/>
          <w:sz w:val="24"/>
          <w:szCs w:val="24"/>
          <w:lang w:val="ro-RO" w:eastAsia="en-US"/>
        </w:rPr>
        <w:t>ă</w:t>
      </w:r>
      <w:r w:rsidR="001C427B" w:rsidRPr="00D4795B">
        <w:rPr>
          <w:rFonts w:ascii="Arial" w:hAnsi="Arial" w:cs="Arial"/>
          <w:sz w:val="24"/>
          <w:szCs w:val="24"/>
          <w:lang w:val="ro-RO" w:eastAsia="en-US"/>
        </w:rPr>
        <w:t>rii calit</w:t>
      </w:r>
      <w:r w:rsidR="001C427B" w:rsidRPr="00D4795B">
        <w:rPr>
          <w:rFonts w:ascii="Arial" w:eastAsia="TT5B5o00" w:hAnsi="Arial" w:cs="Arial"/>
          <w:sz w:val="24"/>
          <w:szCs w:val="24"/>
          <w:lang w:val="ro-RO" w:eastAsia="en-US"/>
        </w:rPr>
        <w:t>ăţ</w:t>
      </w:r>
      <w:r w:rsidR="001C427B" w:rsidRPr="00D4795B">
        <w:rPr>
          <w:rFonts w:ascii="Arial" w:hAnsi="Arial" w:cs="Arial"/>
          <w:sz w:val="24"/>
          <w:szCs w:val="24"/>
          <w:lang w:val="ro-RO" w:eastAsia="en-US"/>
        </w:rPr>
        <w:t xml:space="preserve">ii aerului s-a realizat anual evaluarea </w:t>
      </w:r>
      <w:r w:rsidR="001C427B" w:rsidRPr="00D4795B">
        <w:rPr>
          <w:rFonts w:ascii="Arial" w:eastAsia="TT5B5o00" w:hAnsi="Arial" w:cs="Arial"/>
          <w:sz w:val="24"/>
          <w:szCs w:val="24"/>
          <w:lang w:val="ro-RO" w:eastAsia="en-US"/>
        </w:rPr>
        <w:t>ş</w:t>
      </w:r>
      <w:r w:rsidR="001C427B" w:rsidRPr="00D4795B">
        <w:rPr>
          <w:rFonts w:ascii="Arial" w:hAnsi="Arial" w:cs="Arial"/>
          <w:sz w:val="24"/>
          <w:szCs w:val="24"/>
          <w:lang w:val="ro-RO" w:eastAsia="en-US"/>
        </w:rPr>
        <w:t>i inventarierea emisiilor de poluan</w:t>
      </w:r>
      <w:r w:rsidR="001C427B" w:rsidRPr="00D4795B">
        <w:rPr>
          <w:rFonts w:ascii="Arial" w:eastAsia="TT5B5o00" w:hAnsi="Arial" w:cs="Arial"/>
          <w:sz w:val="24"/>
          <w:szCs w:val="24"/>
          <w:lang w:val="ro-RO" w:eastAsia="en-US"/>
        </w:rPr>
        <w:t>ţ</w:t>
      </w:r>
      <w:r w:rsidR="001C427B" w:rsidRPr="00D4795B">
        <w:rPr>
          <w:rFonts w:ascii="Arial" w:hAnsi="Arial" w:cs="Arial"/>
          <w:sz w:val="24"/>
          <w:szCs w:val="24"/>
          <w:lang w:val="ro-RO" w:eastAsia="en-US"/>
        </w:rPr>
        <w:t>i atmosferici.</w:t>
      </w:r>
    </w:p>
    <w:p w:rsidR="001C427B" w:rsidRDefault="001C427B" w:rsidP="00BA631C">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lastRenderedPageBreak/>
        <w:t xml:space="preserve">Începând din anul 2000, inventarul emisiilor poluante s-a realizat conform Ordinului MAPM 524/2000 cu ajutorul metodologiilor CORINAIR </w:t>
      </w:r>
      <w:r w:rsidRPr="00D4795B">
        <w:rPr>
          <w:rFonts w:ascii="Arial" w:eastAsia="TT5B5o00" w:hAnsi="Arial" w:cs="Arial"/>
          <w:sz w:val="24"/>
          <w:szCs w:val="24"/>
          <w:lang w:val="ro-RO" w:eastAsia="en-US"/>
        </w:rPr>
        <w:t>ş</w:t>
      </w:r>
      <w:r w:rsidRPr="00D4795B">
        <w:rPr>
          <w:rFonts w:ascii="Arial" w:hAnsi="Arial" w:cs="Arial"/>
          <w:sz w:val="24"/>
          <w:szCs w:val="24"/>
          <w:lang w:val="ro-RO" w:eastAsia="en-US"/>
        </w:rPr>
        <w:t>i AP-42, acesta fiind tot mai complet pe m</w:t>
      </w:r>
      <w:r w:rsidRPr="00D4795B">
        <w:rPr>
          <w:rFonts w:ascii="Arial" w:eastAsia="TT5B5o00" w:hAnsi="Arial" w:cs="Arial"/>
          <w:sz w:val="24"/>
          <w:szCs w:val="24"/>
          <w:lang w:val="ro-RO" w:eastAsia="en-US"/>
        </w:rPr>
        <w:t>ă</w:t>
      </w:r>
      <w:r w:rsidRPr="00D4795B">
        <w:rPr>
          <w:rFonts w:ascii="Arial" w:hAnsi="Arial" w:cs="Arial"/>
          <w:sz w:val="24"/>
          <w:szCs w:val="24"/>
          <w:lang w:val="ro-RO" w:eastAsia="en-US"/>
        </w:rPr>
        <w:t>sur</w:t>
      </w:r>
      <w:r w:rsidRPr="00D4795B">
        <w:rPr>
          <w:rFonts w:ascii="Arial" w:eastAsia="TT5B5o00" w:hAnsi="Arial" w:cs="Arial"/>
          <w:sz w:val="24"/>
          <w:szCs w:val="24"/>
          <w:lang w:val="ro-RO" w:eastAsia="en-US"/>
        </w:rPr>
        <w:t xml:space="preserve">ă </w:t>
      </w:r>
      <w:r w:rsidRPr="00D4795B">
        <w:rPr>
          <w:rFonts w:ascii="Arial" w:hAnsi="Arial" w:cs="Arial"/>
          <w:sz w:val="24"/>
          <w:szCs w:val="24"/>
          <w:lang w:val="ro-RO" w:eastAsia="en-US"/>
        </w:rPr>
        <w:t>ce au fost ob</w:t>
      </w:r>
      <w:r w:rsidRPr="00D4795B">
        <w:rPr>
          <w:rFonts w:ascii="Arial" w:eastAsia="TT5B5o00" w:hAnsi="Arial" w:cs="Arial"/>
          <w:sz w:val="24"/>
          <w:szCs w:val="24"/>
          <w:lang w:val="ro-RO" w:eastAsia="en-US"/>
        </w:rPr>
        <w:t>ţ</w:t>
      </w:r>
      <w:r w:rsidRPr="00D4795B">
        <w:rPr>
          <w:rFonts w:ascii="Arial" w:hAnsi="Arial" w:cs="Arial"/>
          <w:sz w:val="24"/>
          <w:szCs w:val="24"/>
          <w:lang w:val="ro-RO" w:eastAsia="en-US"/>
        </w:rPr>
        <w:t>inute datele necesare evalu</w:t>
      </w:r>
      <w:r w:rsidRPr="00D4795B">
        <w:rPr>
          <w:rFonts w:ascii="Arial" w:eastAsia="TT5B5o00" w:hAnsi="Arial" w:cs="Arial"/>
          <w:sz w:val="24"/>
          <w:szCs w:val="24"/>
          <w:lang w:val="ro-RO" w:eastAsia="en-US"/>
        </w:rPr>
        <w:t>ă</w:t>
      </w:r>
      <w:r w:rsidRPr="00D4795B">
        <w:rPr>
          <w:rFonts w:ascii="Arial" w:hAnsi="Arial" w:cs="Arial"/>
          <w:sz w:val="24"/>
          <w:szCs w:val="24"/>
          <w:lang w:val="ro-RO" w:eastAsia="en-US"/>
        </w:rPr>
        <w:t xml:space="preserve">rii emisiilor de la operatori economici </w:t>
      </w:r>
      <w:r w:rsidR="00377D3D">
        <w:rPr>
          <w:rFonts w:ascii="Arial" w:hAnsi="Arial" w:cs="Arial"/>
          <w:sz w:val="24"/>
          <w:szCs w:val="24"/>
          <w:lang w:val="ro-RO" w:eastAsia="en-US"/>
        </w:rPr>
        <w:t>ș</w:t>
      </w:r>
      <w:r w:rsidRPr="00D4795B">
        <w:rPr>
          <w:rFonts w:ascii="Arial" w:hAnsi="Arial" w:cs="Arial"/>
          <w:sz w:val="24"/>
          <w:szCs w:val="24"/>
          <w:lang w:val="ro-RO" w:eastAsia="en-US"/>
        </w:rPr>
        <w:t>i autorit</w:t>
      </w:r>
      <w:r w:rsidRPr="00D4795B">
        <w:rPr>
          <w:rFonts w:ascii="Arial" w:eastAsia="TT5B5o00" w:hAnsi="Arial" w:cs="Arial"/>
          <w:sz w:val="24"/>
          <w:szCs w:val="24"/>
          <w:lang w:val="ro-RO" w:eastAsia="en-US"/>
        </w:rPr>
        <w:t>ăţ</w:t>
      </w:r>
      <w:r w:rsidRPr="00D4795B">
        <w:rPr>
          <w:rFonts w:ascii="Arial" w:hAnsi="Arial" w:cs="Arial"/>
          <w:sz w:val="24"/>
          <w:szCs w:val="24"/>
          <w:lang w:val="ro-RO" w:eastAsia="en-US"/>
        </w:rPr>
        <w:t>i/institu</w:t>
      </w:r>
      <w:r w:rsidRPr="00D4795B">
        <w:rPr>
          <w:rFonts w:ascii="Arial" w:eastAsia="TT5B5o00" w:hAnsi="Arial" w:cs="Arial"/>
          <w:sz w:val="24"/>
          <w:szCs w:val="24"/>
          <w:lang w:val="ro-RO" w:eastAsia="en-US"/>
        </w:rPr>
        <w:t>ţ</w:t>
      </w:r>
      <w:r w:rsidRPr="00D4795B">
        <w:rPr>
          <w:rFonts w:ascii="Arial" w:hAnsi="Arial" w:cs="Arial"/>
          <w:sz w:val="24"/>
          <w:szCs w:val="24"/>
          <w:lang w:val="ro-RO" w:eastAsia="en-US"/>
        </w:rPr>
        <w:t>ii locale implicate.</w:t>
      </w:r>
    </w:p>
    <w:p w:rsidR="001C427B" w:rsidRDefault="00BA631C" w:rsidP="00BA631C">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Inventarele privind emisiile de poluanți în atmosferă au fost realizate conform Ordinului MMP nr. 3299/2012 cu ajutorul Ghidului EMEP/EEA-2009 î</w:t>
      </w:r>
      <w:r w:rsidR="00CF5E4D">
        <w:rPr>
          <w:rFonts w:ascii="Arial" w:hAnsi="Arial" w:cs="Arial"/>
          <w:sz w:val="24"/>
          <w:szCs w:val="24"/>
          <w:lang w:val="ro-RO" w:eastAsia="en-US"/>
        </w:rPr>
        <w:t xml:space="preserve">ncepând cu anul 2012 </w:t>
      </w:r>
      <w:r>
        <w:rPr>
          <w:rFonts w:ascii="Arial" w:hAnsi="Arial" w:cs="Arial"/>
          <w:sz w:val="24"/>
          <w:szCs w:val="24"/>
          <w:lang w:val="ro-RO" w:eastAsia="en-US"/>
        </w:rPr>
        <w:t>.</w:t>
      </w:r>
      <w:r w:rsidR="001C427B" w:rsidRPr="00D4795B">
        <w:rPr>
          <w:rFonts w:ascii="Arial" w:hAnsi="Arial" w:cs="Arial"/>
          <w:sz w:val="24"/>
          <w:szCs w:val="24"/>
          <w:lang w:val="ro-RO" w:eastAsia="en-US"/>
        </w:rPr>
        <w:t>Inventarul  pentru anul 201</w:t>
      </w:r>
      <w:r w:rsidR="00CF5E4D">
        <w:rPr>
          <w:rFonts w:ascii="Arial" w:hAnsi="Arial" w:cs="Arial"/>
          <w:sz w:val="24"/>
          <w:szCs w:val="24"/>
          <w:lang w:val="ro-RO" w:eastAsia="en-US"/>
        </w:rPr>
        <w:t>5</w:t>
      </w:r>
      <w:r w:rsidR="001C427B" w:rsidRPr="00D4795B">
        <w:rPr>
          <w:rFonts w:ascii="Arial" w:hAnsi="Arial" w:cs="Arial"/>
          <w:sz w:val="24"/>
          <w:szCs w:val="24"/>
          <w:lang w:val="ro-RO" w:eastAsia="en-US"/>
        </w:rPr>
        <w:t xml:space="preserve">  a fost întocmit  conform </w:t>
      </w:r>
      <w:r w:rsidR="001C427B">
        <w:rPr>
          <w:rFonts w:ascii="Arial" w:hAnsi="Arial" w:cs="Arial"/>
          <w:sz w:val="24"/>
          <w:szCs w:val="24"/>
          <w:lang w:val="ro-RO"/>
        </w:rPr>
        <w:t>Î</w:t>
      </w:r>
      <w:r w:rsidR="001C427B" w:rsidRPr="00D4795B">
        <w:rPr>
          <w:rFonts w:ascii="Arial" w:hAnsi="Arial" w:cs="Arial"/>
          <w:sz w:val="24"/>
          <w:szCs w:val="24"/>
          <w:lang w:val="ro-RO"/>
        </w:rPr>
        <w:t>ndrumarului privind modul de realizare a inventarelor na</w:t>
      </w:r>
      <w:r w:rsidR="001C427B">
        <w:rPr>
          <w:rFonts w:ascii="Arial" w:hAnsi="Arial" w:cs="Arial"/>
          <w:sz w:val="24"/>
          <w:szCs w:val="24"/>
          <w:lang w:val="ro-RO"/>
        </w:rPr>
        <w:t>ţ</w:t>
      </w:r>
      <w:r w:rsidR="001C427B" w:rsidRPr="00D4795B">
        <w:rPr>
          <w:rFonts w:ascii="Arial" w:hAnsi="Arial" w:cs="Arial"/>
          <w:sz w:val="24"/>
          <w:szCs w:val="24"/>
          <w:lang w:val="ro-RO"/>
        </w:rPr>
        <w:t xml:space="preserve">ionale </w:t>
      </w:r>
      <w:r w:rsidR="001C427B">
        <w:rPr>
          <w:rFonts w:ascii="Arial" w:hAnsi="Arial" w:cs="Arial"/>
          <w:sz w:val="24"/>
          <w:szCs w:val="24"/>
          <w:lang w:val="ro-RO"/>
        </w:rPr>
        <w:t>ş</w:t>
      </w:r>
      <w:r w:rsidR="001C427B" w:rsidRPr="00D4795B">
        <w:rPr>
          <w:rFonts w:ascii="Arial" w:hAnsi="Arial" w:cs="Arial"/>
          <w:sz w:val="24"/>
          <w:szCs w:val="24"/>
          <w:lang w:val="ro-RO"/>
        </w:rPr>
        <w:t>i a inventarelor locale de emisii de poluan</w:t>
      </w:r>
      <w:r w:rsidR="001C427B">
        <w:rPr>
          <w:rFonts w:ascii="Arial" w:hAnsi="Arial" w:cs="Arial"/>
          <w:sz w:val="24"/>
          <w:szCs w:val="24"/>
          <w:lang w:val="ro-RO"/>
        </w:rPr>
        <w:t>ţ</w:t>
      </w:r>
      <w:r w:rsidR="001C427B" w:rsidRPr="00D4795B">
        <w:rPr>
          <w:rFonts w:ascii="Arial" w:hAnsi="Arial" w:cs="Arial"/>
          <w:sz w:val="24"/>
          <w:szCs w:val="24"/>
          <w:lang w:val="ro-RO"/>
        </w:rPr>
        <w:t xml:space="preserve">i </w:t>
      </w:r>
      <w:r w:rsidR="001C427B">
        <w:rPr>
          <w:rFonts w:ascii="Arial" w:hAnsi="Arial" w:cs="Arial"/>
          <w:sz w:val="24"/>
          <w:szCs w:val="24"/>
          <w:lang w:val="ro-RO"/>
        </w:rPr>
        <w:t>î</w:t>
      </w:r>
      <w:r w:rsidR="001C427B" w:rsidRPr="00D4795B">
        <w:rPr>
          <w:rFonts w:ascii="Arial" w:hAnsi="Arial" w:cs="Arial"/>
          <w:sz w:val="24"/>
          <w:szCs w:val="24"/>
          <w:lang w:val="ro-RO"/>
        </w:rPr>
        <w:t xml:space="preserve">n aer, </w:t>
      </w:r>
      <w:r w:rsidR="001C427B">
        <w:rPr>
          <w:rFonts w:ascii="Arial" w:hAnsi="Arial" w:cs="Arial"/>
          <w:sz w:val="24"/>
          <w:szCs w:val="24"/>
          <w:lang w:val="ro-RO"/>
        </w:rPr>
        <w:t>î</w:t>
      </w:r>
      <w:r w:rsidR="001C427B" w:rsidRPr="00D4795B">
        <w:rPr>
          <w:rFonts w:ascii="Arial" w:hAnsi="Arial" w:cs="Arial"/>
          <w:sz w:val="24"/>
          <w:szCs w:val="24"/>
          <w:lang w:val="ro-RO"/>
        </w:rPr>
        <w:t>n conformitate cu cerin</w:t>
      </w:r>
      <w:r w:rsidR="001C427B">
        <w:rPr>
          <w:rFonts w:ascii="Arial" w:hAnsi="Arial" w:cs="Arial"/>
          <w:sz w:val="24"/>
          <w:szCs w:val="24"/>
          <w:lang w:val="ro-RO"/>
        </w:rPr>
        <w:t>ţ</w:t>
      </w:r>
      <w:r w:rsidR="001C427B" w:rsidRPr="00D4795B">
        <w:rPr>
          <w:rFonts w:ascii="Arial" w:hAnsi="Arial" w:cs="Arial"/>
          <w:sz w:val="24"/>
          <w:szCs w:val="24"/>
          <w:lang w:val="ro-RO"/>
        </w:rPr>
        <w:t>ele Ghidului EMEP/EEA-20</w:t>
      </w:r>
      <w:r w:rsidR="00CF5E4D">
        <w:rPr>
          <w:rFonts w:ascii="Arial" w:hAnsi="Arial" w:cs="Arial"/>
          <w:sz w:val="24"/>
          <w:szCs w:val="24"/>
          <w:lang w:val="ro-RO"/>
        </w:rPr>
        <w:t>13</w:t>
      </w:r>
      <w:r w:rsidR="001C427B" w:rsidRPr="00D4795B">
        <w:rPr>
          <w:rFonts w:ascii="Arial" w:hAnsi="Arial" w:cs="Arial"/>
          <w:sz w:val="24"/>
          <w:szCs w:val="24"/>
          <w:lang w:val="ro-RO"/>
        </w:rPr>
        <w:t>.</w:t>
      </w:r>
    </w:p>
    <w:p w:rsidR="0070647D" w:rsidRDefault="0070647D" w:rsidP="002700A7">
      <w:pPr>
        <w:autoSpaceDE w:val="0"/>
        <w:autoSpaceDN w:val="0"/>
        <w:adjustRightInd w:val="0"/>
        <w:jc w:val="both"/>
        <w:rPr>
          <w:rFonts w:ascii="Arial" w:hAnsi="Arial" w:cs="Arial"/>
          <w:sz w:val="24"/>
          <w:szCs w:val="24"/>
          <w:lang w:val="ro-RO"/>
        </w:rPr>
      </w:pPr>
    </w:p>
    <w:p w:rsidR="00DA3FB2" w:rsidRDefault="00DA3FB2" w:rsidP="00DA3FB2">
      <w:pPr>
        <w:autoSpaceDE w:val="0"/>
        <w:autoSpaceDN w:val="0"/>
        <w:adjustRightInd w:val="0"/>
        <w:jc w:val="both"/>
        <w:rPr>
          <w:rFonts w:ascii="Arial" w:hAnsi="Arial" w:cs="Arial"/>
          <w:i/>
          <w:sz w:val="24"/>
          <w:szCs w:val="24"/>
          <w:lang w:val="ro-RO"/>
        </w:rPr>
      </w:pPr>
      <w:r w:rsidRPr="00894F6F">
        <w:rPr>
          <w:rFonts w:ascii="Arial" w:hAnsi="Arial" w:cs="Arial"/>
          <w:i/>
          <w:sz w:val="24"/>
          <w:szCs w:val="24"/>
          <w:lang w:val="ro-RO"/>
        </w:rPr>
        <w:t>Emisiile de substanțe acidifiante</w:t>
      </w:r>
    </w:p>
    <w:p w:rsidR="0070647D" w:rsidRPr="00894F6F" w:rsidRDefault="0070647D" w:rsidP="00DA3FB2">
      <w:pPr>
        <w:autoSpaceDE w:val="0"/>
        <w:autoSpaceDN w:val="0"/>
        <w:adjustRightInd w:val="0"/>
        <w:jc w:val="both"/>
        <w:rPr>
          <w:rFonts w:ascii="Arial" w:hAnsi="Arial" w:cs="Arial"/>
          <w:b/>
          <w:i/>
          <w:sz w:val="24"/>
          <w:szCs w:val="24"/>
          <w:lang w:val="ro-RO" w:eastAsia="en-US"/>
        </w:rPr>
      </w:pPr>
    </w:p>
    <w:p w:rsidR="00DA3FB2" w:rsidRPr="001E21A2" w:rsidRDefault="00DA3FB2" w:rsidP="00DA3FB2">
      <w:pPr>
        <w:autoSpaceDE w:val="0"/>
        <w:autoSpaceDN w:val="0"/>
        <w:adjustRightInd w:val="0"/>
        <w:jc w:val="both"/>
        <w:rPr>
          <w:rFonts w:ascii="Arial" w:hAnsi="Arial" w:cs="Arial"/>
          <w:sz w:val="24"/>
          <w:szCs w:val="24"/>
          <w:lang w:val="ro-RO" w:eastAsia="en-US"/>
        </w:rPr>
      </w:pPr>
      <w:r w:rsidRPr="001E21A2">
        <w:rPr>
          <w:rFonts w:ascii="Arial" w:hAnsi="Arial" w:cs="Arial"/>
          <w:sz w:val="24"/>
          <w:szCs w:val="24"/>
          <w:lang w:val="ro-RO" w:eastAsia="en-US"/>
        </w:rPr>
        <w:t>Acidifierea este procesul de modificare a caracterului chimic natural al unui component al mediului, ca urmare a prezenţei unor compuşi care determină o serie de reacţii chimice în atmosferă, conducând la modificarea pH-ului precipitaţiilor şi chiar al solului. Acidifierea aerului este în principal produsă de emisiile şi efectele sinergice a 3 poluanţi, şi anume: SO</w:t>
      </w:r>
      <w:r w:rsidRPr="00A35876">
        <w:rPr>
          <w:rFonts w:ascii="Arial" w:hAnsi="Arial" w:cs="Arial"/>
          <w:sz w:val="24"/>
          <w:szCs w:val="24"/>
          <w:vertAlign w:val="subscript"/>
          <w:lang w:val="ro-RO" w:eastAsia="en-US"/>
        </w:rPr>
        <w:t>2</w:t>
      </w:r>
      <w:r w:rsidRPr="001E21A2">
        <w:rPr>
          <w:rFonts w:ascii="Arial" w:hAnsi="Arial" w:cs="Arial"/>
          <w:sz w:val="24"/>
          <w:szCs w:val="24"/>
          <w:lang w:val="ro-RO" w:eastAsia="en-US"/>
        </w:rPr>
        <w:t xml:space="preserve"> , NO</w:t>
      </w:r>
      <w:r w:rsidRPr="00A35876">
        <w:rPr>
          <w:rFonts w:ascii="Arial" w:hAnsi="Arial" w:cs="Arial"/>
          <w:sz w:val="24"/>
          <w:szCs w:val="24"/>
          <w:vertAlign w:val="subscript"/>
          <w:lang w:val="ro-RO" w:eastAsia="en-US"/>
        </w:rPr>
        <w:t>x</w:t>
      </w:r>
      <w:r w:rsidRPr="001E21A2">
        <w:rPr>
          <w:rFonts w:ascii="Arial" w:hAnsi="Arial" w:cs="Arial"/>
          <w:sz w:val="24"/>
          <w:szCs w:val="24"/>
          <w:lang w:val="ro-RO" w:eastAsia="en-US"/>
        </w:rPr>
        <w:t xml:space="preserve"> şi NH</w:t>
      </w:r>
      <w:r w:rsidRPr="00A35876">
        <w:rPr>
          <w:rFonts w:ascii="Arial" w:hAnsi="Arial" w:cs="Arial"/>
          <w:sz w:val="24"/>
          <w:szCs w:val="24"/>
          <w:vertAlign w:val="subscript"/>
          <w:lang w:val="ro-RO" w:eastAsia="en-US"/>
        </w:rPr>
        <w:t>3</w:t>
      </w:r>
      <w:r w:rsidRPr="001E21A2">
        <w:rPr>
          <w:rFonts w:ascii="Arial" w:hAnsi="Arial" w:cs="Arial"/>
          <w:sz w:val="24"/>
          <w:szCs w:val="24"/>
          <w:lang w:val="ro-RO" w:eastAsia="en-US"/>
        </w:rPr>
        <w:t>, care au impact îndeosebi asupra vegetaţiei şi a apelor de suprafaţă..</w:t>
      </w:r>
    </w:p>
    <w:p w:rsidR="00DA3FB2" w:rsidRPr="001E21A2" w:rsidRDefault="00DA3FB2" w:rsidP="00DA3FB2">
      <w:pPr>
        <w:autoSpaceDE w:val="0"/>
        <w:autoSpaceDN w:val="0"/>
        <w:adjustRightInd w:val="0"/>
        <w:jc w:val="both"/>
        <w:rPr>
          <w:rFonts w:ascii="Arial" w:hAnsi="Arial" w:cs="Arial"/>
          <w:sz w:val="24"/>
          <w:szCs w:val="24"/>
          <w:lang w:val="ro-RO" w:eastAsia="en-US"/>
        </w:rPr>
      </w:pPr>
      <w:r w:rsidRPr="001E21A2">
        <w:rPr>
          <w:rFonts w:ascii="Arial" w:hAnsi="Arial" w:cs="Arial"/>
          <w:sz w:val="24"/>
          <w:szCs w:val="24"/>
          <w:lang w:val="ro-RO" w:eastAsia="en-US"/>
        </w:rPr>
        <w:t>Emisiile atmosferice ale substanţelor acidifiante ca SO</w:t>
      </w:r>
      <w:r w:rsidRPr="00A35876">
        <w:rPr>
          <w:rFonts w:ascii="Arial" w:hAnsi="Arial" w:cs="Arial"/>
          <w:sz w:val="24"/>
          <w:szCs w:val="24"/>
          <w:vertAlign w:val="subscript"/>
          <w:lang w:val="ro-RO" w:eastAsia="en-US"/>
        </w:rPr>
        <w:t>2</w:t>
      </w:r>
      <w:r w:rsidRPr="001E21A2">
        <w:rPr>
          <w:rFonts w:ascii="Arial" w:hAnsi="Arial" w:cs="Arial"/>
          <w:sz w:val="24"/>
          <w:szCs w:val="24"/>
          <w:lang w:val="ro-RO" w:eastAsia="en-US"/>
        </w:rPr>
        <w:t>, NO</w:t>
      </w:r>
      <w:r w:rsidRPr="00A35876">
        <w:rPr>
          <w:rFonts w:ascii="Arial" w:hAnsi="Arial" w:cs="Arial"/>
          <w:sz w:val="24"/>
          <w:szCs w:val="24"/>
          <w:vertAlign w:val="subscript"/>
          <w:lang w:val="ro-RO" w:eastAsia="en-US"/>
        </w:rPr>
        <w:t>X</w:t>
      </w:r>
      <w:r w:rsidRPr="001E21A2">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DA3FB2" w:rsidRPr="001E21A2" w:rsidRDefault="00DA3FB2" w:rsidP="00DA3FB2">
      <w:pPr>
        <w:autoSpaceDE w:val="0"/>
        <w:autoSpaceDN w:val="0"/>
        <w:adjustRightInd w:val="0"/>
        <w:jc w:val="both"/>
        <w:rPr>
          <w:rFonts w:ascii="Arial" w:hAnsi="Arial" w:cs="Arial"/>
          <w:sz w:val="24"/>
          <w:szCs w:val="24"/>
          <w:lang w:val="ro-RO" w:eastAsia="en-US"/>
        </w:rPr>
      </w:pPr>
      <w:r w:rsidRPr="001E21A2">
        <w:rPr>
          <w:rFonts w:ascii="Arial" w:hAnsi="Arial" w:cs="Arial"/>
          <w:sz w:val="24"/>
          <w:szCs w:val="24"/>
          <w:lang w:val="ro-RO" w:eastAsia="en-US"/>
        </w:rPr>
        <w:t>Poluanţii primari SO</w:t>
      </w:r>
      <w:r w:rsidRPr="00A35876">
        <w:rPr>
          <w:rFonts w:ascii="Arial" w:hAnsi="Arial" w:cs="Arial"/>
          <w:sz w:val="24"/>
          <w:szCs w:val="24"/>
          <w:vertAlign w:val="subscript"/>
          <w:lang w:val="ro-RO" w:eastAsia="en-US"/>
        </w:rPr>
        <w:t>2</w:t>
      </w:r>
      <w:r w:rsidRPr="001E21A2">
        <w:rPr>
          <w:rFonts w:ascii="Arial" w:hAnsi="Arial" w:cs="Arial"/>
          <w:sz w:val="24"/>
          <w:szCs w:val="24"/>
          <w:lang w:val="ro-RO" w:eastAsia="en-US"/>
        </w:rPr>
        <w:t>, NO</w:t>
      </w:r>
      <w:r w:rsidRPr="00A35876">
        <w:rPr>
          <w:rFonts w:ascii="Arial" w:hAnsi="Arial" w:cs="Arial"/>
          <w:sz w:val="24"/>
          <w:szCs w:val="24"/>
          <w:vertAlign w:val="subscript"/>
          <w:lang w:val="ro-RO" w:eastAsia="en-US"/>
        </w:rPr>
        <w:t>X</w:t>
      </w:r>
      <w:r w:rsidRPr="001E21A2">
        <w:rPr>
          <w:rFonts w:ascii="Arial" w:hAnsi="Arial" w:cs="Arial"/>
          <w:sz w:val="24"/>
          <w:szCs w:val="24"/>
          <w:lang w:val="ro-RO" w:eastAsia="en-US"/>
        </w:rPr>
        <w:t xml:space="preserve"> şi NH</w:t>
      </w:r>
      <w:r w:rsidRPr="00A35876">
        <w:rPr>
          <w:rFonts w:ascii="Arial" w:hAnsi="Arial" w:cs="Arial"/>
          <w:sz w:val="24"/>
          <w:szCs w:val="24"/>
          <w:vertAlign w:val="subscript"/>
          <w:lang w:val="ro-RO" w:eastAsia="en-US"/>
        </w:rPr>
        <w:t>3</w:t>
      </w:r>
      <w:r w:rsidRPr="001E21A2">
        <w:rPr>
          <w:rFonts w:ascii="Arial" w:hAnsi="Arial" w:cs="Arial"/>
          <w:sz w:val="24"/>
          <w:szCs w:val="24"/>
          <w:lang w:val="ro-RO" w:eastAsia="en-US"/>
        </w:rPr>
        <w:t xml:space="preserve"> împreună cu produşii lor de reacţie, după depunere conduc la schimbări chimice în compoziţia solului şi apelor de suprafaţă.</w:t>
      </w:r>
    </w:p>
    <w:p w:rsidR="00DA3FB2" w:rsidRPr="001E21A2" w:rsidRDefault="00DA3FB2" w:rsidP="00DA3FB2">
      <w:pPr>
        <w:autoSpaceDE w:val="0"/>
        <w:autoSpaceDN w:val="0"/>
        <w:adjustRightInd w:val="0"/>
        <w:jc w:val="both"/>
        <w:rPr>
          <w:rFonts w:ascii="Arial" w:hAnsi="Arial" w:cs="Arial"/>
          <w:sz w:val="24"/>
          <w:szCs w:val="24"/>
          <w:lang w:val="ro-RO" w:eastAsia="en-US"/>
        </w:rPr>
      </w:pPr>
      <w:r w:rsidRPr="001E21A2">
        <w:rPr>
          <w:rFonts w:ascii="Arial" w:hAnsi="Arial" w:cs="Arial"/>
          <w:sz w:val="24"/>
          <w:szCs w:val="24"/>
          <w:lang w:val="ro-RO" w:eastAsia="en-US"/>
        </w:rPr>
        <w:t>Acest proces afectează ecosistemele, conducând la procesul de acidifiere.</w:t>
      </w:r>
    </w:p>
    <w:p w:rsidR="004B74CC" w:rsidRDefault="004B74CC" w:rsidP="00DA3FB2">
      <w:pPr>
        <w:autoSpaceDE w:val="0"/>
        <w:autoSpaceDN w:val="0"/>
        <w:adjustRightInd w:val="0"/>
        <w:jc w:val="both"/>
        <w:rPr>
          <w:rFonts w:ascii="Arial" w:hAnsi="Arial" w:cs="Arial"/>
          <w:i/>
          <w:sz w:val="24"/>
          <w:szCs w:val="24"/>
          <w:lang w:val="ro-RO" w:eastAsia="en-US"/>
        </w:rPr>
      </w:pPr>
    </w:p>
    <w:p w:rsidR="00DA3FB2" w:rsidRDefault="00DA3FB2" w:rsidP="00DA3FB2">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precursori ai ozonului</w:t>
      </w:r>
    </w:p>
    <w:p w:rsidR="00DA3FB2" w:rsidRPr="00894F6F" w:rsidRDefault="00DA3FB2" w:rsidP="00DA3FB2">
      <w:pPr>
        <w:autoSpaceDE w:val="0"/>
        <w:autoSpaceDN w:val="0"/>
        <w:adjustRightInd w:val="0"/>
        <w:jc w:val="both"/>
        <w:rPr>
          <w:rFonts w:ascii="Arial" w:hAnsi="Arial" w:cs="Arial"/>
          <w:i/>
          <w:sz w:val="24"/>
          <w:szCs w:val="24"/>
          <w:lang w:val="ro-RO" w:eastAsia="en-US"/>
        </w:rPr>
      </w:pPr>
    </w:p>
    <w:p w:rsidR="00DA3FB2" w:rsidRPr="00DF4B1A" w:rsidRDefault="00DA3FB2" w:rsidP="00DA3FB2">
      <w:pPr>
        <w:widowControl w:val="0"/>
        <w:autoSpaceDE w:val="0"/>
        <w:autoSpaceDN w:val="0"/>
        <w:adjustRightInd w:val="0"/>
        <w:ind w:firstLine="720"/>
        <w:jc w:val="both"/>
        <w:rPr>
          <w:rFonts w:ascii="Arial" w:hAnsi="Arial" w:cs="Arial"/>
          <w:color w:val="000000"/>
          <w:sz w:val="24"/>
          <w:szCs w:val="24"/>
          <w:lang w:val="ro-RO"/>
        </w:rPr>
      </w:pPr>
      <w:r w:rsidRPr="00DF4B1A">
        <w:rPr>
          <w:rFonts w:ascii="Arial" w:hAnsi="Arial" w:cs="Arial"/>
          <w:color w:val="000000"/>
          <w:sz w:val="24"/>
          <w:szCs w:val="24"/>
          <w:lang w:val="ro-RO"/>
        </w:rPr>
        <w:t>Emisiile de compuşi organici volatili nemetanici (NMVOC), oxizi de azot (NOx), monoxid de carbon (CO) şi metan (CH</w:t>
      </w:r>
      <w:r w:rsidRPr="00DF4B1A">
        <w:rPr>
          <w:rFonts w:ascii="Arial" w:hAnsi="Arial" w:cs="Arial"/>
          <w:color w:val="000000"/>
          <w:sz w:val="24"/>
          <w:szCs w:val="24"/>
          <w:vertAlign w:val="subscript"/>
          <w:lang w:val="ro-RO"/>
        </w:rPr>
        <w:t>4</w:t>
      </w:r>
      <w:r w:rsidRPr="00DF4B1A">
        <w:rPr>
          <w:rFonts w:ascii="Arial" w:hAnsi="Arial" w:cs="Arial"/>
          <w:color w:val="000000"/>
          <w:sz w:val="24"/>
          <w:szCs w:val="24"/>
          <w:lang w:val="ro-RO"/>
        </w:rPr>
        <w:t xml:space="preserve">) contribuie la formarea ozonului de la nivelul solului (troposferă). </w:t>
      </w:r>
    </w:p>
    <w:p w:rsidR="00DA3FB2" w:rsidRPr="00DF4B1A" w:rsidRDefault="00DA3FB2" w:rsidP="00DA3FB2">
      <w:pPr>
        <w:widowControl w:val="0"/>
        <w:autoSpaceDE w:val="0"/>
        <w:autoSpaceDN w:val="0"/>
        <w:adjustRightInd w:val="0"/>
        <w:ind w:firstLine="720"/>
        <w:jc w:val="both"/>
        <w:rPr>
          <w:rFonts w:ascii="Arial" w:hAnsi="Arial" w:cs="Arial"/>
          <w:color w:val="000000"/>
          <w:sz w:val="24"/>
          <w:szCs w:val="24"/>
          <w:lang w:val="ro-RO"/>
        </w:rPr>
      </w:pPr>
      <w:r w:rsidRPr="00DF4B1A">
        <w:rPr>
          <w:rFonts w:ascii="Arial" w:hAnsi="Arial" w:cs="Arial"/>
          <w:color w:val="000000"/>
          <w:sz w:val="24"/>
          <w:szCs w:val="24"/>
          <w:lang w:val="ro-RO"/>
        </w:rPr>
        <w:t xml:space="preserve">Ozonul este un oxidant puternic, iar ozonul troposferic poate avea efecte adverse asupra sănătăţii umane şi a ecosistemelor. Este o problemă în special în timpul lunilor de vară. </w:t>
      </w:r>
    </w:p>
    <w:p w:rsidR="00DA3FB2" w:rsidRPr="00DF4B1A" w:rsidRDefault="00DA3FB2" w:rsidP="00DA3FB2">
      <w:pPr>
        <w:widowControl w:val="0"/>
        <w:autoSpaceDE w:val="0"/>
        <w:autoSpaceDN w:val="0"/>
        <w:adjustRightInd w:val="0"/>
        <w:ind w:firstLine="720"/>
        <w:jc w:val="both"/>
        <w:rPr>
          <w:rFonts w:ascii="Arial" w:hAnsi="Arial" w:cs="Arial"/>
          <w:color w:val="000000"/>
          <w:sz w:val="24"/>
          <w:szCs w:val="24"/>
          <w:lang w:val="ro-RO"/>
        </w:rPr>
      </w:pPr>
      <w:r w:rsidRPr="00DF4B1A">
        <w:rPr>
          <w:rFonts w:ascii="Arial" w:hAnsi="Arial" w:cs="Arial"/>
          <w:color w:val="000000"/>
          <w:sz w:val="24"/>
          <w:szCs w:val="24"/>
          <w:lang w:val="ro-RO"/>
        </w:rPr>
        <w:t>Concentraţiile mari de ozon la nivelul solului afectează în mod negativ sistemul respirator uman şi există dovezi că expunerea pe termen lung accelerează declinul funcţiei pulmonare cu vârsta şi poate afecta dezvoltarea funcţiei pulmonare. Unele persoane sunt mai vulnerabile la concentraţii mari decât altele, cu efectele cele mai grave, în general, la copii, astmatici şi persoanele în vârstă. Concentraţiile mari în mediul înconjurător sunt dăunătoare culturilor şi pădurilor, reducerea randamentelor, cauzând pagube frunzelor şi reducând rezistenţa la boli.</w:t>
      </w:r>
    </w:p>
    <w:p w:rsidR="00DA3FB2" w:rsidRDefault="00DA3FB2" w:rsidP="00DA3FB2">
      <w:pPr>
        <w:widowControl w:val="0"/>
        <w:autoSpaceDE w:val="0"/>
        <w:autoSpaceDN w:val="0"/>
        <w:adjustRightInd w:val="0"/>
        <w:ind w:firstLine="720"/>
        <w:jc w:val="both"/>
        <w:rPr>
          <w:rFonts w:ascii="Arial" w:hAnsi="Arial" w:cs="Arial"/>
          <w:sz w:val="24"/>
          <w:szCs w:val="24"/>
          <w:lang w:val="ro-RO"/>
        </w:rPr>
      </w:pPr>
      <w:r w:rsidRPr="00DF4B1A">
        <w:rPr>
          <w:rFonts w:ascii="Arial" w:hAnsi="Arial" w:cs="Arial"/>
          <w:sz w:val="24"/>
          <w:szCs w:val="24"/>
          <w:lang w:val="ro-RO"/>
        </w:rPr>
        <w:t>Ozonul este un poluant secundar deoarece, spre deosebire de alţi poluanţi, nu este emis direct de vreo sursă de emisie, ci se formează sub influenţa radiaţiilor ultraviolete, prin reacţii fotochimice în lanţ între o serie de poluanţi primari (precursori ai ozonului – NO</w:t>
      </w:r>
      <w:r w:rsidRPr="00DF4B1A">
        <w:rPr>
          <w:rFonts w:ascii="Arial" w:hAnsi="Arial" w:cs="Arial"/>
          <w:sz w:val="24"/>
          <w:szCs w:val="24"/>
          <w:vertAlign w:val="subscript"/>
          <w:lang w:val="ro-RO"/>
        </w:rPr>
        <w:t>x</w:t>
      </w:r>
      <w:r w:rsidRPr="00DF4B1A">
        <w:rPr>
          <w:rFonts w:ascii="Arial" w:hAnsi="Arial" w:cs="Arial"/>
          <w:sz w:val="24"/>
          <w:szCs w:val="24"/>
          <w:lang w:val="ro-RO"/>
        </w:rPr>
        <w:t xml:space="preserve">, compuşi organici volatili (COV), monoxid de carbon). </w:t>
      </w:r>
    </w:p>
    <w:p w:rsidR="004B74CC" w:rsidRPr="00DF4B1A" w:rsidRDefault="004B74CC" w:rsidP="00DA3FB2">
      <w:pPr>
        <w:widowControl w:val="0"/>
        <w:autoSpaceDE w:val="0"/>
        <w:autoSpaceDN w:val="0"/>
        <w:adjustRightInd w:val="0"/>
        <w:ind w:firstLine="720"/>
        <w:jc w:val="both"/>
        <w:rPr>
          <w:rFonts w:ascii="Arial" w:hAnsi="Arial" w:cs="Arial"/>
          <w:color w:val="000000"/>
          <w:sz w:val="24"/>
          <w:szCs w:val="24"/>
          <w:lang w:val="ro-RO"/>
        </w:rPr>
      </w:pPr>
    </w:p>
    <w:p w:rsidR="004B74CC" w:rsidRDefault="004B74CC" w:rsidP="004B74CC">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particule primare și precursori secundari de particule</w:t>
      </w:r>
    </w:p>
    <w:p w:rsidR="0070647D" w:rsidRDefault="0070647D" w:rsidP="004B74CC">
      <w:pPr>
        <w:autoSpaceDE w:val="0"/>
        <w:autoSpaceDN w:val="0"/>
        <w:adjustRightInd w:val="0"/>
        <w:jc w:val="both"/>
        <w:rPr>
          <w:rFonts w:ascii="Arial" w:hAnsi="Arial" w:cs="Arial"/>
          <w:i/>
          <w:sz w:val="24"/>
          <w:szCs w:val="24"/>
          <w:lang w:val="ro-RO" w:eastAsia="en-US"/>
        </w:rPr>
      </w:pPr>
    </w:p>
    <w:p w:rsidR="004B74CC" w:rsidRPr="00DF4B1A" w:rsidRDefault="004B74CC" w:rsidP="004B74CC">
      <w:pPr>
        <w:widowControl w:val="0"/>
        <w:autoSpaceDE w:val="0"/>
        <w:autoSpaceDN w:val="0"/>
        <w:adjustRightInd w:val="0"/>
        <w:ind w:firstLine="720"/>
        <w:jc w:val="both"/>
        <w:rPr>
          <w:rFonts w:ascii="Arial" w:hAnsi="Arial" w:cs="Arial"/>
          <w:color w:val="000000"/>
          <w:sz w:val="24"/>
          <w:szCs w:val="24"/>
          <w:lang w:val="ro-RO"/>
        </w:rPr>
      </w:pPr>
      <w:r>
        <w:rPr>
          <w:rFonts w:ascii="Arial" w:hAnsi="Arial" w:cs="Arial"/>
          <w:color w:val="000000"/>
          <w:sz w:val="24"/>
          <w:szCs w:val="24"/>
          <w:lang w:val="ro-RO"/>
        </w:rPr>
        <w:t xml:space="preserve">Poluarea cu particule fine produce un impact negativ asupra sănătăţii </w:t>
      </w:r>
      <w:r w:rsidRPr="00DF4B1A">
        <w:rPr>
          <w:rFonts w:ascii="Arial" w:hAnsi="Arial" w:cs="Arial"/>
          <w:color w:val="000000"/>
          <w:sz w:val="24"/>
          <w:szCs w:val="24"/>
          <w:lang w:val="ro-RO"/>
        </w:rPr>
        <w:t xml:space="preserve">umane şi </w:t>
      </w:r>
      <w:r>
        <w:rPr>
          <w:rFonts w:ascii="Arial" w:hAnsi="Arial" w:cs="Arial"/>
          <w:color w:val="000000"/>
          <w:sz w:val="24"/>
          <w:szCs w:val="24"/>
          <w:lang w:val="ro-RO"/>
        </w:rPr>
        <w:t xml:space="preserve">nu numai, acestea putând provoca printre altele </w:t>
      </w:r>
      <w:r w:rsidRPr="00DF4B1A">
        <w:rPr>
          <w:rFonts w:ascii="Arial" w:hAnsi="Arial" w:cs="Arial"/>
          <w:color w:val="000000"/>
          <w:sz w:val="24"/>
          <w:szCs w:val="24"/>
          <w:lang w:val="ro-RO"/>
        </w:rPr>
        <w:t>o serie de probleme respiratorii. În acest context</w:t>
      </w:r>
      <w:r>
        <w:rPr>
          <w:rFonts w:ascii="Arial" w:hAnsi="Arial" w:cs="Arial"/>
          <w:color w:val="000000"/>
          <w:sz w:val="24"/>
          <w:szCs w:val="24"/>
          <w:lang w:val="ro-RO"/>
        </w:rPr>
        <w:t xml:space="preserve">, </w:t>
      </w:r>
      <w:r w:rsidRPr="00DF4B1A">
        <w:rPr>
          <w:rFonts w:ascii="Arial" w:hAnsi="Arial" w:cs="Arial"/>
          <w:color w:val="000000"/>
          <w:sz w:val="24"/>
          <w:szCs w:val="24"/>
          <w:lang w:val="ro-RO"/>
        </w:rPr>
        <w:t>particulele primare se referă la particulele fine în suspensie (PM2,5 şi PM10) şi emisiile de precursori ai particulelor secundare (NOx, SO</w:t>
      </w:r>
      <w:r w:rsidRPr="00DF4B1A">
        <w:rPr>
          <w:rFonts w:ascii="Arial" w:hAnsi="Arial" w:cs="Arial"/>
          <w:color w:val="000000"/>
          <w:sz w:val="24"/>
          <w:szCs w:val="24"/>
          <w:vertAlign w:val="subscript"/>
          <w:lang w:val="ro-RO"/>
        </w:rPr>
        <w:t>2</w:t>
      </w:r>
      <w:r w:rsidRPr="00DF4B1A">
        <w:rPr>
          <w:rFonts w:ascii="Arial" w:hAnsi="Arial" w:cs="Arial"/>
          <w:color w:val="000000"/>
          <w:sz w:val="24"/>
          <w:szCs w:val="24"/>
          <w:lang w:val="ro-RO"/>
        </w:rPr>
        <w:t xml:space="preserve"> şi NH</w:t>
      </w:r>
      <w:r w:rsidRPr="00DF4B1A">
        <w:rPr>
          <w:rFonts w:ascii="Arial" w:hAnsi="Arial" w:cs="Arial"/>
          <w:color w:val="000000"/>
          <w:sz w:val="24"/>
          <w:szCs w:val="24"/>
          <w:vertAlign w:val="subscript"/>
          <w:lang w:val="ro-RO"/>
        </w:rPr>
        <w:t>3</w:t>
      </w:r>
      <w:r w:rsidRPr="00DF4B1A">
        <w:rPr>
          <w:rFonts w:ascii="Arial" w:hAnsi="Arial" w:cs="Arial"/>
          <w:color w:val="000000"/>
          <w:sz w:val="24"/>
          <w:szCs w:val="24"/>
          <w:lang w:val="ro-RO"/>
        </w:rPr>
        <w:t xml:space="preserve">), care </w:t>
      </w:r>
      <w:r w:rsidRPr="00DF4B1A">
        <w:rPr>
          <w:rFonts w:ascii="Arial" w:hAnsi="Arial" w:cs="Arial"/>
          <w:color w:val="000000"/>
          <w:sz w:val="24"/>
          <w:szCs w:val="24"/>
          <w:lang w:val="ro-RO"/>
        </w:rPr>
        <w:lastRenderedPageBreak/>
        <w:t>sunt transformaţi parţial în particule fine, prin reacţii fotochimice care se produc în atmosferă</w:t>
      </w:r>
      <w:r>
        <w:rPr>
          <w:rFonts w:ascii="Arial" w:hAnsi="Arial" w:cs="Arial"/>
          <w:color w:val="000000"/>
          <w:sz w:val="24"/>
          <w:szCs w:val="24"/>
          <w:lang w:val="ro-RO"/>
        </w:rPr>
        <w:t>.</w:t>
      </w:r>
      <w:r w:rsidRPr="00867EE1">
        <w:rPr>
          <w:rFonts w:ascii="Arial" w:hAnsi="Arial" w:cs="Arial"/>
          <w:color w:val="000000"/>
          <w:sz w:val="24"/>
          <w:szCs w:val="24"/>
          <w:lang w:val="ro-RO"/>
        </w:rPr>
        <w:t xml:space="preserve"> </w:t>
      </w:r>
      <w:r w:rsidRPr="00DF4B1A">
        <w:rPr>
          <w:rFonts w:ascii="Arial" w:hAnsi="Arial" w:cs="Arial"/>
          <w:color w:val="000000"/>
          <w:sz w:val="24"/>
          <w:szCs w:val="24"/>
          <w:lang w:val="ro-RO"/>
        </w:rPr>
        <w:t xml:space="preserve">În atmosferă, în prezenţa luminii, dioxidul de sulf se oxidează fotochimic la trioxid de sulf, care, în reacţie cu vaporii de apă din atmosferă, determină formarea de aerosoli de acid sulfuric şi de sulfaţi (aşa numitele pulberi secundare). </w:t>
      </w:r>
    </w:p>
    <w:p w:rsidR="004B74CC" w:rsidRPr="00DF4B1A" w:rsidRDefault="004B74CC" w:rsidP="004B74CC">
      <w:pPr>
        <w:widowControl w:val="0"/>
        <w:autoSpaceDE w:val="0"/>
        <w:autoSpaceDN w:val="0"/>
        <w:adjustRightInd w:val="0"/>
        <w:ind w:firstLine="720"/>
        <w:jc w:val="both"/>
        <w:rPr>
          <w:rFonts w:ascii="Arial" w:hAnsi="Arial" w:cs="Arial"/>
          <w:color w:val="000000"/>
          <w:sz w:val="24"/>
          <w:szCs w:val="24"/>
          <w:lang w:val="ro-RO"/>
        </w:rPr>
      </w:pPr>
      <w:r w:rsidRPr="00DF4B1A">
        <w:rPr>
          <w:rFonts w:ascii="Arial" w:hAnsi="Arial" w:cs="Arial"/>
          <w:color w:val="000000"/>
          <w:sz w:val="24"/>
          <w:szCs w:val="24"/>
          <w:lang w:val="ro-RO"/>
        </w:rPr>
        <w:t>Oxizii de azot (NO</w:t>
      </w:r>
      <w:r w:rsidRPr="00DF4B1A">
        <w:rPr>
          <w:rFonts w:ascii="Arial" w:hAnsi="Arial" w:cs="Arial"/>
          <w:color w:val="000000"/>
          <w:sz w:val="24"/>
          <w:szCs w:val="24"/>
          <w:vertAlign w:val="subscript"/>
          <w:lang w:val="ro-RO"/>
        </w:rPr>
        <w:t>x</w:t>
      </w:r>
      <w:r w:rsidRPr="00DF4B1A">
        <w:rPr>
          <w:rFonts w:ascii="Arial" w:hAnsi="Arial" w:cs="Arial"/>
          <w:color w:val="000000"/>
          <w:sz w:val="24"/>
          <w:szCs w:val="24"/>
          <w:lang w:val="ro-RO"/>
        </w:rPr>
        <w:t>), ca urmare a unor transformări fotochimice în prezenţa altor poluanţi (ozonul, hidrocarburile) şi în reacţie cu vaporii de apă din atmosferă, determină formarea acidului azotic, dar şi a unor pulberi secundare, după combinarea cu alte gaze din atmosferă (ex. azotat de amoniu).</w:t>
      </w:r>
    </w:p>
    <w:p w:rsidR="004B74CC" w:rsidRDefault="004B74CC" w:rsidP="004B74CC">
      <w:pPr>
        <w:autoSpaceDE w:val="0"/>
        <w:autoSpaceDN w:val="0"/>
        <w:adjustRightInd w:val="0"/>
        <w:jc w:val="both"/>
        <w:rPr>
          <w:rFonts w:ascii="Arial" w:hAnsi="Arial" w:cs="Arial"/>
          <w:i/>
          <w:sz w:val="24"/>
          <w:szCs w:val="24"/>
          <w:lang w:val="ro-RO" w:eastAsia="en-US"/>
        </w:rPr>
      </w:pPr>
    </w:p>
    <w:p w:rsidR="004B74CC" w:rsidRDefault="004B74CC" w:rsidP="004B74CC">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metale grele</w:t>
      </w:r>
    </w:p>
    <w:p w:rsidR="006172BA" w:rsidRDefault="006172BA" w:rsidP="004B74CC">
      <w:pPr>
        <w:autoSpaceDE w:val="0"/>
        <w:autoSpaceDN w:val="0"/>
        <w:adjustRightInd w:val="0"/>
        <w:jc w:val="both"/>
        <w:rPr>
          <w:rFonts w:ascii="Arial" w:hAnsi="Arial" w:cs="Arial"/>
          <w:i/>
          <w:sz w:val="24"/>
          <w:szCs w:val="24"/>
          <w:lang w:val="ro-RO" w:eastAsia="en-US"/>
        </w:rPr>
      </w:pPr>
    </w:p>
    <w:p w:rsidR="004B74CC" w:rsidRDefault="004B74CC" w:rsidP="004B74CC">
      <w:pPr>
        <w:widowControl w:val="0"/>
        <w:ind w:firstLine="720"/>
        <w:jc w:val="both"/>
        <w:rPr>
          <w:rFonts w:ascii="Arial" w:hAnsi="Arial" w:cs="Arial"/>
          <w:sz w:val="24"/>
          <w:szCs w:val="24"/>
          <w:lang w:val="ro-RO"/>
        </w:rPr>
      </w:pPr>
      <w:r w:rsidRPr="00DF4B1A">
        <w:rPr>
          <w:rFonts w:ascii="Arial" w:hAnsi="Arial" w:cs="Arial"/>
          <w:color w:val="000000"/>
          <w:sz w:val="24"/>
          <w:szCs w:val="24"/>
          <w:lang w:val="ro-RO"/>
        </w:rPr>
        <w:t>Metalele grele (cum ar fi cadmiul, mercurul şi p</w:t>
      </w:r>
      <w:r>
        <w:rPr>
          <w:rFonts w:ascii="Arial" w:hAnsi="Arial" w:cs="Arial"/>
          <w:color w:val="000000"/>
          <w:sz w:val="24"/>
          <w:szCs w:val="24"/>
          <w:lang w:val="ro-RO"/>
        </w:rPr>
        <w:t>lumbul) sunt toxice pentru mediul de viaţă</w:t>
      </w:r>
      <w:r w:rsidRPr="00DF4B1A">
        <w:rPr>
          <w:rFonts w:ascii="Arial" w:hAnsi="Arial" w:cs="Arial"/>
          <w:color w:val="000000"/>
          <w:sz w:val="24"/>
          <w:szCs w:val="24"/>
          <w:lang w:val="ro-RO"/>
        </w:rPr>
        <w:t xml:space="preserve"> şi pot afecta nu</w:t>
      </w:r>
      <w:r>
        <w:rPr>
          <w:rFonts w:ascii="Arial" w:hAnsi="Arial" w:cs="Arial"/>
          <w:color w:val="000000"/>
          <w:sz w:val="24"/>
          <w:szCs w:val="24"/>
          <w:lang w:val="ro-RO"/>
        </w:rPr>
        <w:t xml:space="preserve">meroase funcţii ale organismelor umane şi animale, precum, având un impact negativ şi asupra regnului vegetal, avînd </w:t>
      </w:r>
      <w:r w:rsidRPr="00DF4B1A">
        <w:rPr>
          <w:rFonts w:ascii="Arial" w:hAnsi="Arial" w:cs="Arial"/>
          <w:color w:val="000000"/>
          <w:sz w:val="24"/>
          <w:szCs w:val="24"/>
          <w:lang w:val="ro-RO"/>
        </w:rPr>
        <w:t>efecte pe termen lung prin capacitatea de acumulare în ţesuturi</w:t>
      </w:r>
      <w:r>
        <w:rPr>
          <w:rFonts w:ascii="Arial" w:hAnsi="Arial" w:cs="Arial"/>
          <w:color w:val="000000"/>
          <w:sz w:val="24"/>
          <w:szCs w:val="24"/>
          <w:lang w:val="ro-RO"/>
        </w:rPr>
        <w:t>.</w:t>
      </w:r>
      <w:r w:rsidRPr="00867EE1">
        <w:rPr>
          <w:rFonts w:ascii="Arial" w:hAnsi="Arial" w:cs="Arial"/>
          <w:color w:val="000000"/>
          <w:sz w:val="24"/>
          <w:szCs w:val="24"/>
          <w:lang w:val="ro-RO"/>
        </w:rPr>
        <w:t xml:space="preserve"> </w:t>
      </w:r>
      <w:r>
        <w:rPr>
          <w:rFonts w:ascii="Arial" w:hAnsi="Arial" w:cs="Arial"/>
          <w:color w:val="000000"/>
          <w:sz w:val="24"/>
          <w:szCs w:val="24"/>
          <w:lang w:val="ro-RO"/>
        </w:rPr>
        <w:t>A</w:t>
      </w:r>
      <w:r w:rsidRPr="00DF4B1A">
        <w:rPr>
          <w:rFonts w:ascii="Arial" w:hAnsi="Arial" w:cs="Arial"/>
          <w:color w:val="000000"/>
          <w:sz w:val="24"/>
          <w:szCs w:val="24"/>
          <w:lang w:val="ro-RO"/>
        </w:rPr>
        <w:t>junse în mediu</w:t>
      </w:r>
      <w:r>
        <w:rPr>
          <w:rFonts w:ascii="Arial" w:hAnsi="Arial" w:cs="Arial"/>
          <w:color w:val="000000"/>
          <w:sz w:val="24"/>
          <w:szCs w:val="24"/>
          <w:lang w:val="ro-RO"/>
        </w:rPr>
        <w:t xml:space="preserve">,în principal datorită activităţilor antropice, metalele grele sunt absorbite în diverse </w:t>
      </w:r>
      <w:r w:rsidRPr="00DF4B1A">
        <w:rPr>
          <w:rFonts w:ascii="Arial" w:hAnsi="Arial" w:cs="Arial"/>
          <w:color w:val="000000"/>
          <w:sz w:val="24"/>
          <w:szCs w:val="24"/>
          <w:lang w:val="ro-RO"/>
        </w:rPr>
        <w:t>medii de viaţ</w:t>
      </w:r>
      <w:r>
        <w:rPr>
          <w:rFonts w:ascii="Arial" w:hAnsi="Arial" w:cs="Arial"/>
          <w:color w:val="000000"/>
          <w:sz w:val="24"/>
          <w:szCs w:val="24"/>
          <w:lang w:val="ro-RO"/>
        </w:rPr>
        <w:t xml:space="preserve">ă (aer, apă, sol), şi implicit în </w:t>
      </w:r>
      <w:r w:rsidRPr="00DF4B1A">
        <w:rPr>
          <w:rFonts w:ascii="Arial" w:hAnsi="Arial" w:cs="Arial"/>
          <w:color w:val="000000"/>
          <w:sz w:val="24"/>
          <w:szCs w:val="24"/>
          <w:lang w:val="ro-RO"/>
        </w:rPr>
        <w:t>organismele din ecosistemele respective. Astfel, din aer, metalele grele pot fi inhalate direct sau pot contribui la poluarea solului prin precipitaţii. Din solul contaminat, plantele, pe de o parte, asimilează metalele dizolvate, iar, pe de altă parte, se produce poluarea prin infiltraţie a apelor subterane, din care, ulterior, are loc transferul poluanţilor spre apele de suprafaţă şi spre cele potabile</w:t>
      </w:r>
      <w:r>
        <w:rPr>
          <w:rFonts w:ascii="Arial" w:hAnsi="Arial" w:cs="Arial"/>
          <w:color w:val="000000"/>
          <w:sz w:val="24"/>
          <w:szCs w:val="24"/>
          <w:lang w:val="ro-RO"/>
        </w:rPr>
        <w:t>.</w:t>
      </w:r>
      <w:r w:rsidRPr="006D37C6">
        <w:rPr>
          <w:rFonts w:ascii="Arial" w:hAnsi="Arial" w:cs="Arial"/>
          <w:sz w:val="24"/>
          <w:szCs w:val="24"/>
          <w:lang w:val="ro-RO"/>
        </w:rPr>
        <w:t xml:space="preserve"> </w:t>
      </w:r>
      <w:r w:rsidRPr="00DF4B1A">
        <w:rPr>
          <w:rFonts w:ascii="Arial" w:hAnsi="Arial" w:cs="Arial"/>
          <w:color w:val="000000"/>
          <w:sz w:val="24"/>
          <w:szCs w:val="24"/>
          <w:lang w:val="ro-RO"/>
        </w:rPr>
        <w:t>Există patru categorii de surse de emisie: staţionare (procesele industriale, arderile industriale şi casnice), mobile (trafic auto), naturale (erupţii vulcanice, incendii de pădure) şi poluările accidentale (deversări, incendii industriale</w:t>
      </w:r>
    </w:p>
    <w:p w:rsidR="004B74CC" w:rsidRDefault="004B74CC" w:rsidP="004B74CC">
      <w:pPr>
        <w:autoSpaceDE w:val="0"/>
        <w:autoSpaceDN w:val="0"/>
        <w:adjustRightInd w:val="0"/>
        <w:jc w:val="both"/>
        <w:rPr>
          <w:rFonts w:ascii="Arial" w:hAnsi="Arial" w:cs="Arial"/>
          <w:i/>
          <w:sz w:val="24"/>
          <w:szCs w:val="24"/>
          <w:lang w:val="ro-RO" w:eastAsia="en-US"/>
        </w:rPr>
      </w:pPr>
    </w:p>
    <w:p w:rsidR="004B74CC" w:rsidRDefault="004B74CC" w:rsidP="004B74CC">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poluanți organici persistenți</w:t>
      </w:r>
    </w:p>
    <w:p w:rsidR="006172BA" w:rsidRPr="00894F6F" w:rsidRDefault="006172BA" w:rsidP="004B74CC">
      <w:pPr>
        <w:autoSpaceDE w:val="0"/>
        <w:autoSpaceDN w:val="0"/>
        <w:adjustRightInd w:val="0"/>
        <w:jc w:val="both"/>
        <w:rPr>
          <w:rFonts w:ascii="Arial" w:hAnsi="Arial" w:cs="Arial"/>
          <w:i/>
          <w:sz w:val="24"/>
          <w:szCs w:val="24"/>
          <w:lang w:val="ro-RO" w:eastAsia="en-US"/>
        </w:rPr>
      </w:pPr>
    </w:p>
    <w:p w:rsidR="004B74CC" w:rsidRPr="00DF4B1A" w:rsidRDefault="004B74CC" w:rsidP="004B74CC">
      <w:pPr>
        <w:widowControl w:val="0"/>
        <w:autoSpaceDE w:val="0"/>
        <w:autoSpaceDN w:val="0"/>
        <w:adjustRightInd w:val="0"/>
        <w:ind w:firstLine="720"/>
        <w:jc w:val="both"/>
        <w:rPr>
          <w:rFonts w:ascii="Arial" w:hAnsi="Arial" w:cs="Arial"/>
          <w:color w:val="000000"/>
          <w:sz w:val="24"/>
          <w:szCs w:val="24"/>
          <w:lang w:val="ro-RO"/>
        </w:rPr>
      </w:pPr>
      <w:r w:rsidRPr="00DF4B1A">
        <w:rPr>
          <w:rFonts w:ascii="Arial" w:hAnsi="Arial" w:cs="Arial"/>
          <w:color w:val="000000"/>
          <w:sz w:val="24"/>
          <w:szCs w:val="24"/>
          <w:lang w:val="ro-RO"/>
        </w:rPr>
        <w:t>Poluanţii Organici Persistenţi (POP) sunt substanţe chimice care persistă perioade lungi în mediul înconjurător, se bioacumulează în organismele vii şi sunt toxice pentru om şi viaţa sălbatică. POP-urile circulă la nivel global prin atmosferă, apa mărilor şi oceanelor.</w:t>
      </w:r>
    </w:p>
    <w:p w:rsidR="004B273A" w:rsidRDefault="004B74CC" w:rsidP="004B74CC">
      <w:pPr>
        <w:autoSpaceDE w:val="0"/>
        <w:autoSpaceDN w:val="0"/>
        <w:adjustRightInd w:val="0"/>
        <w:jc w:val="both"/>
        <w:rPr>
          <w:rFonts w:ascii="Arial" w:hAnsi="Arial" w:cs="Arial"/>
          <w:color w:val="000000"/>
          <w:sz w:val="24"/>
          <w:szCs w:val="24"/>
          <w:lang w:val="ro-RO"/>
        </w:rPr>
      </w:pPr>
      <w:r w:rsidRPr="00DA3FB2">
        <w:rPr>
          <w:rFonts w:ascii="Arial" w:hAnsi="Arial" w:cs="Arial"/>
          <w:color w:val="000000"/>
          <w:sz w:val="24"/>
          <w:szCs w:val="24"/>
          <w:lang w:val="ro-RO"/>
        </w:rPr>
        <w:t>Efectele POP-urilor asupra sănătăţii omului sunt deosebit de grave: afectează sistemul imunitar, majoritatea sunt cancerigene, influenţează negativ graviditatea, afectează ficatul, tiroida, rinichii şi multe altele. Un efect unic al POP-urilor este că acestea pătrund în lanţul trofic, având posibilitatea de a trece de la mamă la copil prin placentă şi laptele matern.</w:t>
      </w:r>
    </w:p>
    <w:p w:rsidR="001E21A2" w:rsidRDefault="004B74CC" w:rsidP="004B74CC">
      <w:pPr>
        <w:autoSpaceDE w:val="0"/>
        <w:autoSpaceDN w:val="0"/>
        <w:adjustRightInd w:val="0"/>
        <w:jc w:val="both"/>
        <w:rPr>
          <w:rFonts w:ascii="Arial" w:hAnsi="Arial" w:cs="Arial"/>
          <w:color w:val="000000"/>
          <w:sz w:val="24"/>
          <w:szCs w:val="24"/>
          <w:lang w:val="ro-RO"/>
        </w:rPr>
      </w:pPr>
      <w:r>
        <w:rPr>
          <w:rFonts w:ascii="Arial" w:hAnsi="Arial" w:cs="Arial"/>
          <w:color w:val="000000"/>
          <w:sz w:val="24"/>
          <w:szCs w:val="24"/>
          <w:lang w:val="ro-RO"/>
        </w:rPr>
        <w:t xml:space="preserve"> În cele ce urmează sunt prezentaţi indicatorii mai sus </w:t>
      </w:r>
      <w:r w:rsidR="004B273A">
        <w:rPr>
          <w:rFonts w:ascii="Arial" w:hAnsi="Arial" w:cs="Arial"/>
          <w:color w:val="000000"/>
          <w:sz w:val="24"/>
          <w:szCs w:val="24"/>
          <w:lang w:val="ro-RO"/>
        </w:rPr>
        <w:t xml:space="preserve">amintiţi, </w:t>
      </w:r>
      <w:r w:rsidR="0070647D">
        <w:rPr>
          <w:rFonts w:ascii="Arial" w:hAnsi="Arial" w:cs="Arial"/>
          <w:color w:val="000000"/>
          <w:sz w:val="24"/>
          <w:szCs w:val="24"/>
          <w:lang w:val="ro-RO"/>
        </w:rPr>
        <w:t xml:space="preserve"> pe surse de emisii:</w:t>
      </w:r>
    </w:p>
    <w:p w:rsidR="006172BA" w:rsidRDefault="006172BA" w:rsidP="004B74CC">
      <w:pPr>
        <w:autoSpaceDE w:val="0"/>
        <w:autoSpaceDN w:val="0"/>
        <w:adjustRightInd w:val="0"/>
        <w:jc w:val="both"/>
        <w:rPr>
          <w:rFonts w:ascii="Arial" w:hAnsi="Arial" w:cs="Arial"/>
          <w:sz w:val="24"/>
          <w:szCs w:val="24"/>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I.2.1.1. Energia</w:t>
      </w:r>
    </w:p>
    <w:p w:rsidR="006172BA" w:rsidRDefault="006172BA" w:rsidP="00AB7614">
      <w:pPr>
        <w:autoSpaceDE w:val="0"/>
        <w:autoSpaceDN w:val="0"/>
        <w:adjustRightInd w:val="0"/>
        <w:jc w:val="both"/>
        <w:rPr>
          <w:rFonts w:ascii="Arial" w:hAnsi="Arial" w:cs="Arial"/>
          <w:sz w:val="24"/>
          <w:szCs w:val="24"/>
          <w:lang w:val="ro-RO" w:eastAsia="en-US"/>
        </w:rPr>
      </w:pPr>
    </w:p>
    <w:p w:rsidR="001E21A2" w:rsidRDefault="001E21A2" w:rsidP="001E21A2">
      <w:pPr>
        <w:autoSpaceDE w:val="0"/>
        <w:autoSpaceDN w:val="0"/>
        <w:adjustRightInd w:val="0"/>
        <w:jc w:val="both"/>
        <w:rPr>
          <w:rFonts w:ascii="Arial" w:hAnsi="Arial" w:cs="Arial"/>
          <w:sz w:val="24"/>
          <w:szCs w:val="24"/>
          <w:lang w:val="ro-RO" w:eastAsia="en-US"/>
        </w:rPr>
      </w:pPr>
      <w:r w:rsidRPr="001E21A2">
        <w:rPr>
          <w:rFonts w:ascii="Arial" w:hAnsi="Arial" w:cs="Arial"/>
          <w:sz w:val="24"/>
          <w:szCs w:val="24"/>
          <w:lang w:val="ro-RO" w:eastAsia="en-US"/>
        </w:rPr>
        <w:t>Estimarea emisiilor de gaze cu efect acidifiant s-a făcut pe baza inventarului anual al emisiilor atmosferice.</w:t>
      </w:r>
    </w:p>
    <w:p w:rsidR="006F7476" w:rsidRDefault="00F4234F" w:rsidP="00AB7614">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lastRenderedPageBreak/>
        <w:drawing>
          <wp:inline distT="0" distB="0" distL="0" distR="0">
            <wp:extent cx="5486400" cy="32004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25F6" w:rsidRDefault="001025F6" w:rsidP="00AB7614">
      <w:pPr>
        <w:autoSpaceDE w:val="0"/>
        <w:autoSpaceDN w:val="0"/>
        <w:adjustRightInd w:val="0"/>
        <w:jc w:val="both"/>
        <w:rPr>
          <w:rFonts w:ascii="Arial" w:hAnsi="Arial" w:cs="Arial"/>
          <w:sz w:val="24"/>
          <w:szCs w:val="24"/>
          <w:lang w:val="ro-RO" w:eastAsia="en-US"/>
        </w:rPr>
      </w:pPr>
    </w:p>
    <w:p w:rsidR="002700A7" w:rsidRDefault="002700A7" w:rsidP="00AB7614">
      <w:pPr>
        <w:autoSpaceDE w:val="0"/>
        <w:autoSpaceDN w:val="0"/>
        <w:adjustRightInd w:val="0"/>
        <w:jc w:val="both"/>
        <w:rPr>
          <w:rFonts w:ascii="Arial" w:hAnsi="Arial" w:cs="Arial"/>
          <w:sz w:val="24"/>
          <w:szCs w:val="24"/>
          <w:lang w:val="ro-RO" w:eastAsia="en-US"/>
        </w:rPr>
      </w:pPr>
    </w:p>
    <w:p w:rsidR="001025F6" w:rsidRDefault="001025F6" w:rsidP="00AB7614">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precursori ai ozonului</w:t>
      </w:r>
    </w:p>
    <w:p w:rsidR="002F15C9" w:rsidRPr="00894F6F" w:rsidRDefault="002F15C9" w:rsidP="00AB7614">
      <w:pPr>
        <w:autoSpaceDE w:val="0"/>
        <w:autoSpaceDN w:val="0"/>
        <w:adjustRightInd w:val="0"/>
        <w:jc w:val="both"/>
        <w:rPr>
          <w:rFonts w:ascii="Arial" w:hAnsi="Arial" w:cs="Arial"/>
          <w:i/>
          <w:sz w:val="24"/>
          <w:szCs w:val="24"/>
          <w:lang w:val="ro-RO" w:eastAsia="en-US"/>
        </w:rPr>
      </w:pPr>
    </w:p>
    <w:p w:rsidR="002F15C9" w:rsidRPr="00DF4B1A" w:rsidRDefault="002F15C9" w:rsidP="002F15C9">
      <w:pPr>
        <w:widowControl w:val="0"/>
        <w:jc w:val="both"/>
        <w:rPr>
          <w:rFonts w:ascii="Arial" w:hAnsi="Arial" w:cs="Arial"/>
          <w:sz w:val="24"/>
          <w:szCs w:val="24"/>
          <w:lang w:val="ro-RO"/>
        </w:rPr>
      </w:pPr>
      <w:r w:rsidRPr="00DF4B1A">
        <w:rPr>
          <w:rFonts w:ascii="Arial" w:hAnsi="Arial" w:cs="Arial"/>
          <w:sz w:val="24"/>
          <w:szCs w:val="24"/>
          <w:lang w:val="ro-RO"/>
        </w:rPr>
        <w:t xml:space="preserve">Contributia sectoarelor de activitate la emisiile de poluanţi precursori ai </w:t>
      </w:r>
      <w:r>
        <w:rPr>
          <w:rFonts w:ascii="Arial" w:hAnsi="Arial" w:cs="Arial"/>
          <w:sz w:val="24"/>
          <w:szCs w:val="24"/>
          <w:lang w:val="ro-RO"/>
        </w:rPr>
        <w:t>ozonului la nivelul jud.Gorj  în anul 2015</w:t>
      </w:r>
      <w:r w:rsidRPr="00DF4B1A">
        <w:rPr>
          <w:rFonts w:ascii="Arial" w:hAnsi="Arial" w:cs="Arial"/>
          <w:sz w:val="24"/>
          <w:szCs w:val="24"/>
          <w:lang w:val="ro-RO"/>
        </w:rPr>
        <w:t xml:space="preserve"> este prezentată în figura următoare</w:t>
      </w:r>
      <w:r w:rsidR="004B74CC">
        <w:rPr>
          <w:rFonts w:ascii="Arial" w:hAnsi="Arial" w:cs="Arial"/>
          <w:sz w:val="24"/>
          <w:szCs w:val="24"/>
          <w:lang w:val="ro-RO"/>
        </w:rPr>
        <w:t>.</w:t>
      </w:r>
      <w:r w:rsidR="004B74CC" w:rsidRPr="004B74CC">
        <w:rPr>
          <w:rFonts w:ascii="Arial" w:hAnsi="Arial" w:cs="Arial"/>
          <w:color w:val="000000"/>
          <w:sz w:val="24"/>
          <w:szCs w:val="24"/>
          <w:lang w:val="ro-RO"/>
        </w:rPr>
        <w:t xml:space="preserve"> </w:t>
      </w:r>
      <w:r w:rsidR="004B74CC" w:rsidRPr="00DF4B1A">
        <w:rPr>
          <w:rFonts w:ascii="Arial" w:hAnsi="Arial" w:cs="Arial"/>
          <w:color w:val="000000"/>
          <w:sz w:val="24"/>
          <w:szCs w:val="24"/>
          <w:lang w:val="ro-RO"/>
        </w:rPr>
        <w:t xml:space="preserve">Se constată că marea majoritate </w:t>
      </w:r>
      <w:r w:rsidR="004B74CC">
        <w:rPr>
          <w:rFonts w:ascii="Arial" w:hAnsi="Arial" w:cs="Arial"/>
          <w:color w:val="000000"/>
          <w:sz w:val="24"/>
          <w:szCs w:val="24"/>
          <w:lang w:val="ro-RO"/>
        </w:rPr>
        <w:t xml:space="preserve">a emisiilor </w:t>
      </w:r>
      <w:r w:rsidR="004B74CC" w:rsidRPr="00DF4B1A">
        <w:rPr>
          <w:rFonts w:ascii="Arial" w:hAnsi="Arial" w:cs="Arial"/>
          <w:color w:val="000000"/>
          <w:sz w:val="24"/>
          <w:szCs w:val="24"/>
          <w:lang w:val="ro-RO"/>
        </w:rPr>
        <w:t>au provenit</w:t>
      </w:r>
      <w:r w:rsidR="004B74CC">
        <w:rPr>
          <w:rFonts w:ascii="Arial" w:hAnsi="Arial" w:cs="Arial"/>
          <w:color w:val="000000"/>
          <w:sz w:val="24"/>
          <w:szCs w:val="24"/>
          <w:lang w:val="ro-RO"/>
        </w:rPr>
        <w:t xml:space="preserve"> </w:t>
      </w:r>
      <w:r w:rsidR="004B74CC" w:rsidRPr="00DF4B1A">
        <w:rPr>
          <w:rFonts w:ascii="Arial" w:hAnsi="Arial" w:cs="Arial"/>
          <w:color w:val="000000"/>
          <w:sz w:val="24"/>
          <w:szCs w:val="24"/>
          <w:lang w:val="ro-RO"/>
        </w:rPr>
        <w:t>din sectorul „</w:t>
      </w:r>
      <w:r w:rsidR="004B74CC">
        <w:rPr>
          <w:rFonts w:ascii="Arial" w:hAnsi="Arial" w:cs="Arial"/>
          <w:i/>
          <w:color w:val="000000"/>
          <w:sz w:val="24"/>
          <w:szCs w:val="24"/>
          <w:lang w:val="ro-RO"/>
        </w:rPr>
        <w:t>Încălzire rezidenţială</w:t>
      </w:r>
      <w:r w:rsidRPr="00DF4B1A">
        <w:rPr>
          <w:rFonts w:ascii="Arial" w:hAnsi="Arial" w:cs="Arial"/>
          <w:sz w:val="24"/>
          <w:szCs w:val="24"/>
          <w:lang w:val="ro-RO"/>
        </w:rPr>
        <w:t>:</w:t>
      </w:r>
    </w:p>
    <w:p w:rsidR="001025F6" w:rsidRDefault="001025F6" w:rsidP="00AB7614">
      <w:pPr>
        <w:autoSpaceDE w:val="0"/>
        <w:autoSpaceDN w:val="0"/>
        <w:adjustRightInd w:val="0"/>
        <w:jc w:val="both"/>
        <w:rPr>
          <w:rFonts w:ascii="Arial" w:hAnsi="Arial" w:cs="Arial"/>
          <w:sz w:val="24"/>
          <w:szCs w:val="24"/>
          <w:lang w:val="ro-RO" w:eastAsia="en-US"/>
        </w:rPr>
      </w:pPr>
    </w:p>
    <w:p w:rsidR="001025F6" w:rsidRDefault="001025F6" w:rsidP="00AB7614">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3C104278" wp14:editId="56D2BF3F">
            <wp:extent cx="5764696" cy="2639833"/>
            <wp:effectExtent l="0" t="0" r="26670" b="273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0905" w:rsidRDefault="006A0905" w:rsidP="00AB7614">
      <w:pPr>
        <w:autoSpaceDE w:val="0"/>
        <w:autoSpaceDN w:val="0"/>
        <w:adjustRightInd w:val="0"/>
        <w:jc w:val="both"/>
        <w:rPr>
          <w:rFonts w:ascii="Arial" w:hAnsi="Arial" w:cs="Arial"/>
          <w:sz w:val="24"/>
          <w:szCs w:val="24"/>
          <w:lang w:val="ro-RO" w:eastAsia="en-US"/>
        </w:rPr>
      </w:pPr>
    </w:p>
    <w:p w:rsidR="006A0905" w:rsidRDefault="006A0905" w:rsidP="00AB7614">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particule primare și precursori secundari de particule</w:t>
      </w:r>
    </w:p>
    <w:p w:rsidR="004B74CC" w:rsidRDefault="004B74CC" w:rsidP="00AB7614">
      <w:pPr>
        <w:autoSpaceDE w:val="0"/>
        <w:autoSpaceDN w:val="0"/>
        <w:adjustRightInd w:val="0"/>
        <w:jc w:val="both"/>
        <w:rPr>
          <w:rFonts w:ascii="Arial" w:hAnsi="Arial" w:cs="Arial"/>
          <w:i/>
          <w:sz w:val="24"/>
          <w:szCs w:val="24"/>
          <w:lang w:val="ro-RO" w:eastAsia="en-US"/>
        </w:rPr>
      </w:pPr>
    </w:p>
    <w:p w:rsidR="00867EE1" w:rsidRPr="00DF4B1A" w:rsidRDefault="004B74CC" w:rsidP="002F15C9">
      <w:pPr>
        <w:widowControl w:val="0"/>
        <w:autoSpaceDE w:val="0"/>
        <w:autoSpaceDN w:val="0"/>
        <w:adjustRightInd w:val="0"/>
        <w:ind w:firstLine="720"/>
        <w:jc w:val="both"/>
        <w:rPr>
          <w:rFonts w:ascii="Arial" w:hAnsi="Arial" w:cs="Arial"/>
          <w:color w:val="000000"/>
          <w:sz w:val="24"/>
          <w:szCs w:val="24"/>
          <w:lang w:val="ro-RO"/>
        </w:rPr>
      </w:pPr>
      <w:r>
        <w:rPr>
          <w:rFonts w:ascii="Arial" w:hAnsi="Arial" w:cs="Arial"/>
          <w:color w:val="000000"/>
          <w:sz w:val="24"/>
          <w:szCs w:val="24"/>
          <w:lang w:val="ro-RO"/>
        </w:rPr>
        <w:t>M</w:t>
      </w:r>
      <w:r w:rsidR="00867EE1" w:rsidRPr="00DF4B1A">
        <w:rPr>
          <w:rFonts w:ascii="Arial" w:hAnsi="Arial" w:cs="Arial"/>
          <w:color w:val="000000"/>
          <w:sz w:val="24"/>
          <w:szCs w:val="24"/>
          <w:lang w:val="ro-RO"/>
        </w:rPr>
        <w:t xml:space="preserve">area majoritate </w:t>
      </w:r>
      <w:r w:rsidR="00867EE1">
        <w:rPr>
          <w:rFonts w:ascii="Arial" w:hAnsi="Arial" w:cs="Arial"/>
          <w:color w:val="000000"/>
          <w:sz w:val="24"/>
          <w:szCs w:val="24"/>
          <w:lang w:val="ro-RO"/>
        </w:rPr>
        <w:t xml:space="preserve">a emisiilor de pulberi </w:t>
      </w:r>
      <w:r w:rsidR="00867EE1" w:rsidRPr="00DF4B1A">
        <w:rPr>
          <w:rFonts w:ascii="Arial" w:hAnsi="Arial" w:cs="Arial"/>
          <w:color w:val="000000"/>
          <w:sz w:val="24"/>
          <w:szCs w:val="24"/>
          <w:lang w:val="ro-RO"/>
        </w:rPr>
        <w:t>, PM10 şi PM2,5, au provenit</w:t>
      </w:r>
      <w:r w:rsidR="00867EE1">
        <w:rPr>
          <w:rFonts w:ascii="Arial" w:hAnsi="Arial" w:cs="Arial"/>
          <w:color w:val="000000"/>
          <w:sz w:val="24"/>
          <w:szCs w:val="24"/>
          <w:lang w:val="ro-RO"/>
        </w:rPr>
        <w:t xml:space="preserve"> în anul 2015</w:t>
      </w:r>
      <w:r w:rsidR="00867EE1" w:rsidRPr="00DF4B1A">
        <w:rPr>
          <w:rFonts w:ascii="Arial" w:hAnsi="Arial" w:cs="Arial"/>
          <w:color w:val="000000"/>
          <w:sz w:val="24"/>
          <w:szCs w:val="24"/>
          <w:lang w:val="ro-RO"/>
        </w:rPr>
        <w:t xml:space="preserve"> din sectorul „</w:t>
      </w:r>
      <w:r w:rsidR="00867EE1">
        <w:rPr>
          <w:rFonts w:ascii="Arial" w:hAnsi="Arial" w:cs="Arial"/>
          <w:i/>
          <w:color w:val="000000"/>
          <w:sz w:val="24"/>
          <w:szCs w:val="24"/>
          <w:lang w:val="ro-RO"/>
        </w:rPr>
        <w:t>Încălzire rezidenţială”</w:t>
      </w:r>
    </w:p>
    <w:p w:rsidR="002F15C9" w:rsidRPr="00894F6F" w:rsidRDefault="002F15C9" w:rsidP="00AB7614">
      <w:pPr>
        <w:autoSpaceDE w:val="0"/>
        <w:autoSpaceDN w:val="0"/>
        <w:adjustRightInd w:val="0"/>
        <w:jc w:val="both"/>
        <w:rPr>
          <w:rFonts w:ascii="Arial" w:hAnsi="Arial" w:cs="Arial"/>
          <w:i/>
          <w:sz w:val="24"/>
          <w:szCs w:val="24"/>
          <w:lang w:val="ro-RO" w:eastAsia="en-US"/>
        </w:rPr>
      </w:pPr>
    </w:p>
    <w:p w:rsidR="006A0905" w:rsidRDefault="006A0905" w:rsidP="00AB7614">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lastRenderedPageBreak/>
        <w:drawing>
          <wp:inline distT="0" distB="0" distL="0" distR="0" wp14:anchorId="21D48A7D" wp14:editId="71D18EC9">
            <wp:extent cx="5764696" cy="2441050"/>
            <wp:effectExtent l="0" t="0" r="2667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7D3D" w:rsidRDefault="00377D3D" w:rsidP="00AB7614">
      <w:pPr>
        <w:autoSpaceDE w:val="0"/>
        <w:autoSpaceDN w:val="0"/>
        <w:adjustRightInd w:val="0"/>
        <w:jc w:val="both"/>
        <w:rPr>
          <w:rFonts w:ascii="Arial" w:hAnsi="Arial" w:cs="Arial"/>
          <w:sz w:val="24"/>
          <w:szCs w:val="24"/>
          <w:lang w:val="ro-RO" w:eastAsia="en-US"/>
        </w:rPr>
      </w:pPr>
    </w:p>
    <w:p w:rsidR="0039402A" w:rsidRDefault="0039402A" w:rsidP="00AB7614">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metale grele</w:t>
      </w:r>
    </w:p>
    <w:p w:rsidR="004B74CC" w:rsidRDefault="004B74CC" w:rsidP="00AB7614">
      <w:pPr>
        <w:autoSpaceDE w:val="0"/>
        <w:autoSpaceDN w:val="0"/>
        <w:adjustRightInd w:val="0"/>
        <w:jc w:val="both"/>
        <w:rPr>
          <w:rFonts w:ascii="Arial" w:hAnsi="Arial" w:cs="Arial"/>
          <w:i/>
          <w:sz w:val="24"/>
          <w:szCs w:val="24"/>
          <w:lang w:val="ro-RO" w:eastAsia="en-US"/>
        </w:rPr>
      </w:pPr>
    </w:p>
    <w:p w:rsidR="006D37C6" w:rsidRPr="00DF4B1A" w:rsidRDefault="006D37C6" w:rsidP="006D37C6">
      <w:pPr>
        <w:widowControl w:val="0"/>
        <w:autoSpaceDE w:val="0"/>
        <w:autoSpaceDN w:val="0"/>
        <w:adjustRightInd w:val="0"/>
        <w:ind w:firstLine="720"/>
        <w:jc w:val="both"/>
        <w:rPr>
          <w:rFonts w:ascii="Arial" w:hAnsi="Arial" w:cs="Arial"/>
          <w:color w:val="000000"/>
          <w:sz w:val="24"/>
          <w:szCs w:val="24"/>
          <w:lang w:val="ro-RO"/>
        </w:rPr>
      </w:pPr>
      <w:r>
        <w:rPr>
          <w:rFonts w:ascii="Arial" w:hAnsi="Arial" w:cs="Arial"/>
          <w:sz w:val="24"/>
          <w:szCs w:val="24"/>
          <w:lang w:val="ro-RO"/>
        </w:rPr>
        <w:t>În anul 2015 la nivelul judeţului Gorj</w:t>
      </w:r>
      <w:r w:rsidRPr="00DF4B1A">
        <w:rPr>
          <w:rFonts w:ascii="Arial" w:hAnsi="Arial" w:cs="Arial"/>
          <w:sz w:val="24"/>
          <w:szCs w:val="24"/>
          <w:lang w:val="ro-RO"/>
        </w:rPr>
        <w:t xml:space="preserve">, ponderea majoră a surselor de emisie aparţine </w:t>
      </w:r>
      <w:r w:rsidRPr="00DF4B1A">
        <w:rPr>
          <w:rFonts w:ascii="Arial" w:hAnsi="Arial" w:cs="Arial"/>
          <w:color w:val="000000"/>
          <w:sz w:val="24"/>
          <w:szCs w:val="24"/>
          <w:lang w:val="ro-RO"/>
        </w:rPr>
        <w:t>sectorul</w:t>
      </w:r>
      <w:r>
        <w:rPr>
          <w:rFonts w:ascii="Arial" w:hAnsi="Arial" w:cs="Arial"/>
          <w:color w:val="000000"/>
          <w:sz w:val="24"/>
          <w:szCs w:val="24"/>
          <w:lang w:val="ro-RO"/>
        </w:rPr>
        <w:t>ui</w:t>
      </w:r>
      <w:r w:rsidRPr="00DF4B1A">
        <w:rPr>
          <w:rFonts w:ascii="Arial" w:hAnsi="Arial" w:cs="Arial"/>
          <w:color w:val="000000"/>
          <w:sz w:val="24"/>
          <w:szCs w:val="24"/>
          <w:lang w:val="ro-RO"/>
        </w:rPr>
        <w:t xml:space="preserve"> „</w:t>
      </w:r>
      <w:r>
        <w:rPr>
          <w:rFonts w:ascii="Arial" w:hAnsi="Arial" w:cs="Arial"/>
          <w:i/>
          <w:color w:val="000000"/>
          <w:sz w:val="24"/>
          <w:szCs w:val="24"/>
          <w:lang w:val="ro-RO"/>
        </w:rPr>
        <w:t>Încălzire rezidenţială”.</w:t>
      </w:r>
    </w:p>
    <w:p w:rsidR="0039402A" w:rsidRDefault="0039402A" w:rsidP="00AB7614">
      <w:pPr>
        <w:autoSpaceDE w:val="0"/>
        <w:autoSpaceDN w:val="0"/>
        <w:adjustRightInd w:val="0"/>
        <w:jc w:val="both"/>
        <w:rPr>
          <w:rFonts w:ascii="Arial" w:hAnsi="Arial" w:cs="Arial"/>
          <w:sz w:val="24"/>
          <w:szCs w:val="24"/>
          <w:lang w:val="ro-RO" w:eastAsia="en-US"/>
        </w:rPr>
      </w:pPr>
    </w:p>
    <w:p w:rsidR="0039402A" w:rsidRDefault="0039402A" w:rsidP="00AB7614">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0ABD08F4" wp14:editId="110D3124">
            <wp:extent cx="5764696" cy="2695492"/>
            <wp:effectExtent l="0" t="0" r="26670" b="1016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2BB7" w:rsidRDefault="00AB2BB7" w:rsidP="00AB7614">
      <w:pPr>
        <w:autoSpaceDE w:val="0"/>
        <w:autoSpaceDN w:val="0"/>
        <w:adjustRightInd w:val="0"/>
        <w:jc w:val="both"/>
        <w:rPr>
          <w:rFonts w:ascii="Arial" w:hAnsi="Arial" w:cs="Arial"/>
          <w:i/>
          <w:sz w:val="24"/>
          <w:szCs w:val="24"/>
          <w:lang w:val="ro-RO" w:eastAsia="en-US"/>
        </w:rPr>
      </w:pPr>
    </w:p>
    <w:p w:rsidR="00AB2BB7" w:rsidRDefault="00AB2BB7" w:rsidP="00AB7614">
      <w:pPr>
        <w:autoSpaceDE w:val="0"/>
        <w:autoSpaceDN w:val="0"/>
        <w:adjustRightInd w:val="0"/>
        <w:jc w:val="both"/>
        <w:rPr>
          <w:rFonts w:ascii="Arial" w:hAnsi="Arial" w:cs="Arial"/>
          <w:i/>
          <w:sz w:val="24"/>
          <w:szCs w:val="24"/>
          <w:lang w:val="ro-RO" w:eastAsia="en-US"/>
        </w:rPr>
      </w:pPr>
    </w:p>
    <w:p w:rsidR="00AB2BB7" w:rsidRDefault="00AB2BB7" w:rsidP="00AB7614">
      <w:pPr>
        <w:autoSpaceDE w:val="0"/>
        <w:autoSpaceDN w:val="0"/>
        <w:adjustRightInd w:val="0"/>
        <w:jc w:val="both"/>
        <w:rPr>
          <w:rFonts w:ascii="Arial" w:hAnsi="Arial" w:cs="Arial"/>
          <w:i/>
          <w:sz w:val="24"/>
          <w:szCs w:val="24"/>
          <w:lang w:val="ro-RO" w:eastAsia="en-US"/>
        </w:rPr>
      </w:pPr>
    </w:p>
    <w:p w:rsidR="004B74CC" w:rsidRDefault="0039402A" w:rsidP="004B74CC">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poluanți organici persistenți</w:t>
      </w:r>
    </w:p>
    <w:p w:rsidR="004B74CC" w:rsidRDefault="004B74CC" w:rsidP="004B74CC">
      <w:pPr>
        <w:autoSpaceDE w:val="0"/>
        <w:autoSpaceDN w:val="0"/>
        <w:adjustRightInd w:val="0"/>
        <w:jc w:val="both"/>
        <w:rPr>
          <w:rFonts w:ascii="Arial" w:hAnsi="Arial" w:cs="Arial"/>
          <w:i/>
          <w:sz w:val="24"/>
          <w:szCs w:val="24"/>
          <w:lang w:val="ro-RO" w:eastAsia="en-US"/>
        </w:rPr>
      </w:pPr>
    </w:p>
    <w:p w:rsidR="00DA3FB2" w:rsidRPr="00DA3FB2" w:rsidRDefault="004B74CC" w:rsidP="004B74CC">
      <w:pPr>
        <w:autoSpaceDE w:val="0"/>
        <w:autoSpaceDN w:val="0"/>
        <w:adjustRightInd w:val="0"/>
        <w:jc w:val="both"/>
        <w:rPr>
          <w:rFonts w:ascii="Arial" w:hAnsi="Arial" w:cs="Arial"/>
          <w:color w:val="000000"/>
          <w:sz w:val="24"/>
          <w:szCs w:val="24"/>
          <w:lang w:val="ro-RO"/>
        </w:rPr>
      </w:pPr>
      <w:r>
        <w:rPr>
          <w:rFonts w:ascii="Arial" w:hAnsi="Arial" w:cs="Arial"/>
          <w:sz w:val="24"/>
          <w:szCs w:val="24"/>
          <w:lang w:val="ro-RO"/>
        </w:rPr>
        <w:t>Sursele</w:t>
      </w:r>
      <w:r w:rsidR="00DA3FB2" w:rsidRPr="00DA3FB2">
        <w:rPr>
          <w:rFonts w:ascii="Arial" w:hAnsi="Arial" w:cs="Arial"/>
          <w:sz w:val="24"/>
          <w:szCs w:val="24"/>
          <w:lang w:val="ro-RO"/>
        </w:rPr>
        <w:t xml:space="preserve"> de emisie</w:t>
      </w:r>
      <w:r w:rsidR="00DA3FB2" w:rsidRPr="00DA3FB2">
        <w:rPr>
          <w:rFonts w:ascii="Arial" w:hAnsi="Arial" w:cs="Arial"/>
          <w:color w:val="000000"/>
          <w:sz w:val="24"/>
          <w:szCs w:val="24"/>
          <w:lang w:val="ro-RO"/>
        </w:rPr>
        <w:t xml:space="preserve"> din Sectorul „Încălzire rezidenţială” au din nou o </w:t>
      </w:r>
      <w:r w:rsidR="00DA3FB2" w:rsidRPr="00DA3FB2">
        <w:rPr>
          <w:rFonts w:ascii="Arial" w:hAnsi="Arial" w:cs="Arial"/>
          <w:sz w:val="24"/>
          <w:szCs w:val="24"/>
          <w:lang w:val="ro-RO"/>
        </w:rPr>
        <w:t>ponderea majoră</w:t>
      </w:r>
      <w:r w:rsidR="00DA3FB2" w:rsidRPr="00DA3FB2">
        <w:rPr>
          <w:rFonts w:ascii="Arial" w:hAnsi="Arial" w:cs="Arial"/>
          <w:color w:val="000000"/>
          <w:sz w:val="24"/>
          <w:szCs w:val="24"/>
          <w:lang w:val="ro-RO"/>
        </w:rPr>
        <w:t xml:space="preserve"> î</w:t>
      </w:r>
      <w:r w:rsidR="00DA3FB2" w:rsidRPr="00DA3FB2">
        <w:rPr>
          <w:rFonts w:ascii="Arial" w:hAnsi="Arial" w:cs="Arial"/>
          <w:sz w:val="24"/>
          <w:szCs w:val="24"/>
          <w:lang w:val="ro-RO"/>
        </w:rPr>
        <w:t xml:space="preserve">n anul 2015 la nivelul judeţului Gorj, </w:t>
      </w:r>
      <w:r w:rsidR="00BA631C">
        <w:rPr>
          <w:rFonts w:ascii="Arial" w:hAnsi="Arial" w:cs="Arial"/>
          <w:sz w:val="24"/>
          <w:szCs w:val="24"/>
          <w:lang w:val="ro-RO"/>
        </w:rPr>
        <w:t>aşa cum se poate deduce din figura de mai jos.</w:t>
      </w:r>
    </w:p>
    <w:p w:rsidR="0039402A" w:rsidRPr="00894F6F" w:rsidRDefault="0039402A" w:rsidP="006D37C6">
      <w:pPr>
        <w:autoSpaceDE w:val="0"/>
        <w:autoSpaceDN w:val="0"/>
        <w:adjustRightInd w:val="0"/>
        <w:jc w:val="both"/>
        <w:rPr>
          <w:rFonts w:ascii="Arial" w:hAnsi="Arial" w:cs="Arial"/>
          <w:i/>
          <w:sz w:val="24"/>
          <w:szCs w:val="24"/>
          <w:lang w:val="ro-RO" w:eastAsia="en-US"/>
        </w:rPr>
      </w:pPr>
    </w:p>
    <w:p w:rsidR="0039402A" w:rsidRDefault="00071032" w:rsidP="00AB7614">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lastRenderedPageBreak/>
        <w:drawing>
          <wp:inline distT="0" distB="0" distL="0" distR="0" wp14:anchorId="73D1154C" wp14:editId="372AF933">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3E27" w:rsidRDefault="00FD3E27" w:rsidP="00AB7614">
      <w:pPr>
        <w:autoSpaceDE w:val="0"/>
        <w:autoSpaceDN w:val="0"/>
        <w:adjustRightInd w:val="0"/>
        <w:jc w:val="both"/>
        <w:rPr>
          <w:rFonts w:ascii="Arial" w:hAnsi="Arial" w:cs="Arial"/>
          <w:sz w:val="24"/>
          <w:szCs w:val="24"/>
          <w:lang w:val="ro-RO" w:eastAsia="en-US"/>
        </w:rPr>
      </w:pPr>
    </w:p>
    <w:p w:rsidR="00BD782E" w:rsidRDefault="00BD782E" w:rsidP="00AB7614">
      <w:pPr>
        <w:autoSpaceDE w:val="0"/>
        <w:autoSpaceDN w:val="0"/>
        <w:adjustRightInd w:val="0"/>
        <w:jc w:val="both"/>
        <w:rPr>
          <w:rFonts w:ascii="Arial" w:hAnsi="Arial" w:cs="Arial"/>
          <w:sz w:val="24"/>
          <w:szCs w:val="24"/>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I.2.1.2. Industria</w:t>
      </w:r>
    </w:p>
    <w:p w:rsidR="006F7476" w:rsidRDefault="006F7476" w:rsidP="00AB7614">
      <w:pPr>
        <w:autoSpaceDE w:val="0"/>
        <w:autoSpaceDN w:val="0"/>
        <w:adjustRightInd w:val="0"/>
        <w:jc w:val="both"/>
        <w:rPr>
          <w:rFonts w:ascii="Arial" w:hAnsi="Arial" w:cs="Arial"/>
          <w:sz w:val="24"/>
          <w:szCs w:val="24"/>
          <w:lang w:val="ro-RO" w:eastAsia="en-US"/>
        </w:rPr>
      </w:pPr>
    </w:p>
    <w:p w:rsidR="00C82062" w:rsidRPr="00894F6F" w:rsidRDefault="00C82062" w:rsidP="00C82062">
      <w:pPr>
        <w:autoSpaceDE w:val="0"/>
        <w:autoSpaceDN w:val="0"/>
        <w:adjustRightInd w:val="0"/>
        <w:jc w:val="both"/>
        <w:rPr>
          <w:rFonts w:ascii="Arial" w:hAnsi="Arial" w:cs="Arial"/>
          <w:b/>
          <w:i/>
          <w:sz w:val="24"/>
          <w:szCs w:val="24"/>
          <w:lang w:val="ro-RO" w:eastAsia="en-US"/>
        </w:rPr>
      </w:pPr>
      <w:r w:rsidRPr="00894F6F">
        <w:rPr>
          <w:rFonts w:ascii="Arial" w:hAnsi="Arial" w:cs="Arial"/>
          <w:i/>
          <w:sz w:val="24"/>
          <w:szCs w:val="24"/>
          <w:lang w:val="ro-RO"/>
        </w:rPr>
        <w:t>Emisiile de substanțe acidifiante</w:t>
      </w:r>
    </w:p>
    <w:p w:rsidR="00C82062" w:rsidRPr="00894F6F" w:rsidRDefault="00C82062" w:rsidP="00C82062">
      <w:pPr>
        <w:autoSpaceDE w:val="0"/>
        <w:autoSpaceDN w:val="0"/>
        <w:adjustRightInd w:val="0"/>
        <w:jc w:val="both"/>
        <w:rPr>
          <w:rFonts w:ascii="Arial" w:hAnsi="Arial" w:cs="Arial"/>
          <w:i/>
          <w:sz w:val="24"/>
          <w:szCs w:val="24"/>
          <w:lang w:val="ro-RO" w:eastAsia="en-US"/>
        </w:rPr>
      </w:pPr>
    </w:p>
    <w:p w:rsidR="00C82062" w:rsidRDefault="00C82062"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681CFD2E" wp14:editId="3B29C05A">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2062" w:rsidRDefault="00C82062" w:rsidP="00C82062">
      <w:pPr>
        <w:autoSpaceDE w:val="0"/>
        <w:autoSpaceDN w:val="0"/>
        <w:adjustRightInd w:val="0"/>
        <w:jc w:val="both"/>
        <w:rPr>
          <w:rFonts w:ascii="Arial" w:hAnsi="Arial" w:cs="Arial"/>
          <w:sz w:val="24"/>
          <w:szCs w:val="24"/>
          <w:lang w:val="ro-RO" w:eastAsia="en-US"/>
        </w:rPr>
      </w:pPr>
    </w:p>
    <w:p w:rsidR="00A408F6" w:rsidRDefault="00A408F6"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1E7914FF" wp14:editId="262744F8">
            <wp:extent cx="5486400" cy="2353586"/>
            <wp:effectExtent l="0" t="0" r="19050" b="279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08F6" w:rsidRDefault="00A408F6" w:rsidP="00C82062">
      <w:pPr>
        <w:autoSpaceDE w:val="0"/>
        <w:autoSpaceDN w:val="0"/>
        <w:adjustRightInd w:val="0"/>
        <w:jc w:val="both"/>
        <w:rPr>
          <w:rFonts w:ascii="Arial" w:hAnsi="Arial" w:cs="Arial"/>
          <w:sz w:val="24"/>
          <w:szCs w:val="24"/>
          <w:lang w:val="ro-RO" w:eastAsia="en-US"/>
        </w:rPr>
      </w:pPr>
    </w:p>
    <w:p w:rsidR="00BA631C" w:rsidRDefault="00BA631C" w:rsidP="00C82062">
      <w:pPr>
        <w:autoSpaceDE w:val="0"/>
        <w:autoSpaceDN w:val="0"/>
        <w:adjustRightInd w:val="0"/>
        <w:jc w:val="both"/>
        <w:rPr>
          <w:rFonts w:ascii="Arial" w:hAnsi="Arial" w:cs="Arial"/>
          <w:i/>
          <w:sz w:val="24"/>
          <w:szCs w:val="24"/>
          <w:lang w:val="ro-RO" w:eastAsia="en-US"/>
        </w:rPr>
      </w:pPr>
    </w:p>
    <w:p w:rsidR="00BA631C" w:rsidRDefault="00BA631C" w:rsidP="00C82062">
      <w:pPr>
        <w:autoSpaceDE w:val="0"/>
        <w:autoSpaceDN w:val="0"/>
        <w:adjustRightInd w:val="0"/>
        <w:jc w:val="both"/>
        <w:rPr>
          <w:rFonts w:ascii="Arial" w:hAnsi="Arial" w:cs="Arial"/>
          <w:i/>
          <w:sz w:val="24"/>
          <w:szCs w:val="24"/>
          <w:lang w:val="ro-RO" w:eastAsia="en-US"/>
        </w:rPr>
      </w:pPr>
    </w:p>
    <w:p w:rsidR="00C82062" w:rsidRPr="00894F6F" w:rsidRDefault="00C82062" w:rsidP="00C82062">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lastRenderedPageBreak/>
        <w:t>Emisii de precursori ai ozonului</w:t>
      </w:r>
    </w:p>
    <w:p w:rsidR="00C82062" w:rsidRDefault="00C82062" w:rsidP="00C82062">
      <w:pPr>
        <w:autoSpaceDE w:val="0"/>
        <w:autoSpaceDN w:val="0"/>
        <w:adjustRightInd w:val="0"/>
        <w:jc w:val="both"/>
        <w:rPr>
          <w:rFonts w:ascii="Arial" w:hAnsi="Arial" w:cs="Arial"/>
          <w:sz w:val="24"/>
          <w:szCs w:val="24"/>
          <w:lang w:val="ro-RO" w:eastAsia="en-US"/>
        </w:rPr>
      </w:pPr>
    </w:p>
    <w:p w:rsidR="00C82062" w:rsidRDefault="00C82062"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4BC51316" wp14:editId="627A1D63">
            <wp:extent cx="5486400" cy="2608028"/>
            <wp:effectExtent l="0" t="0" r="19050" b="2095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2062" w:rsidRDefault="00C82062" w:rsidP="00C82062">
      <w:pPr>
        <w:autoSpaceDE w:val="0"/>
        <w:autoSpaceDN w:val="0"/>
        <w:adjustRightInd w:val="0"/>
        <w:jc w:val="both"/>
        <w:rPr>
          <w:rFonts w:ascii="Arial" w:hAnsi="Arial" w:cs="Arial"/>
          <w:sz w:val="24"/>
          <w:szCs w:val="24"/>
          <w:lang w:val="ro-RO" w:eastAsia="en-US"/>
        </w:rPr>
      </w:pPr>
    </w:p>
    <w:p w:rsidR="00C82062" w:rsidRPr="00894F6F" w:rsidRDefault="00C82062" w:rsidP="00C82062">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particule primare și precursori secundari de particule</w:t>
      </w:r>
    </w:p>
    <w:p w:rsidR="00C82062" w:rsidRDefault="00C82062" w:rsidP="00C82062">
      <w:pPr>
        <w:autoSpaceDE w:val="0"/>
        <w:autoSpaceDN w:val="0"/>
        <w:adjustRightInd w:val="0"/>
        <w:jc w:val="both"/>
        <w:rPr>
          <w:rFonts w:ascii="Arial" w:hAnsi="Arial" w:cs="Arial"/>
          <w:sz w:val="24"/>
          <w:szCs w:val="24"/>
          <w:lang w:val="ro-RO" w:eastAsia="en-US"/>
        </w:rPr>
      </w:pPr>
    </w:p>
    <w:p w:rsidR="00C82062" w:rsidRDefault="00C82062"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01C65C79" wp14:editId="31D64AF3">
            <wp:extent cx="5764696" cy="2441050"/>
            <wp:effectExtent l="0" t="0" r="26670" b="165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2062" w:rsidRDefault="00C82062" w:rsidP="00C82062">
      <w:pPr>
        <w:autoSpaceDE w:val="0"/>
        <w:autoSpaceDN w:val="0"/>
        <w:adjustRightInd w:val="0"/>
        <w:jc w:val="both"/>
        <w:rPr>
          <w:rFonts w:ascii="Arial" w:hAnsi="Arial" w:cs="Arial"/>
          <w:sz w:val="24"/>
          <w:szCs w:val="24"/>
          <w:lang w:val="ro-RO" w:eastAsia="en-US"/>
        </w:rPr>
      </w:pPr>
    </w:p>
    <w:p w:rsidR="00C82062" w:rsidRPr="00894F6F" w:rsidRDefault="00C82062" w:rsidP="00C82062">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metale grele</w:t>
      </w:r>
    </w:p>
    <w:p w:rsidR="00C82062" w:rsidRDefault="00C82062" w:rsidP="00C82062">
      <w:pPr>
        <w:autoSpaceDE w:val="0"/>
        <w:autoSpaceDN w:val="0"/>
        <w:adjustRightInd w:val="0"/>
        <w:jc w:val="both"/>
        <w:rPr>
          <w:rFonts w:ascii="Arial" w:hAnsi="Arial" w:cs="Arial"/>
          <w:sz w:val="24"/>
          <w:szCs w:val="24"/>
          <w:lang w:val="ro-RO" w:eastAsia="en-US"/>
        </w:rPr>
      </w:pPr>
    </w:p>
    <w:p w:rsidR="00C82062" w:rsidRDefault="00C82062"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05062094" wp14:editId="571C7F24">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894F6F" w:rsidRDefault="00C82062" w:rsidP="00C82062">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lastRenderedPageBreak/>
        <w:t>Emisii de poluanți organici persistenți</w:t>
      </w:r>
    </w:p>
    <w:p w:rsidR="00C82062" w:rsidRDefault="00C82062" w:rsidP="00C82062">
      <w:pPr>
        <w:autoSpaceDE w:val="0"/>
        <w:autoSpaceDN w:val="0"/>
        <w:adjustRightInd w:val="0"/>
        <w:jc w:val="both"/>
        <w:rPr>
          <w:rFonts w:ascii="Arial" w:hAnsi="Arial" w:cs="Arial"/>
          <w:sz w:val="24"/>
          <w:szCs w:val="24"/>
          <w:lang w:val="ro-RO" w:eastAsia="en-US"/>
        </w:rPr>
      </w:pPr>
    </w:p>
    <w:p w:rsidR="00C82062" w:rsidRDefault="00C82062" w:rsidP="00C82062">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7B467CD0" wp14:editId="5A2F379D">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782E" w:rsidRDefault="00BD782E" w:rsidP="00AB7614">
      <w:pPr>
        <w:autoSpaceDE w:val="0"/>
        <w:autoSpaceDN w:val="0"/>
        <w:adjustRightInd w:val="0"/>
        <w:jc w:val="both"/>
        <w:rPr>
          <w:rFonts w:ascii="Arial" w:hAnsi="Arial" w:cs="Arial"/>
          <w:sz w:val="24"/>
          <w:szCs w:val="24"/>
          <w:lang w:val="ro-RO" w:eastAsia="en-US"/>
        </w:rPr>
      </w:pPr>
    </w:p>
    <w:p w:rsidR="00BD782E" w:rsidRPr="00BD782E" w:rsidRDefault="00BD782E" w:rsidP="00AB7614">
      <w:pPr>
        <w:autoSpaceDE w:val="0"/>
        <w:autoSpaceDN w:val="0"/>
        <w:adjustRightInd w:val="0"/>
        <w:jc w:val="both"/>
        <w:rPr>
          <w:rFonts w:ascii="Arial" w:hAnsi="Arial" w:cs="Arial"/>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I.2.1.3. Transportul</w:t>
      </w:r>
    </w:p>
    <w:p w:rsidR="00AF2181" w:rsidRDefault="00AF2181" w:rsidP="00AF2181">
      <w:pPr>
        <w:autoSpaceDE w:val="0"/>
        <w:autoSpaceDN w:val="0"/>
        <w:adjustRightInd w:val="0"/>
        <w:jc w:val="both"/>
        <w:rPr>
          <w:rFonts w:ascii="Arial" w:hAnsi="Arial" w:cs="Arial"/>
          <w:sz w:val="24"/>
          <w:szCs w:val="24"/>
          <w:lang w:val="ro-RO"/>
        </w:rPr>
      </w:pPr>
    </w:p>
    <w:p w:rsidR="00AF2181" w:rsidRPr="00894F6F" w:rsidRDefault="00AF2181" w:rsidP="00AF2181">
      <w:pPr>
        <w:autoSpaceDE w:val="0"/>
        <w:autoSpaceDN w:val="0"/>
        <w:adjustRightInd w:val="0"/>
        <w:jc w:val="both"/>
        <w:rPr>
          <w:rFonts w:ascii="Arial" w:hAnsi="Arial" w:cs="Arial"/>
          <w:b/>
          <w:i/>
          <w:sz w:val="24"/>
          <w:szCs w:val="24"/>
          <w:lang w:val="ro-RO" w:eastAsia="en-US"/>
        </w:rPr>
      </w:pPr>
      <w:r w:rsidRPr="00894F6F">
        <w:rPr>
          <w:rFonts w:ascii="Arial" w:hAnsi="Arial" w:cs="Arial"/>
          <w:i/>
          <w:sz w:val="24"/>
          <w:szCs w:val="24"/>
          <w:lang w:val="ro-RO"/>
        </w:rPr>
        <w:t>Emisiile de substanțe acidifiante</w:t>
      </w:r>
    </w:p>
    <w:p w:rsidR="00AF2181" w:rsidRDefault="00AF2181" w:rsidP="00AF2181">
      <w:pPr>
        <w:autoSpaceDE w:val="0"/>
        <w:autoSpaceDN w:val="0"/>
        <w:adjustRightInd w:val="0"/>
        <w:jc w:val="both"/>
        <w:rPr>
          <w:rFonts w:ascii="Arial" w:hAnsi="Arial" w:cs="Arial"/>
          <w:sz w:val="24"/>
          <w:szCs w:val="24"/>
          <w:lang w:val="ro-RO" w:eastAsia="en-US"/>
        </w:rPr>
      </w:pPr>
    </w:p>
    <w:p w:rsidR="00AF2181" w:rsidRDefault="00AF2181" w:rsidP="00AF2181">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18BA6E4B" wp14:editId="4325E5E6">
            <wp:extent cx="5701086" cy="2401294"/>
            <wp:effectExtent l="0" t="0" r="13970" b="1841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2181" w:rsidRDefault="00AF2181" w:rsidP="00AF2181">
      <w:pPr>
        <w:autoSpaceDE w:val="0"/>
        <w:autoSpaceDN w:val="0"/>
        <w:adjustRightInd w:val="0"/>
        <w:jc w:val="both"/>
        <w:rPr>
          <w:rFonts w:ascii="Arial" w:hAnsi="Arial" w:cs="Arial"/>
          <w:sz w:val="24"/>
          <w:szCs w:val="24"/>
          <w:lang w:val="ro-RO" w:eastAsia="en-US"/>
        </w:rPr>
      </w:pPr>
    </w:p>
    <w:p w:rsidR="00AF2181" w:rsidRPr="00894F6F" w:rsidRDefault="00AF2181" w:rsidP="00AF2181">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precursori ai ozonului</w:t>
      </w:r>
    </w:p>
    <w:p w:rsidR="00AF2181" w:rsidRDefault="00AF2181" w:rsidP="00AF2181">
      <w:pPr>
        <w:autoSpaceDE w:val="0"/>
        <w:autoSpaceDN w:val="0"/>
        <w:adjustRightInd w:val="0"/>
        <w:jc w:val="both"/>
        <w:rPr>
          <w:rFonts w:ascii="Arial" w:hAnsi="Arial" w:cs="Arial"/>
          <w:sz w:val="24"/>
          <w:szCs w:val="24"/>
          <w:lang w:val="ro-RO" w:eastAsia="en-US"/>
        </w:rPr>
      </w:pPr>
    </w:p>
    <w:p w:rsidR="00AF2181" w:rsidRDefault="00AF2181" w:rsidP="00AF2181">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745ED2FB" wp14:editId="74D0D9AC">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F2181" w:rsidRDefault="00AF2181" w:rsidP="00AF2181">
      <w:pPr>
        <w:autoSpaceDE w:val="0"/>
        <w:autoSpaceDN w:val="0"/>
        <w:adjustRightInd w:val="0"/>
        <w:jc w:val="both"/>
        <w:rPr>
          <w:rFonts w:ascii="Arial" w:hAnsi="Arial" w:cs="Arial"/>
          <w:sz w:val="24"/>
          <w:szCs w:val="24"/>
          <w:lang w:val="ro-RO" w:eastAsia="en-US"/>
        </w:rPr>
      </w:pPr>
    </w:p>
    <w:p w:rsidR="00AF2181" w:rsidRPr="00894F6F" w:rsidRDefault="00AF2181" w:rsidP="00AF2181">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particule primare și precursori secundari de particule</w:t>
      </w:r>
    </w:p>
    <w:p w:rsidR="00AF2181" w:rsidRDefault="00AF2181" w:rsidP="00AF2181">
      <w:pPr>
        <w:autoSpaceDE w:val="0"/>
        <w:autoSpaceDN w:val="0"/>
        <w:adjustRightInd w:val="0"/>
        <w:jc w:val="both"/>
        <w:rPr>
          <w:rFonts w:ascii="Arial" w:hAnsi="Arial" w:cs="Arial"/>
          <w:sz w:val="24"/>
          <w:szCs w:val="24"/>
          <w:lang w:val="ro-RO" w:eastAsia="en-US"/>
        </w:rPr>
      </w:pPr>
    </w:p>
    <w:p w:rsidR="00AF2181" w:rsidRDefault="00AF2181" w:rsidP="00AF2181">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0B3B8A4F" wp14:editId="06359EB1">
            <wp:extent cx="5764696" cy="3029447"/>
            <wp:effectExtent l="0" t="0" r="2667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2181" w:rsidRDefault="00AF2181" w:rsidP="00AF2181">
      <w:pPr>
        <w:autoSpaceDE w:val="0"/>
        <w:autoSpaceDN w:val="0"/>
        <w:adjustRightInd w:val="0"/>
        <w:jc w:val="both"/>
        <w:rPr>
          <w:rFonts w:ascii="Arial" w:hAnsi="Arial" w:cs="Arial"/>
          <w:sz w:val="24"/>
          <w:szCs w:val="24"/>
          <w:lang w:val="ro-RO" w:eastAsia="en-US"/>
        </w:rPr>
      </w:pPr>
    </w:p>
    <w:p w:rsidR="00D27FD9" w:rsidRDefault="00D27FD9" w:rsidP="00AF2181">
      <w:pPr>
        <w:autoSpaceDE w:val="0"/>
        <w:autoSpaceDN w:val="0"/>
        <w:adjustRightInd w:val="0"/>
        <w:jc w:val="both"/>
        <w:rPr>
          <w:rFonts w:ascii="Arial" w:hAnsi="Arial" w:cs="Arial"/>
          <w:sz w:val="24"/>
          <w:szCs w:val="24"/>
          <w:lang w:val="ro-RO" w:eastAsia="en-US"/>
        </w:rPr>
      </w:pPr>
    </w:p>
    <w:p w:rsidR="00AF2181" w:rsidRPr="00894F6F" w:rsidRDefault="00AF2181" w:rsidP="00AF2181">
      <w:pPr>
        <w:autoSpaceDE w:val="0"/>
        <w:autoSpaceDN w:val="0"/>
        <w:adjustRightInd w:val="0"/>
        <w:jc w:val="both"/>
        <w:rPr>
          <w:rFonts w:ascii="Arial" w:hAnsi="Arial" w:cs="Arial"/>
          <w:i/>
          <w:sz w:val="24"/>
          <w:szCs w:val="24"/>
          <w:lang w:val="ro-RO" w:eastAsia="en-US"/>
        </w:rPr>
      </w:pPr>
      <w:r w:rsidRPr="00894F6F">
        <w:rPr>
          <w:rFonts w:ascii="Arial" w:hAnsi="Arial" w:cs="Arial"/>
          <w:i/>
          <w:sz w:val="24"/>
          <w:szCs w:val="24"/>
          <w:lang w:val="ro-RO" w:eastAsia="en-US"/>
        </w:rPr>
        <w:t>Emisii de metale grele</w:t>
      </w:r>
    </w:p>
    <w:p w:rsidR="00AF2181" w:rsidRDefault="00AF2181" w:rsidP="00AF2181">
      <w:pPr>
        <w:autoSpaceDE w:val="0"/>
        <w:autoSpaceDN w:val="0"/>
        <w:adjustRightInd w:val="0"/>
        <w:jc w:val="both"/>
        <w:rPr>
          <w:rFonts w:ascii="Arial" w:hAnsi="Arial" w:cs="Arial"/>
          <w:sz w:val="24"/>
          <w:szCs w:val="24"/>
          <w:lang w:val="ro-RO" w:eastAsia="en-US"/>
        </w:rPr>
      </w:pPr>
    </w:p>
    <w:p w:rsidR="00AF2181" w:rsidRDefault="00AF2181" w:rsidP="00AF2181">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5215A34C" wp14:editId="232680E3">
            <wp:extent cx="5764696" cy="3768918"/>
            <wp:effectExtent l="0" t="0" r="26670" b="222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181" w:rsidRDefault="00AF2181" w:rsidP="00AF2181">
      <w:pPr>
        <w:autoSpaceDE w:val="0"/>
        <w:autoSpaceDN w:val="0"/>
        <w:adjustRightInd w:val="0"/>
        <w:jc w:val="both"/>
        <w:rPr>
          <w:rFonts w:ascii="Arial" w:hAnsi="Arial" w:cs="Arial"/>
          <w:sz w:val="24"/>
          <w:szCs w:val="24"/>
          <w:lang w:val="ro-RO" w:eastAsia="en-US"/>
        </w:rPr>
      </w:pPr>
    </w:p>
    <w:p w:rsidR="006F7476" w:rsidRDefault="006F7476"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I.2.1.4. Agricultura</w:t>
      </w:r>
    </w:p>
    <w:p w:rsidR="006F7476" w:rsidRDefault="006F7476" w:rsidP="00AB7614">
      <w:pPr>
        <w:autoSpaceDE w:val="0"/>
        <w:autoSpaceDN w:val="0"/>
        <w:adjustRightInd w:val="0"/>
        <w:jc w:val="both"/>
        <w:rPr>
          <w:rFonts w:ascii="Arial" w:hAnsi="Arial" w:cs="Arial"/>
          <w:sz w:val="24"/>
          <w:szCs w:val="24"/>
          <w:lang w:val="ro-RO" w:eastAsia="en-US"/>
        </w:rPr>
      </w:pPr>
    </w:p>
    <w:p w:rsidR="00D27FD9" w:rsidRDefault="00D27FD9" w:rsidP="00AB7614">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În anul 2015 a fost inventariat doar un singur sector de acti</w:t>
      </w:r>
      <w:r w:rsidR="004B273A">
        <w:rPr>
          <w:rFonts w:ascii="Arial" w:hAnsi="Arial" w:cs="Arial"/>
          <w:sz w:val="24"/>
          <w:szCs w:val="24"/>
          <w:lang w:val="ro-RO" w:eastAsia="en-US"/>
        </w:rPr>
        <w:t xml:space="preserve">vitate respectiv Găini ouătoare, </w:t>
      </w:r>
      <w:r w:rsidR="009F31D7">
        <w:rPr>
          <w:rFonts w:ascii="Arial" w:hAnsi="Arial" w:cs="Arial"/>
          <w:sz w:val="24"/>
          <w:szCs w:val="24"/>
          <w:lang w:val="ro-RO" w:eastAsia="en-US"/>
        </w:rPr>
        <w:t>drept urmare nu pot fi prezentate contribuții ale activităților din</w:t>
      </w:r>
      <w:r w:rsidR="004B273A">
        <w:rPr>
          <w:rFonts w:ascii="Arial" w:hAnsi="Arial" w:cs="Arial"/>
          <w:sz w:val="24"/>
          <w:szCs w:val="24"/>
          <w:lang w:val="ro-RO" w:eastAsia="en-US"/>
        </w:rPr>
        <w:t xml:space="preserve"> agricultură pe tipuri,</w:t>
      </w:r>
      <w:r w:rsidR="009F31D7">
        <w:rPr>
          <w:rFonts w:ascii="Arial" w:hAnsi="Arial" w:cs="Arial"/>
          <w:sz w:val="24"/>
          <w:szCs w:val="24"/>
          <w:lang w:val="ro-RO" w:eastAsia="en-US"/>
        </w:rPr>
        <w:t xml:space="preserve"> la emisiile de poluanți.</w:t>
      </w:r>
    </w:p>
    <w:p w:rsidR="003831CC" w:rsidRDefault="006F7476" w:rsidP="003831CC">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lastRenderedPageBreak/>
        <w:t>I.3. Tendințe și prognoze privind poluarea aerului înconjutător</w:t>
      </w:r>
    </w:p>
    <w:p w:rsidR="006F7476" w:rsidRPr="006F7476" w:rsidRDefault="006F7476" w:rsidP="006F7476">
      <w:pPr>
        <w:autoSpaceDE w:val="0"/>
        <w:autoSpaceDN w:val="0"/>
        <w:adjustRightInd w:val="0"/>
        <w:jc w:val="both"/>
        <w:rPr>
          <w:rFonts w:ascii="Arial" w:hAnsi="Arial" w:cs="Arial"/>
          <w:sz w:val="24"/>
          <w:szCs w:val="24"/>
          <w:lang w:val="ro-RO" w:eastAsia="en-US"/>
        </w:rPr>
      </w:pPr>
    </w:p>
    <w:p w:rsidR="00AB7614" w:rsidRDefault="006F7476" w:rsidP="006F7476">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I.3.1. Tendințe privind emisiile principilor poluanți atmosferici</w:t>
      </w:r>
    </w:p>
    <w:p w:rsidR="00BD782E" w:rsidRDefault="00BD782E" w:rsidP="006F7476">
      <w:pPr>
        <w:autoSpaceDE w:val="0"/>
        <w:autoSpaceDN w:val="0"/>
        <w:adjustRightInd w:val="0"/>
        <w:jc w:val="both"/>
        <w:rPr>
          <w:rFonts w:ascii="Arial" w:hAnsi="Arial" w:cs="Arial"/>
          <w:sz w:val="24"/>
          <w:szCs w:val="24"/>
          <w:lang w:val="ro-RO" w:eastAsia="en-US"/>
        </w:rPr>
      </w:pPr>
    </w:p>
    <w:p w:rsidR="006F7476" w:rsidRDefault="001429B2" w:rsidP="006F7476">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363E1385" wp14:editId="067FA51E">
            <wp:extent cx="5486400" cy="2536466"/>
            <wp:effectExtent l="0" t="0" r="190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F7476" w:rsidRDefault="006F7476" w:rsidP="006F7476">
      <w:pPr>
        <w:autoSpaceDE w:val="0"/>
        <w:autoSpaceDN w:val="0"/>
        <w:adjustRightInd w:val="0"/>
        <w:jc w:val="both"/>
        <w:rPr>
          <w:rFonts w:ascii="Arial" w:hAnsi="Arial" w:cs="Arial"/>
          <w:sz w:val="24"/>
          <w:szCs w:val="24"/>
          <w:lang w:val="ro-RO" w:eastAsia="en-US"/>
        </w:rPr>
      </w:pPr>
    </w:p>
    <w:p w:rsidR="003831CC" w:rsidRDefault="003831CC" w:rsidP="006F7476">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46C5D5D2" wp14:editId="2EA8B0BB">
            <wp:extent cx="5486400" cy="2727297"/>
            <wp:effectExtent l="0" t="0" r="190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782E" w:rsidRDefault="00BD782E" w:rsidP="006F7476">
      <w:pPr>
        <w:autoSpaceDE w:val="0"/>
        <w:autoSpaceDN w:val="0"/>
        <w:adjustRightInd w:val="0"/>
        <w:jc w:val="both"/>
        <w:rPr>
          <w:rFonts w:ascii="Arial" w:hAnsi="Arial" w:cs="Arial"/>
          <w:sz w:val="24"/>
          <w:szCs w:val="24"/>
          <w:lang w:val="ro-RO" w:eastAsia="en-US"/>
        </w:rPr>
      </w:pPr>
    </w:p>
    <w:p w:rsidR="003965F7" w:rsidRDefault="003965F7" w:rsidP="006F7476">
      <w:pPr>
        <w:autoSpaceDE w:val="0"/>
        <w:autoSpaceDN w:val="0"/>
        <w:adjustRightInd w:val="0"/>
        <w:jc w:val="both"/>
        <w:rPr>
          <w:rFonts w:ascii="Arial" w:hAnsi="Arial" w:cs="Arial"/>
          <w:sz w:val="24"/>
          <w:szCs w:val="24"/>
          <w:lang w:val="ro-RO" w:eastAsia="en-US"/>
        </w:rPr>
      </w:pPr>
      <w:r>
        <w:rPr>
          <w:rFonts w:ascii="Arial" w:hAnsi="Arial" w:cs="Arial"/>
          <w:noProof/>
          <w:sz w:val="24"/>
          <w:szCs w:val="24"/>
          <w:lang w:eastAsia="en-US"/>
        </w:rPr>
        <w:drawing>
          <wp:inline distT="0" distB="0" distL="0" distR="0" wp14:anchorId="7DCC8FFC" wp14:editId="2BBCC2D1">
            <wp:extent cx="5486400" cy="2711394"/>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42EC2" w:rsidRDefault="00F42EC2" w:rsidP="006F7476">
      <w:pPr>
        <w:autoSpaceDE w:val="0"/>
        <w:autoSpaceDN w:val="0"/>
        <w:adjustRightInd w:val="0"/>
        <w:jc w:val="both"/>
        <w:rPr>
          <w:rFonts w:ascii="Arial" w:hAnsi="Arial" w:cs="Arial"/>
          <w:sz w:val="24"/>
          <w:szCs w:val="24"/>
          <w:lang w:val="ro-RO" w:eastAsia="en-US"/>
        </w:rPr>
      </w:pPr>
    </w:p>
    <w:p w:rsidR="006F7476" w:rsidRDefault="006F7476" w:rsidP="006F7476">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lastRenderedPageBreak/>
        <w:tab/>
        <w:t>I.3.2. Prognoze privind emisiile principalilor poluanți atmosferici</w:t>
      </w:r>
    </w:p>
    <w:p w:rsidR="006F7476" w:rsidRDefault="006F7476" w:rsidP="006F7476">
      <w:pPr>
        <w:autoSpaceDE w:val="0"/>
        <w:autoSpaceDN w:val="0"/>
        <w:adjustRightInd w:val="0"/>
        <w:jc w:val="both"/>
        <w:rPr>
          <w:rFonts w:ascii="Arial" w:hAnsi="Arial" w:cs="Arial"/>
          <w:sz w:val="24"/>
          <w:szCs w:val="24"/>
          <w:lang w:val="ro-RO" w:eastAsia="en-US"/>
        </w:rPr>
      </w:pPr>
    </w:p>
    <w:p w:rsidR="006F7476" w:rsidRDefault="00F42EC2" w:rsidP="006F7476">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Nu deținem date</w:t>
      </w:r>
      <w:r w:rsidR="004B273A">
        <w:rPr>
          <w:rFonts w:ascii="Arial" w:hAnsi="Arial" w:cs="Arial"/>
          <w:sz w:val="24"/>
          <w:szCs w:val="24"/>
          <w:lang w:val="ro-RO" w:eastAsia="en-US"/>
        </w:rPr>
        <w:t>.</w:t>
      </w:r>
    </w:p>
    <w:p w:rsidR="006F7476" w:rsidRDefault="006F7476" w:rsidP="006F7476">
      <w:pPr>
        <w:autoSpaceDE w:val="0"/>
        <w:autoSpaceDN w:val="0"/>
        <w:adjustRightInd w:val="0"/>
        <w:jc w:val="both"/>
        <w:rPr>
          <w:rFonts w:ascii="Arial" w:hAnsi="Arial" w:cs="Arial"/>
          <w:sz w:val="24"/>
          <w:szCs w:val="24"/>
          <w:lang w:val="ro-RO" w:eastAsia="en-US"/>
        </w:rPr>
      </w:pPr>
    </w:p>
    <w:p w:rsidR="009C4585" w:rsidRDefault="009C4585" w:rsidP="006F7476">
      <w:pPr>
        <w:autoSpaceDE w:val="0"/>
        <w:autoSpaceDN w:val="0"/>
        <w:adjustRightInd w:val="0"/>
        <w:jc w:val="center"/>
        <w:rPr>
          <w:rFonts w:ascii="Arial" w:hAnsi="Arial" w:cs="Arial"/>
          <w:b/>
          <w:sz w:val="24"/>
          <w:szCs w:val="24"/>
          <w:lang w:val="ro-RO" w:eastAsia="en-US"/>
        </w:rPr>
      </w:pP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400552" w:rsidRPr="00400552" w:rsidRDefault="00BA631C" w:rsidP="007D7C5E">
      <w:pPr>
        <w:ind w:firstLine="720"/>
        <w:jc w:val="both"/>
        <w:rPr>
          <w:rFonts w:ascii="Arial" w:eastAsia="MS Mincho" w:hAnsi="Arial" w:cs="Arial"/>
          <w:sz w:val="24"/>
          <w:szCs w:val="24"/>
          <w:lang w:val="ro-RO" w:eastAsia="ja-JP"/>
        </w:rPr>
      </w:pPr>
      <w:r>
        <w:rPr>
          <w:rFonts w:ascii="Arial" w:eastAsia="MS Mincho" w:hAnsi="Arial" w:cs="Arial"/>
          <w:sz w:val="24"/>
          <w:szCs w:val="24"/>
          <w:lang w:val="ro-RO" w:eastAsia="ja-JP"/>
        </w:rPr>
        <w:t>Î</w:t>
      </w:r>
      <w:r w:rsidRPr="00400552">
        <w:rPr>
          <w:rFonts w:ascii="Arial" w:eastAsia="MS Mincho" w:hAnsi="Arial" w:cs="Arial"/>
          <w:sz w:val="24"/>
          <w:szCs w:val="24"/>
          <w:lang w:val="ro-RO" w:eastAsia="ja-JP"/>
        </w:rPr>
        <w:t>n pe</w:t>
      </w:r>
      <w:r>
        <w:rPr>
          <w:rFonts w:ascii="Arial" w:eastAsia="MS Mincho" w:hAnsi="Arial" w:cs="Arial"/>
          <w:sz w:val="24"/>
          <w:szCs w:val="24"/>
          <w:lang w:val="ro-RO" w:eastAsia="ja-JP"/>
        </w:rPr>
        <w:t>rioada 2010-2013, în</w:t>
      </w:r>
      <w:r w:rsidR="007D7C5E" w:rsidRPr="00400552">
        <w:rPr>
          <w:rFonts w:ascii="Arial" w:eastAsia="MS Mincho" w:hAnsi="Arial" w:cs="Arial"/>
          <w:sz w:val="24"/>
          <w:szCs w:val="24"/>
          <w:lang w:val="ro-RO" w:eastAsia="ja-JP"/>
        </w:rPr>
        <w:t xml:space="preserve"> judeţul Gorj</w:t>
      </w:r>
      <w:r w:rsidR="00400552" w:rsidRPr="00400552">
        <w:rPr>
          <w:rFonts w:ascii="Arial" w:eastAsia="MS Mincho" w:hAnsi="Arial" w:cs="Arial"/>
          <w:sz w:val="24"/>
          <w:szCs w:val="24"/>
          <w:lang w:val="ro-RO" w:eastAsia="ja-JP"/>
        </w:rPr>
        <w:t xml:space="preserve"> a fost implementat </w:t>
      </w:r>
      <w:r w:rsidR="00400552" w:rsidRPr="00400552">
        <w:rPr>
          <w:rFonts w:ascii="Arial" w:eastAsia="MS Mincho" w:hAnsi="Arial" w:cs="Arial"/>
          <w:sz w:val="24"/>
          <w:szCs w:val="24"/>
          <w:u w:val="single"/>
          <w:lang w:val="ro-RO" w:eastAsia="ja-JP"/>
        </w:rPr>
        <w:t>Programul integrat de gestionare a calităţii aerului, pentru zonele Rovinari  pentru  indicatorii dioxid de sulf (SO</w:t>
      </w:r>
      <w:r w:rsidR="00400552" w:rsidRPr="00400552">
        <w:rPr>
          <w:rFonts w:ascii="Arial" w:eastAsia="MS Mincho" w:hAnsi="Arial" w:cs="Arial"/>
          <w:sz w:val="24"/>
          <w:szCs w:val="24"/>
          <w:u w:val="single"/>
          <w:vertAlign w:val="subscript"/>
          <w:lang w:val="ro-RO" w:eastAsia="ja-JP"/>
        </w:rPr>
        <w:t>2</w:t>
      </w:r>
      <w:r w:rsidR="00400552" w:rsidRPr="00400552">
        <w:rPr>
          <w:rFonts w:ascii="Arial" w:eastAsia="MS Mincho" w:hAnsi="Arial" w:cs="Arial"/>
          <w:sz w:val="24"/>
          <w:szCs w:val="24"/>
          <w:u w:val="single"/>
          <w:lang w:val="ro-RO" w:eastAsia="ja-JP"/>
        </w:rPr>
        <w:t>) şi pulberi în suspensie  (PM 10), Tg.Jiu pentru indicatorul pulberi în suspensie (PM 10) şi Turceni  pentru indicatorul dioxid de sulf (SO</w:t>
      </w:r>
      <w:r w:rsidR="00400552" w:rsidRPr="00400552">
        <w:rPr>
          <w:rFonts w:ascii="Arial" w:eastAsia="MS Mincho" w:hAnsi="Arial" w:cs="Arial"/>
          <w:sz w:val="24"/>
          <w:szCs w:val="24"/>
          <w:u w:val="single"/>
          <w:vertAlign w:val="subscript"/>
          <w:lang w:val="ro-RO" w:eastAsia="ja-JP"/>
        </w:rPr>
        <w:t>2</w:t>
      </w:r>
      <w:r w:rsidR="00400552" w:rsidRPr="00400552">
        <w:rPr>
          <w:rFonts w:ascii="Arial" w:eastAsia="MS Mincho" w:hAnsi="Arial" w:cs="Arial"/>
          <w:sz w:val="24"/>
          <w:szCs w:val="24"/>
          <w:u w:val="single"/>
          <w:lang w:val="ro-RO" w:eastAsia="ja-JP"/>
        </w:rPr>
        <w:t>)</w:t>
      </w:r>
      <w:r w:rsidR="00400552" w:rsidRPr="00400552">
        <w:rPr>
          <w:rFonts w:ascii="Arial" w:eastAsia="MS Mincho" w:hAnsi="Arial" w:cs="Arial"/>
          <w:sz w:val="24"/>
          <w:szCs w:val="24"/>
          <w:lang w:val="ro-RO" w:eastAsia="ja-JP"/>
        </w:rPr>
        <w:t xml:space="preserve">. Realizarea </w:t>
      </w:r>
      <w:r w:rsidR="00400552">
        <w:rPr>
          <w:rFonts w:ascii="Arial" w:eastAsia="MS Mincho" w:hAnsi="Arial" w:cs="Arial"/>
          <w:sz w:val="24"/>
          <w:szCs w:val="24"/>
          <w:lang w:val="ro-RO" w:eastAsia="ja-JP"/>
        </w:rPr>
        <w:t xml:space="preserve">măsurilor și acțiunilor în acest porgram a condus la încadrarea indicatorilor de calitate a aerului în limitele admise de </w:t>
      </w:r>
      <w:r w:rsidR="00400552" w:rsidRPr="00400552">
        <w:rPr>
          <w:rFonts w:ascii="Arial" w:eastAsia="MS Mincho" w:hAnsi="Arial" w:cs="Arial"/>
          <w:bCs/>
          <w:sz w:val="24"/>
          <w:szCs w:val="24"/>
          <w:lang w:val="ro-RO" w:eastAsia="ja-JP"/>
        </w:rPr>
        <w:t>Legea nr. 104/2011</w:t>
      </w:r>
      <w:r w:rsidR="00400552">
        <w:rPr>
          <w:rFonts w:ascii="Arial" w:eastAsia="MS Mincho" w:hAnsi="Arial" w:cs="Arial"/>
          <w:bCs/>
          <w:sz w:val="24"/>
          <w:szCs w:val="24"/>
          <w:lang w:val="ro-RO" w:eastAsia="ja-JP"/>
        </w:rPr>
        <w:t>.</w:t>
      </w:r>
    </w:p>
    <w:p w:rsidR="00400552" w:rsidRDefault="000E6942" w:rsidP="007D7C5E">
      <w:pPr>
        <w:ind w:firstLine="720"/>
        <w:jc w:val="both"/>
        <w:rPr>
          <w:rFonts w:ascii="Arial" w:eastAsia="MS Mincho" w:hAnsi="Arial" w:cs="Arial"/>
          <w:bCs/>
          <w:sz w:val="24"/>
          <w:szCs w:val="24"/>
          <w:lang w:val="ro-RO" w:eastAsia="ja-JP"/>
        </w:rPr>
      </w:pPr>
      <w:r>
        <w:rPr>
          <w:rFonts w:ascii="Arial" w:eastAsia="MS Mincho" w:hAnsi="Arial" w:cs="Arial"/>
          <w:sz w:val="24"/>
          <w:szCs w:val="24"/>
          <w:lang w:val="ro-RO" w:eastAsia="ja-JP"/>
        </w:rPr>
        <w:t>În anul 2015 a intrat în vigo</w:t>
      </w:r>
      <w:r w:rsidR="00400552">
        <w:rPr>
          <w:rFonts w:ascii="Arial" w:eastAsia="MS Mincho" w:hAnsi="Arial" w:cs="Arial"/>
          <w:sz w:val="24"/>
          <w:szCs w:val="24"/>
          <w:lang w:val="ro-RO" w:eastAsia="ja-JP"/>
        </w:rPr>
        <w:t xml:space="preserve">are </w:t>
      </w:r>
      <w:r w:rsidR="00400552" w:rsidRPr="00400552">
        <w:rPr>
          <w:rFonts w:ascii="Arial" w:eastAsia="MS Mincho" w:hAnsi="Arial" w:cs="Arial"/>
          <w:sz w:val="24"/>
          <w:szCs w:val="24"/>
          <w:lang w:val="ro-RO" w:eastAsia="ja-JP"/>
        </w:rPr>
        <w:t>HG 257/2015</w:t>
      </w:r>
      <w:r w:rsidR="00400552" w:rsidRPr="00400552">
        <w:rPr>
          <w:rFonts w:ascii="Arial" w:eastAsia="MS Mincho" w:hAnsi="Arial" w:cs="Arial"/>
          <w:bCs/>
          <w:sz w:val="24"/>
          <w:szCs w:val="24"/>
          <w:lang w:val="ro-RO" w:eastAsia="ja-JP"/>
        </w:rPr>
        <w:t xml:space="preserve"> privind aprobarea</w:t>
      </w:r>
      <w:r w:rsidR="00400552">
        <w:rPr>
          <w:rFonts w:ascii="Arial" w:eastAsia="MS Mincho" w:hAnsi="Arial" w:cs="Arial"/>
          <w:bCs/>
          <w:sz w:val="24"/>
          <w:szCs w:val="24"/>
          <w:lang w:val="ro-RO" w:eastAsia="ja-JP"/>
        </w:rPr>
        <w:t xml:space="preserve"> Metodologiei de elaborare a planurilor de calitatea aerului, a planurilor de acțiune </w:t>
      </w:r>
      <w:r w:rsidR="0051674B">
        <w:rPr>
          <w:rFonts w:ascii="Arial" w:eastAsia="MS Mincho" w:hAnsi="Arial" w:cs="Arial"/>
          <w:bCs/>
          <w:sz w:val="24"/>
          <w:szCs w:val="24"/>
          <w:lang w:val="ro-RO" w:eastAsia="ja-JP"/>
        </w:rPr>
        <w:t>pe termen scurt și a planurilor de menținere a calității aerului, publicată în M.O</w:t>
      </w:r>
      <w:r>
        <w:rPr>
          <w:rFonts w:ascii="Arial" w:eastAsia="MS Mincho" w:hAnsi="Arial" w:cs="Arial"/>
          <w:bCs/>
          <w:sz w:val="24"/>
          <w:szCs w:val="24"/>
          <w:lang w:val="ro-RO" w:eastAsia="ja-JP"/>
        </w:rPr>
        <w:t>. partea I, nr. 28/27.04.2015. M</w:t>
      </w:r>
      <w:r w:rsidR="0051674B">
        <w:rPr>
          <w:rFonts w:ascii="Arial" w:eastAsia="MS Mincho" w:hAnsi="Arial" w:cs="Arial"/>
          <w:bCs/>
          <w:sz w:val="24"/>
          <w:szCs w:val="24"/>
          <w:lang w:val="ro-RO" w:eastAsia="ja-JP"/>
        </w:rPr>
        <w:t>etodologia stabilește procedura prin care se asigură cadrul judidic, organizatoric, funcțional și o concepție unitară de întocmire a planurilor de calitat</w:t>
      </w:r>
      <w:r>
        <w:rPr>
          <w:rFonts w:ascii="Arial" w:eastAsia="MS Mincho" w:hAnsi="Arial" w:cs="Arial"/>
          <w:bCs/>
          <w:sz w:val="24"/>
          <w:szCs w:val="24"/>
          <w:lang w:val="ro-RO" w:eastAsia="ja-JP"/>
        </w:rPr>
        <w:t>e a aerului, a planurilor de acţ</w:t>
      </w:r>
      <w:r w:rsidR="0051674B">
        <w:rPr>
          <w:rFonts w:ascii="Arial" w:eastAsia="MS Mincho" w:hAnsi="Arial" w:cs="Arial"/>
          <w:bCs/>
          <w:sz w:val="24"/>
          <w:szCs w:val="24"/>
          <w:lang w:val="ro-RO" w:eastAsia="ja-JP"/>
        </w:rPr>
        <w:t>iune pe termen scurt și a planurilor de menținere a calității aerului, de consultare a publicului, de aprobare, de punere în aplicare, de monitorizare și de raportare a stadiului și a efectelor realizării măsurilor din aceste planuri către instituțiile naționale și europene. Conform dispozițiilor art. 55 a acestei Hotărâri, „în termen de 30 de zile de la intrarea în viguare a prezentei metodologii, autoritatea publică teritorială pentru protecția mediului întocmește protocoale de colaborare cu titularii/titularul de activitate responsabili pentru apariția riscului de depășire, pe de o parte, și cu autoritățile și instituțiile care au responsabilități în elaborarea și monitorizarea planului de acțiune pe termen scurt, pe de altă parte”.</w:t>
      </w:r>
    </w:p>
    <w:p w:rsidR="000E6942" w:rsidRDefault="000E6942" w:rsidP="007D7C5E">
      <w:pPr>
        <w:ind w:firstLine="720"/>
        <w:jc w:val="both"/>
        <w:rPr>
          <w:rFonts w:ascii="Garamond" w:hAnsi="Garamond"/>
          <w:sz w:val="28"/>
          <w:szCs w:val="28"/>
          <w:lang w:val="ro-RO"/>
        </w:rPr>
      </w:pPr>
      <w:r>
        <w:rPr>
          <w:rFonts w:ascii="Arial" w:eastAsia="MS Mincho" w:hAnsi="Arial" w:cs="Arial"/>
          <w:bCs/>
          <w:sz w:val="24"/>
          <w:szCs w:val="24"/>
          <w:lang w:val="ro-RO" w:eastAsia="ja-JP"/>
        </w:rPr>
        <w:t xml:space="preserve">Aceste protocoale au fost </w:t>
      </w:r>
      <w:r w:rsidR="0051674B">
        <w:rPr>
          <w:rFonts w:ascii="Arial" w:eastAsia="MS Mincho" w:hAnsi="Arial" w:cs="Arial"/>
          <w:bCs/>
          <w:sz w:val="24"/>
          <w:szCs w:val="24"/>
          <w:lang w:val="ro-RO" w:eastAsia="ja-JP"/>
        </w:rPr>
        <w:t xml:space="preserve">încheiate și transmise către autoritatea centrală </w:t>
      </w:r>
      <w:r>
        <w:rPr>
          <w:rFonts w:ascii="Arial" w:eastAsia="MS Mincho" w:hAnsi="Arial" w:cs="Arial"/>
          <w:bCs/>
          <w:sz w:val="24"/>
          <w:szCs w:val="24"/>
          <w:lang w:val="ro-RO" w:eastAsia="ja-JP"/>
        </w:rPr>
        <w:t xml:space="preserve">instituţii precum </w:t>
      </w:r>
      <w:r w:rsidR="0051674B">
        <w:rPr>
          <w:rFonts w:ascii="Arial" w:eastAsia="MS Mincho" w:hAnsi="Arial" w:cs="Arial"/>
          <w:bCs/>
          <w:sz w:val="24"/>
          <w:szCs w:val="24"/>
          <w:lang w:val="ro-RO" w:eastAsia="ja-JP"/>
        </w:rPr>
        <w:t xml:space="preserve">cu GNM-CJ Gorj, DSP </w:t>
      </w:r>
      <w:r>
        <w:rPr>
          <w:rFonts w:ascii="Arial" w:eastAsia="MS Mincho" w:hAnsi="Arial" w:cs="Arial"/>
          <w:bCs/>
          <w:sz w:val="24"/>
          <w:szCs w:val="24"/>
          <w:lang w:val="ro-RO" w:eastAsia="ja-JP"/>
        </w:rPr>
        <w:t xml:space="preserve">Gorj </w:t>
      </w:r>
      <w:r w:rsidR="0051674B">
        <w:rPr>
          <w:rFonts w:ascii="Arial" w:eastAsia="MS Mincho" w:hAnsi="Arial" w:cs="Arial"/>
          <w:bCs/>
          <w:sz w:val="24"/>
          <w:szCs w:val="24"/>
          <w:lang w:val="ro-RO" w:eastAsia="ja-JP"/>
        </w:rPr>
        <w:t>și cu</w:t>
      </w:r>
      <w:r>
        <w:rPr>
          <w:rFonts w:ascii="Arial" w:eastAsia="MS Mincho" w:hAnsi="Arial" w:cs="Arial"/>
          <w:bCs/>
          <w:sz w:val="24"/>
          <w:szCs w:val="24"/>
          <w:lang w:val="ro-RO" w:eastAsia="ja-JP"/>
        </w:rPr>
        <w:t xml:space="preserve"> operatori economici - </w:t>
      </w:r>
      <w:r w:rsidR="0051674B">
        <w:rPr>
          <w:rFonts w:ascii="Arial" w:eastAsia="MS Mincho" w:hAnsi="Arial" w:cs="Arial"/>
          <w:bCs/>
          <w:sz w:val="24"/>
          <w:szCs w:val="24"/>
          <w:lang w:val="ro-RO" w:eastAsia="ja-JP"/>
        </w:rPr>
        <w:t xml:space="preserve"> S.C. CEO S.A., în scopul prevenirii și/sau gestionării situațiilor în care sunt depășite pragurile de alertă pentru anumiți polua</w:t>
      </w:r>
      <w:r>
        <w:rPr>
          <w:rFonts w:ascii="Arial" w:eastAsia="MS Mincho" w:hAnsi="Arial" w:cs="Arial"/>
          <w:bCs/>
          <w:sz w:val="24"/>
          <w:szCs w:val="24"/>
          <w:lang w:val="ro-RO" w:eastAsia="ja-JP"/>
        </w:rPr>
        <w:t>nți, conform legislației în vigo</w:t>
      </w:r>
      <w:r w:rsidR="0051674B">
        <w:rPr>
          <w:rFonts w:ascii="Arial" w:eastAsia="MS Mincho" w:hAnsi="Arial" w:cs="Arial"/>
          <w:bCs/>
          <w:sz w:val="24"/>
          <w:szCs w:val="24"/>
          <w:lang w:val="ro-RO" w:eastAsia="ja-JP"/>
        </w:rPr>
        <w:t>are.</w:t>
      </w:r>
      <w:r w:rsidRPr="000E6942">
        <w:rPr>
          <w:rFonts w:ascii="Garamond" w:hAnsi="Garamond"/>
          <w:sz w:val="28"/>
          <w:szCs w:val="28"/>
          <w:lang w:val="ro-RO"/>
        </w:rPr>
        <w:t xml:space="preserve"> </w:t>
      </w:r>
    </w:p>
    <w:p w:rsidR="00F775E5" w:rsidRPr="00F775E5" w:rsidRDefault="00F775E5" w:rsidP="007D7C5E">
      <w:pPr>
        <w:ind w:firstLine="720"/>
        <w:jc w:val="both"/>
        <w:rPr>
          <w:rFonts w:ascii="Arial" w:hAnsi="Arial" w:cs="Arial"/>
          <w:sz w:val="24"/>
          <w:szCs w:val="24"/>
          <w:lang w:val="ro-RO"/>
        </w:rPr>
      </w:pPr>
      <w:r w:rsidRPr="00F775E5">
        <w:rPr>
          <w:rFonts w:ascii="Arial" w:hAnsi="Arial" w:cs="Arial"/>
          <w:sz w:val="24"/>
          <w:szCs w:val="24"/>
          <w:lang w:val="ro-RO"/>
        </w:rPr>
        <w:t xml:space="preserve">În conformitate cu prevederile </w:t>
      </w:r>
      <w:proofErr w:type="spellStart"/>
      <w:r w:rsidRPr="00F775E5">
        <w:rPr>
          <w:rFonts w:ascii="Arial" w:hAnsi="Arial" w:cs="Arial"/>
          <w:sz w:val="24"/>
          <w:szCs w:val="24"/>
          <w:shd w:val="clear" w:color="auto" w:fill="FFFFFF"/>
        </w:rPr>
        <w:t>Ordinului</w:t>
      </w:r>
      <w:proofErr w:type="spellEnd"/>
      <w:r w:rsidRPr="00F775E5">
        <w:rPr>
          <w:rFonts w:ascii="Arial" w:hAnsi="Arial" w:cs="Arial"/>
          <w:sz w:val="24"/>
          <w:szCs w:val="24"/>
          <w:shd w:val="clear" w:color="auto" w:fill="FFFFFF"/>
        </w:rPr>
        <w:t xml:space="preserve"> nr. 1206/2015 </w:t>
      </w:r>
      <w:proofErr w:type="spellStart"/>
      <w:r w:rsidRPr="00F775E5">
        <w:rPr>
          <w:rFonts w:ascii="Arial" w:hAnsi="Arial" w:cs="Arial"/>
          <w:sz w:val="24"/>
          <w:szCs w:val="24"/>
          <w:shd w:val="clear" w:color="auto" w:fill="FFFFFF"/>
        </w:rPr>
        <w:t>pentru</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aprobarea</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listelor</w:t>
      </w:r>
      <w:proofErr w:type="spellEnd"/>
      <w:r w:rsidRPr="00F775E5">
        <w:rPr>
          <w:rFonts w:ascii="Arial" w:hAnsi="Arial" w:cs="Arial"/>
          <w:sz w:val="24"/>
          <w:szCs w:val="24"/>
          <w:shd w:val="clear" w:color="auto" w:fill="FFFFFF"/>
        </w:rPr>
        <w:t xml:space="preserve"> cu </w:t>
      </w:r>
      <w:proofErr w:type="spellStart"/>
      <w:r w:rsidRPr="00F775E5">
        <w:rPr>
          <w:rFonts w:ascii="Arial" w:hAnsi="Arial" w:cs="Arial"/>
          <w:sz w:val="24"/>
          <w:szCs w:val="24"/>
          <w:shd w:val="clear" w:color="auto" w:fill="FFFFFF"/>
        </w:rPr>
        <w:t>unităţile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administrativ-teritoriale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întocmite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urma</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încadrării</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regimuri</w:t>
      </w:r>
      <w:proofErr w:type="spellEnd"/>
      <w:r w:rsidRPr="00F775E5">
        <w:rPr>
          <w:rFonts w:ascii="Arial" w:hAnsi="Arial" w:cs="Arial"/>
          <w:sz w:val="24"/>
          <w:szCs w:val="24"/>
          <w:shd w:val="clear" w:color="auto" w:fill="FFFFFF"/>
        </w:rPr>
        <w:t xml:space="preserve"> de </w:t>
      </w:r>
      <w:proofErr w:type="spellStart"/>
      <w:r w:rsidRPr="00F775E5">
        <w:rPr>
          <w:rFonts w:ascii="Arial" w:hAnsi="Arial" w:cs="Arial"/>
          <w:sz w:val="24"/>
          <w:szCs w:val="24"/>
          <w:shd w:val="clear" w:color="auto" w:fill="FFFFFF"/>
        </w:rPr>
        <w:t>gestionare</w:t>
      </w:r>
      <w:proofErr w:type="spellEnd"/>
      <w:r w:rsidRPr="00F775E5">
        <w:rPr>
          <w:rFonts w:ascii="Arial" w:hAnsi="Arial" w:cs="Arial"/>
          <w:sz w:val="24"/>
          <w:szCs w:val="24"/>
          <w:shd w:val="clear" w:color="auto" w:fill="FFFFFF"/>
        </w:rPr>
        <w:t xml:space="preserve"> </w:t>
      </w:r>
      <w:proofErr w:type="gramStart"/>
      <w:r w:rsidRPr="00F775E5">
        <w:rPr>
          <w:rFonts w:ascii="Arial" w:hAnsi="Arial" w:cs="Arial"/>
          <w:sz w:val="24"/>
          <w:szCs w:val="24"/>
          <w:shd w:val="clear" w:color="auto" w:fill="FFFFFF"/>
        </w:rPr>
        <w:t>a</w:t>
      </w:r>
      <w:proofErr w:type="gram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ariilor</w:t>
      </w:r>
      <w:proofErr w:type="spellEnd"/>
      <w:r w:rsidRPr="00F775E5">
        <w:rPr>
          <w:rFonts w:ascii="Arial" w:hAnsi="Arial" w:cs="Arial"/>
          <w:sz w:val="24"/>
          <w:szCs w:val="24"/>
          <w:shd w:val="clear" w:color="auto" w:fill="FFFFFF"/>
        </w:rPr>
        <w:t xml:space="preserve"> din </w:t>
      </w:r>
      <w:proofErr w:type="spellStart"/>
      <w:r w:rsidRPr="00F775E5">
        <w:rPr>
          <w:rFonts w:ascii="Arial" w:hAnsi="Arial" w:cs="Arial"/>
          <w:sz w:val="24"/>
          <w:szCs w:val="24"/>
          <w:shd w:val="clear" w:color="auto" w:fill="FFFFFF"/>
        </w:rPr>
        <w:t>zonele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şi</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aglomerările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prevăzute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anexa</w:t>
      </w:r>
      <w:proofErr w:type="spellEnd"/>
      <w:r w:rsidRPr="00F775E5">
        <w:rPr>
          <w:rFonts w:ascii="Arial" w:hAnsi="Arial" w:cs="Arial"/>
          <w:sz w:val="24"/>
          <w:szCs w:val="24"/>
          <w:shd w:val="clear" w:color="auto" w:fill="FFFFFF"/>
        </w:rPr>
        <w:t xml:space="preserve"> nr. </w:t>
      </w:r>
      <w:proofErr w:type="gramStart"/>
      <w:r w:rsidRPr="00F775E5">
        <w:rPr>
          <w:rFonts w:ascii="Arial" w:hAnsi="Arial" w:cs="Arial"/>
          <w:sz w:val="24"/>
          <w:szCs w:val="24"/>
          <w:shd w:val="clear" w:color="auto" w:fill="FFFFFF"/>
        </w:rPr>
        <w:t xml:space="preserve">2 la </w:t>
      </w:r>
      <w:proofErr w:type="spellStart"/>
      <w:r w:rsidRPr="00F775E5">
        <w:rPr>
          <w:rFonts w:ascii="Arial" w:hAnsi="Arial" w:cs="Arial"/>
          <w:sz w:val="24"/>
          <w:szCs w:val="24"/>
          <w:shd w:val="clear" w:color="auto" w:fill="FFFFFF"/>
        </w:rPr>
        <w:t>Legea</w:t>
      </w:r>
      <w:proofErr w:type="spellEnd"/>
      <w:r w:rsidRPr="00F775E5">
        <w:rPr>
          <w:rFonts w:ascii="Arial" w:hAnsi="Arial" w:cs="Arial"/>
          <w:sz w:val="24"/>
          <w:szCs w:val="24"/>
          <w:shd w:val="clear" w:color="auto" w:fill="FFFFFF"/>
        </w:rPr>
        <w:t xml:space="preserve"> nr.</w:t>
      </w:r>
      <w:proofErr w:type="gramEnd"/>
      <w:r w:rsidRPr="00F775E5">
        <w:rPr>
          <w:rFonts w:ascii="Arial" w:hAnsi="Arial" w:cs="Arial"/>
          <w:sz w:val="24"/>
          <w:szCs w:val="24"/>
          <w:shd w:val="clear" w:color="auto" w:fill="FFFFFF"/>
        </w:rPr>
        <w:t xml:space="preserve"> 104/2011 </w:t>
      </w:r>
      <w:proofErr w:type="spellStart"/>
      <w:r w:rsidRPr="00F775E5">
        <w:rPr>
          <w:rFonts w:ascii="Arial" w:hAnsi="Arial" w:cs="Arial"/>
          <w:sz w:val="24"/>
          <w:szCs w:val="24"/>
          <w:shd w:val="clear" w:color="auto" w:fill="FFFFFF"/>
        </w:rPr>
        <w:t>privind</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calitatea</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aerului</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înc</w:t>
      </w:r>
      <w:r>
        <w:rPr>
          <w:rFonts w:ascii="Arial" w:hAnsi="Arial" w:cs="Arial"/>
          <w:sz w:val="24"/>
          <w:szCs w:val="24"/>
          <w:shd w:val="clear" w:color="auto" w:fill="FFFFFF"/>
        </w:rPr>
        <w:t>onjurător</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judeţu</w:t>
      </w:r>
      <w:r w:rsidRPr="00F775E5">
        <w:rPr>
          <w:rFonts w:ascii="Arial" w:hAnsi="Arial" w:cs="Arial"/>
          <w:sz w:val="24"/>
          <w:szCs w:val="24"/>
          <w:shd w:val="clear" w:color="auto" w:fill="FFFFFF"/>
        </w:rPr>
        <w:t>l</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Gorj</w:t>
      </w:r>
      <w:proofErr w:type="spellEnd"/>
      <w:r w:rsidRPr="00F775E5">
        <w:rPr>
          <w:rFonts w:ascii="Arial" w:hAnsi="Arial" w:cs="Arial"/>
          <w:sz w:val="24"/>
          <w:szCs w:val="24"/>
          <w:shd w:val="clear" w:color="auto" w:fill="FFFFFF"/>
        </w:rPr>
        <w:t xml:space="preserve"> se </w:t>
      </w:r>
      <w:proofErr w:type="spellStart"/>
      <w:r w:rsidRPr="00F775E5">
        <w:rPr>
          <w:rFonts w:ascii="Arial" w:hAnsi="Arial" w:cs="Arial"/>
          <w:sz w:val="24"/>
          <w:szCs w:val="24"/>
          <w:shd w:val="clear" w:color="auto" w:fill="FFFFFF"/>
        </w:rPr>
        <w:t>încadrează</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regimul</w:t>
      </w:r>
      <w:proofErr w:type="spellEnd"/>
      <w:r w:rsidRPr="00F775E5">
        <w:rPr>
          <w:rFonts w:ascii="Arial" w:hAnsi="Arial" w:cs="Arial"/>
          <w:sz w:val="24"/>
          <w:szCs w:val="24"/>
          <w:shd w:val="clear" w:color="auto" w:fill="FFFFFF"/>
        </w:rPr>
        <w:t xml:space="preserve"> de </w:t>
      </w:r>
      <w:proofErr w:type="spellStart"/>
      <w:r w:rsidRPr="00F775E5">
        <w:rPr>
          <w:rFonts w:ascii="Arial" w:hAnsi="Arial" w:cs="Arial"/>
          <w:sz w:val="24"/>
          <w:szCs w:val="24"/>
          <w:shd w:val="clear" w:color="auto" w:fill="FFFFFF"/>
        </w:rPr>
        <w:t>gestionare</w:t>
      </w:r>
      <w:proofErr w:type="spellEnd"/>
      <w:r w:rsidRPr="00F775E5">
        <w:rPr>
          <w:rFonts w:ascii="Arial" w:hAnsi="Arial" w:cs="Arial"/>
          <w:sz w:val="24"/>
          <w:szCs w:val="24"/>
          <w:shd w:val="clear" w:color="auto" w:fill="FFFFFF"/>
        </w:rPr>
        <w:t xml:space="preserve"> II, conform </w:t>
      </w:r>
      <w:proofErr w:type="spellStart"/>
      <w:r w:rsidRPr="00F775E5">
        <w:rPr>
          <w:rFonts w:ascii="Arial" w:hAnsi="Arial" w:cs="Arial"/>
          <w:sz w:val="24"/>
          <w:szCs w:val="24"/>
          <w:shd w:val="clear" w:color="auto" w:fill="FFFFFF"/>
        </w:rPr>
        <w:t>anexei</w:t>
      </w:r>
      <w:proofErr w:type="spellEnd"/>
      <w:r w:rsidRPr="00F775E5">
        <w:rPr>
          <w:rFonts w:ascii="Arial" w:hAnsi="Arial" w:cs="Arial"/>
          <w:sz w:val="24"/>
          <w:szCs w:val="24"/>
          <w:shd w:val="clear" w:color="auto" w:fill="FFFFFF"/>
        </w:rPr>
        <w:t xml:space="preserve"> nr.2 al </w:t>
      </w:r>
      <w:proofErr w:type="spellStart"/>
      <w:r w:rsidRPr="00F775E5">
        <w:rPr>
          <w:rFonts w:ascii="Arial" w:hAnsi="Arial" w:cs="Arial"/>
          <w:sz w:val="24"/>
          <w:szCs w:val="24"/>
          <w:shd w:val="clear" w:color="auto" w:fill="FFFFFF"/>
        </w:rPr>
        <w:t>acestui</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Ordin</w:t>
      </w:r>
      <w:proofErr w:type="spellEnd"/>
      <w:r w:rsidRPr="00F775E5">
        <w:rPr>
          <w:rFonts w:ascii="Arial" w:hAnsi="Arial" w:cs="Arial"/>
          <w:sz w:val="24"/>
          <w:szCs w:val="24"/>
          <w:shd w:val="clear" w:color="auto" w:fill="FFFFFF"/>
        </w:rPr>
        <w:t xml:space="preserve">. </w:t>
      </w:r>
      <w:proofErr w:type="spellStart"/>
      <w:proofErr w:type="gram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acest</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sens</w:t>
      </w:r>
      <w:proofErr w:type="spellEnd"/>
      <w:r w:rsidRPr="00F775E5">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unităţile</w:t>
      </w:r>
      <w:proofErr w:type="spellEnd"/>
      <w:r>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administrativ</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teritoriale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prevăzute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în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anexa</w:t>
      </w:r>
      <w:proofErr w:type="spellEnd"/>
      <w:r w:rsidRPr="00F775E5">
        <w:rPr>
          <w:rStyle w:val="apple-converted-space"/>
          <w:rFonts w:ascii="Arial" w:hAnsi="Arial" w:cs="Arial"/>
          <w:sz w:val="24"/>
          <w:szCs w:val="24"/>
          <w:shd w:val="clear" w:color="auto" w:fill="FFFFFF"/>
        </w:rPr>
        <w:t> </w:t>
      </w:r>
      <w:hyperlink r:id="rId43" w:anchor="p-82312046" w:tgtFrame="_blank" w:history="1">
        <w:r w:rsidRPr="00F775E5">
          <w:rPr>
            <w:rStyle w:val="Hyperlink"/>
            <w:rFonts w:ascii="Arial" w:hAnsi="Arial" w:cs="Arial"/>
            <w:color w:val="auto"/>
            <w:sz w:val="24"/>
            <w:szCs w:val="24"/>
            <w:shd w:val="clear" w:color="auto" w:fill="FFFFFF"/>
          </w:rPr>
          <w:t>nr.</w:t>
        </w:r>
        <w:proofErr w:type="gramEnd"/>
        <w:r w:rsidRPr="00F775E5">
          <w:rPr>
            <w:rStyle w:val="Hyperlink"/>
            <w:rFonts w:ascii="Arial" w:hAnsi="Arial" w:cs="Arial"/>
            <w:color w:val="auto"/>
            <w:sz w:val="24"/>
            <w:szCs w:val="24"/>
            <w:shd w:val="clear" w:color="auto" w:fill="FFFFFF"/>
          </w:rPr>
          <w:t xml:space="preserve"> 2</w:t>
        </w:r>
      </w:hyperlink>
      <w:proofErr w:type="gramStart"/>
      <w:r w:rsidRPr="00F775E5">
        <w:rPr>
          <w:rFonts w:ascii="Arial" w:hAnsi="Arial" w:cs="Arial"/>
          <w:sz w:val="24"/>
          <w:szCs w:val="24"/>
        </w:rPr>
        <w:t xml:space="preserve">, </w:t>
      </w:r>
      <w:r w:rsidRPr="00F775E5">
        <w:rPr>
          <w:rStyle w:val="apple-converted-space"/>
          <w:rFonts w:ascii="Arial" w:hAnsi="Arial" w:cs="Arial"/>
          <w:sz w:val="24"/>
          <w:szCs w:val="24"/>
          <w:shd w:val="clear" w:color="auto" w:fill="FFFFFF"/>
        </w:rPr>
        <w:t> </w:t>
      </w:r>
      <w:proofErr w:type="spellStart"/>
      <w:r w:rsidRPr="00F775E5">
        <w:rPr>
          <w:rFonts w:ascii="Arial" w:hAnsi="Arial" w:cs="Arial"/>
          <w:sz w:val="24"/>
          <w:szCs w:val="24"/>
          <w:shd w:val="clear" w:color="auto" w:fill="FFFFFF"/>
        </w:rPr>
        <w:t>elaborează</w:t>
      </w:r>
      <w:proofErr w:type="spellEnd"/>
      <w:proofErr w:type="gramEnd"/>
      <w:r w:rsidRPr="00F775E5">
        <w:rPr>
          <w:rFonts w:ascii="Arial" w:hAnsi="Arial" w:cs="Arial"/>
          <w:sz w:val="24"/>
          <w:szCs w:val="24"/>
          <w:shd w:val="clear" w:color="auto" w:fill="FFFFFF"/>
        </w:rPr>
        <w:t xml:space="preserve"> un plan de </w:t>
      </w:r>
      <w:proofErr w:type="spellStart"/>
      <w:r w:rsidRPr="00F775E5">
        <w:rPr>
          <w:rFonts w:ascii="Arial" w:hAnsi="Arial" w:cs="Arial"/>
          <w:sz w:val="24"/>
          <w:szCs w:val="24"/>
          <w:shd w:val="clear" w:color="auto" w:fill="FFFFFF"/>
        </w:rPr>
        <w:t>menţinere</w:t>
      </w:r>
      <w:proofErr w:type="spellEnd"/>
      <w:r w:rsidRPr="00F775E5">
        <w:rPr>
          <w:rFonts w:ascii="Arial" w:hAnsi="Arial" w:cs="Arial"/>
          <w:sz w:val="24"/>
          <w:szCs w:val="24"/>
          <w:shd w:val="clear" w:color="auto" w:fill="FFFFFF"/>
        </w:rPr>
        <w:t xml:space="preserve"> a </w:t>
      </w:r>
      <w:proofErr w:type="spellStart"/>
      <w:r w:rsidRPr="00F775E5">
        <w:rPr>
          <w:rFonts w:ascii="Arial" w:hAnsi="Arial" w:cs="Arial"/>
          <w:sz w:val="24"/>
          <w:szCs w:val="24"/>
          <w:shd w:val="clear" w:color="auto" w:fill="FFFFFF"/>
        </w:rPr>
        <w:t>calităţii</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aerului.Pentru</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judeţul</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Gorj</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acest</w:t>
      </w:r>
      <w:proofErr w:type="spellEnd"/>
      <w:r w:rsidRPr="00F775E5">
        <w:rPr>
          <w:rFonts w:ascii="Arial" w:hAnsi="Arial" w:cs="Arial"/>
          <w:sz w:val="24"/>
          <w:szCs w:val="24"/>
          <w:shd w:val="clear" w:color="auto" w:fill="FFFFFF"/>
        </w:rPr>
        <w:t xml:space="preserve"> plan </w:t>
      </w:r>
      <w:proofErr w:type="spellStart"/>
      <w:r w:rsidRPr="00F775E5">
        <w:rPr>
          <w:rFonts w:ascii="Arial" w:hAnsi="Arial" w:cs="Arial"/>
          <w:sz w:val="24"/>
          <w:szCs w:val="24"/>
          <w:shd w:val="clear" w:color="auto" w:fill="FFFFFF"/>
        </w:rPr>
        <w:t>va</w:t>
      </w:r>
      <w:proofErr w:type="spellEnd"/>
      <w:r w:rsidRPr="00F775E5">
        <w:rPr>
          <w:rFonts w:ascii="Arial" w:hAnsi="Arial" w:cs="Arial"/>
          <w:sz w:val="24"/>
          <w:szCs w:val="24"/>
          <w:shd w:val="clear" w:color="auto" w:fill="FFFFFF"/>
        </w:rPr>
        <w:t xml:space="preserve"> fi elaborate de </w:t>
      </w:r>
      <w:proofErr w:type="spellStart"/>
      <w:r w:rsidRPr="00F775E5">
        <w:rPr>
          <w:rFonts w:ascii="Arial" w:hAnsi="Arial" w:cs="Arial"/>
          <w:sz w:val="24"/>
          <w:szCs w:val="24"/>
          <w:shd w:val="clear" w:color="auto" w:fill="FFFFFF"/>
        </w:rPr>
        <w:t>către</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Consiliul</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Judeţean</w:t>
      </w:r>
      <w:proofErr w:type="spellEnd"/>
      <w:r w:rsidRPr="00F775E5">
        <w:rPr>
          <w:rFonts w:ascii="Arial" w:hAnsi="Arial" w:cs="Arial"/>
          <w:sz w:val="24"/>
          <w:szCs w:val="24"/>
          <w:shd w:val="clear" w:color="auto" w:fill="FFFFFF"/>
        </w:rPr>
        <w:t xml:space="preserve"> </w:t>
      </w:r>
      <w:proofErr w:type="spellStart"/>
      <w:r w:rsidRPr="00F775E5">
        <w:rPr>
          <w:rFonts w:ascii="Arial" w:hAnsi="Arial" w:cs="Arial"/>
          <w:sz w:val="24"/>
          <w:szCs w:val="24"/>
          <w:shd w:val="clear" w:color="auto" w:fill="FFFFFF"/>
        </w:rPr>
        <w:t>Gorj</w:t>
      </w:r>
      <w:proofErr w:type="spellEnd"/>
      <w:r w:rsidRPr="00F775E5">
        <w:rPr>
          <w:rFonts w:ascii="Arial" w:hAnsi="Arial" w:cs="Arial"/>
          <w:sz w:val="24"/>
          <w:szCs w:val="24"/>
          <w:shd w:val="clear" w:color="auto" w:fill="FFFFFF"/>
        </w:rPr>
        <w:t>.</w:t>
      </w:r>
    </w:p>
    <w:p w:rsidR="00B83984" w:rsidRPr="00F775E5" w:rsidRDefault="00B83984" w:rsidP="00F775E5">
      <w:pPr>
        <w:ind w:firstLine="720"/>
        <w:jc w:val="both"/>
        <w:rPr>
          <w:rFonts w:ascii="Arial" w:hAnsi="Arial" w:cs="Arial"/>
          <w:b/>
          <w:bCs/>
          <w:sz w:val="24"/>
          <w:szCs w:val="24"/>
        </w:rPr>
      </w:pPr>
      <w:proofErr w:type="spellStart"/>
      <w:r w:rsidRPr="00DF2627">
        <w:rPr>
          <w:rFonts w:ascii="Arial" w:hAnsi="Arial" w:cs="Arial"/>
          <w:sz w:val="24"/>
          <w:szCs w:val="24"/>
        </w:rPr>
        <w:t>Planul</w:t>
      </w:r>
      <w:proofErr w:type="spellEnd"/>
      <w:r w:rsidRPr="00DF2627">
        <w:rPr>
          <w:rFonts w:ascii="Arial" w:hAnsi="Arial" w:cs="Arial"/>
          <w:sz w:val="24"/>
          <w:szCs w:val="24"/>
        </w:rPr>
        <w:t xml:space="preserve"> de </w:t>
      </w:r>
      <w:proofErr w:type="spellStart"/>
      <w:r w:rsidRPr="00DF2627">
        <w:rPr>
          <w:rFonts w:ascii="Arial" w:hAnsi="Arial" w:cs="Arial"/>
          <w:sz w:val="24"/>
          <w:szCs w:val="24"/>
        </w:rPr>
        <w:t>menţinere</w:t>
      </w:r>
      <w:proofErr w:type="spellEnd"/>
      <w:r w:rsidRPr="00DF2627">
        <w:rPr>
          <w:rFonts w:ascii="Arial" w:hAnsi="Arial" w:cs="Arial"/>
          <w:sz w:val="24"/>
          <w:szCs w:val="24"/>
        </w:rPr>
        <w:t xml:space="preserve"> a </w:t>
      </w:r>
      <w:proofErr w:type="spellStart"/>
      <w:r w:rsidRPr="00DF2627">
        <w:rPr>
          <w:rFonts w:ascii="Arial" w:hAnsi="Arial" w:cs="Arial"/>
          <w:sz w:val="24"/>
          <w:szCs w:val="24"/>
        </w:rPr>
        <w:t>calităţii</w:t>
      </w:r>
      <w:proofErr w:type="spellEnd"/>
      <w:r w:rsidRPr="00DF2627">
        <w:rPr>
          <w:rFonts w:ascii="Arial" w:hAnsi="Arial" w:cs="Arial"/>
          <w:sz w:val="24"/>
          <w:szCs w:val="24"/>
        </w:rPr>
        <w:t xml:space="preserve"> </w:t>
      </w:r>
      <w:proofErr w:type="spellStart"/>
      <w:r w:rsidRPr="00DF2627">
        <w:rPr>
          <w:rFonts w:ascii="Arial" w:hAnsi="Arial" w:cs="Arial"/>
          <w:sz w:val="24"/>
          <w:szCs w:val="24"/>
        </w:rPr>
        <w:t>aerului</w:t>
      </w:r>
      <w:proofErr w:type="spellEnd"/>
      <w:r w:rsidRPr="00DF2627">
        <w:rPr>
          <w:rFonts w:ascii="Arial" w:hAnsi="Arial" w:cs="Arial"/>
          <w:sz w:val="24"/>
          <w:szCs w:val="24"/>
        </w:rPr>
        <w:t xml:space="preserve"> </w:t>
      </w:r>
      <w:proofErr w:type="spellStart"/>
      <w:r w:rsidRPr="00DF2627">
        <w:rPr>
          <w:rFonts w:ascii="Arial" w:hAnsi="Arial" w:cs="Arial"/>
          <w:sz w:val="24"/>
          <w:szCs w:val="24"/>
        </w:rPr>
        <w:t>reprezintă</w:t>
      </w:r>
      <w:proofErr w:type="spellEnd"/>
      <w:r w:rsidRPr="00DF2627">
        <w:rPr>
          <w:rFonts w:ascii="Arial" w:hAnsi="Arial" w:cs="Arial"/>
          <w:sz w:val="24"/>
          <w:szCs w:val="24"/>
        </w:rPr>
        <w:t xml:space="preserve"> </w:t>
      </w:r>
      <w:proofErr w:type="spellStart"/>
      <w:r w:rsidRPr="00DF2627">
        <w:rPr>
          <w:rFonts w:ascii="Arial" w:hAnsi="Arial" w:cs="Arial"/>
          <w:sz w:val="24"/>
          <w:szCs w:val="24"/>
        </w:rPr>
        <w:t>setul</w:t>
      </w:r>
      <w:proofErr w:type="spellEnd"/>
      <w:r w:rsidRPr="00DF2627">
        <w:rPr>
          <w:rFonts w:ascii="Arial" w:hAnsi="Arial" w:cs="Arial"/>
          <w:sz w:val="24"/>
          <w:szCs w:val="24"/>
        </w:rPr>
        <w:t xml:space="preserve"> de </w:t>
      </w:r>
      <w:proofErr w:type="spellStart"/>
      <w:r w:rsidRPr="00DF2627">
        <w:rPr>
          <w:rFonts w:ascii="Arial" w:hAnsi="Arial" w:cs="Arial"/>
          <w:sz w:val="24"/>
          <w:szCs w:val="24"/>
        </w:rPr>
        <w:t>măsuri</w:t>
      </w:r>
      <w:proofErr w:type="spellEnd"/>
      <w:r w:rsidRPr="00DF2627">
        <w:rPr>
          <w:rFonts w:ascii="Arial" w:hAnsi="Arial" w:cs="Arial"/>
          <w:sz w:val="24"/>
          <w:szCs w:val="24"/>
        </w:rPr>
        <w:t xml:space="preserve"> </w:t>
      </w:r>
      <w:proofErr w:type="spellStart"/>
      <w:r w:rsidRPr="00DF2627">
        <w:rPr>
          <w:rFonts w:ascii="Arial" w:hAnsi="Arial" w:cs="Arial"/>
          <w:sz w:val="24"/>
          <w:szCs w:val="24"/>
        </w:rPr>
        <w:t>pe</w:t>
      </w:r>
      <w:proofErr w:type="spellEnd"/>
      <w:r w:rsidRPr="00DF2627">
        <w:rPr>
          <w:rFonts w:ascii="Arial" w:hAnsi="Arial" w:cs="Arial"/>
          <w:sz w:val="24"/>
          <w:szCs w:val="24"/>
        </w:rPr>
        <w:t xml:space="preserve"> care </w:t>
      </w:r>
      <w:proofErr w:type="spellStart"/>
      <w:r w:rsidRPr="00DF2627">
        <w:rPr>
          <w:rFonts w:ascii="Arial" w:hAnsi="Arial" w:cs="Arial"/>
          <w:sz w:val="24"/>
          <w:szCs w:val="24"/>
        </w:rPr>
        <w:t>titularul</w:t>
      </w:r>
      <w:proofErr w:type="spellEnd"/>
      <w:r w:rsidRPr="00DF2627">
        <w:rPr>
          <w:rFonts w:ascii="Arial" w:hAnsi="Arial" w:cs="Arial"/>
          <w:sz w:val="24"/>
          <w:szCs w:val="24"/>
        </w:rPr>
        <w:t>/</w:t>
      </w:r>
      <w:proofErr w:type="spellStart"/>
      <w:r w:rsidRPr="00DF2627">
        <w:rPr>
          <w:rFonts w:ascii="Arial" w:hAnsi="Arial" w:cs="Arial"/>
          <w:sz w:val="24"/>
          <w:szCs w:val="24"/>
        </w:rPr>
        <w:t>titularii</w:t>
      </w:r>
      <w:proofErr w:type="spellEnd"/>
      <w:r w:rsidRPr="00DF2627">
        <w:rPr>
          <w:rFonts w:ascii="Arial" w:hAnsi="Arial" w:cs="Arial"/>
          <w:sz w:val="24"/>
          <w:szCs w:val="24"/>
        </w:rPr>
        <w:t xml:space="preserve"> de </w:t>
      </w:r>
      <w:proofErr w:type="spellStart"/>
      <w:r w:rsidRPr="00DF2627">
        <w:rPr>
          <w:rFonts w:ascii="Arial" w:hAnsi="Arial" w:cs="Arial"/>
          <w:sz w:val="24"/>
          <w:szCs w:val="24"/>
        </w:rPr>
        <w:t>activitate</w:t>
      </w:r>
      <w:proofErr w:type="spellEnd"/>
      <w:r w:rsidRPr="00DF2627">
        <w:rPr>
          <w:rFonts w:ascii="Arial" w:hAnsi="Arial" w:cs="Arial"/>
          <w:sz w:val="24"/>
          <w:szCs w:val="24"/>
        </w:rPr>
        <w:t xml:space="preserve"> </w:t>
      </w:r>
      <w:proofErr w:type="spellStart"/>
      <w:r w:rsidRPr="00DF2627">
        <w:rPr>
          <w:rFonts w:ascii="Arial" w:hAnsi="Arial" w:cs="Arial"/>
          <w:sz w:val="24"/>
          <w:szCs w:val="24"/>
        </w:rPr>
        <w:t>trebuie</w:t>
      </w:r>
      <w:proofErr w:type="spellEnd"/>
      <w:r w:rsidRPr="00DF2627">
        <w:rPr>
          <w:rFonts w:ascii="Arial" w:hAnsi="Arial" w:cs="Arial"/>
          <w:sz w:val="24"/>
          <w:szCs w:val="24"/>
        </w:rPr>
        <w:t xml:space="preserve"> </w:t>
      </w:r>
      <w:proofErr w:type="spellStart"/>
      <w:r w:rsidRPr="00DF2627">
        <w:rPr>
          <w:rFonts w:ascii="Arial" w:hAnsi="Arial" w:cs="Arial"/>
          <w:sz w:val="24"/>
          <w:szCs w:val="24"/>
        </w:rPr>
        <w:t>să</w:t>
      </w:r>
      <w:proofErr w:type="spellEnd"/>
      <w:r w:rsidRPr="00DF2627">
        <w:rPr>
          <w:rFonts w:ascii="Arial" w:hAnsi="Arial" w:cs="Arial"/>
          <w:sz w:val="24"/>
          <w:szCs w:val="24"/>
        </w:rPr>
        <w:t xml:space="preserve"> le </w:t>
      </w:r>
      <w:proofErr w:type="spellStart"/>
      <w:r w:rsidRPr="00DF2627">
        <w:rPr>
          <w:rFonts w:ascii="Arial" w:hAnsi="Arial" w:cs="Arial"/>
          <w:sz w:val="24"/>
          <w:szCs w:val="24"/>
        </w:rPr>
        <w:t>ia</w:t>
      </w:r>
      <w:proofErr w:type="spellEnd"/>
      <w:r w:rsidRPr="00DF2627">
        <w:rPr>
          <w:rFonts w:ascii="Arial" w:hAnsi="Arial" w:cs="Arial"/>
          <w:sz w:val="24"/>
          <w:szCs w:val="24"/>
        </w:rPr>
        <w:t xml:space="preserve">, </w:t>
      </w:r>
      <w:proofErr w:type="spellStart"/>
      <w:r w:rsidRPr="00DF2627">
        <w:rPr>
          <w:rFonts w:ascii="Arial" w:hAnsi="Arial" w:cs="Arial"/>
          <w:sz w:val="24"/>
          <w:szCs w:val="24"/>
        </w:rPr>
        <w:t>astfel</w:t>
      </w:r>
      <w:proofErr w:type="spellEnd"/>
      <w:r w:rsidRPr="00DF2627">
        <w:rPr>
          <w:rFonts w:ascii="Arial" w:hAnsi="Arial" w:cs="Arial"/>
          <w:sz w:val="24"/>
          <w:szCs w:val="24"/>
        </w:rPr>
        <w:t xml:space="preserve"> </w:t>
      </w:r>
      <w:proofErr w:type="spellStart"/>
      <w:r w:rsidRPr="00DF2627">
        <w:rPr>
          <w:rFonts w:ascii="Arial" w:hAnsi="Arial" w:cs="Arial"/>
          <w:sz w:val="24"/>
          <w:szCs w:val="24"/>
        </w:rPr>
        <w:t>încât</w:t>
      </w:r>
      <w:proofErr w:type="spellEnd"/>
      <w:r w:rsidRPr="00DF2627">
        <w:rPr>
          <w:rFonts w:ascii="Arial" w:hAnsi="Arial" w:cs="Arial"/>
          <w:sz w:val="24"/>
          <w:szCs w:val="24"/>
        </w:rPr>
        <w:t xml:space="preserve"> </w:t>
      </w:r>
      <w:proofErr w:type="spellStart"/>
      <w:r w:rsidRPr="00DF2627">
        <w:rPr>
          <w:rFonts w:ascii="Arial" w:hAnsi="Arial" w:cs="Arial"/>
          <w:sz w:val="24"/>
          <w:szCs w:val="24"/>
        </w:rPr>
        <w:t>nivelul</w:t>
      </w:r>
      <w:proofErr w:type="spellEnd"/>
      <w:r w:rsidRPr="00DF2627">
        <w:rPr>
          <w:rFonts w:ascii="Arial" w:hAnsi="Arial" w:cs="Arial"/>
          <w:sz w:val="24"/>
          <w:szCs w:val="24"/>
        </w:rPr>
        <w:t xml:space="preserve"> </w:t>
      </w:r>
      <w:proofErr w:type="spellStart"/>
      <w:r w:rsidRPr="00DF2627">
        <w:rPr>
          <w:rFonts w:ascii="Arial" w:hAnsi="Arial" w:cs="Arial"/>
          <w:sz w:val="24"/>
          <w:szCs w:val="24"/>
        </w:rPr>
        <w:t>poluanţilor</w:t>
      </w:r>
      <w:proofErr w:type="spellEnd"/>
      <w:r w:rsidRPr="00DF2627">
        <w:rPr>
          <w:rFonts w:ascii="Arial" w:hAnsi="Arial" w:cs="Arial"/>
          <w:sz w:val="24"/>
          <w:szCs w:val="24"/>
        </w:rPr>
        <w:t xml:space="preserve"> </w:t>
      </w:r>
      <w:proofErr w:type="spellStart"/>
      <w:r w:rsidRPr="00DF2627">
        <w:rPr>
          <w:rFonts w:ascii="Arial" w:hAnsi="Arial" w:cs="Arial"/>
          <w:sz w:val="24"/>
          <w:szCs w:val="24"/>
        </w:rPr>
        <w:t>să</w:t>
      </w:r>
      <w:proofErr w:type="spellEnd"/>
      <w:r w:rsidRPr="00DF2627">
        <w:rPr>
          <w:rFonts w:ascii="Arial" w:hAnsi="Arial" w:cs="Arial"/>
          <w:sz w:val="24"/>
          <w:szCs w:val="24"/>
        </w:rPr>
        <w:t xml:space="preserve"> se </w:t>
      </w:r>
      <w:proofErr w:type="spellStart"/>
      <w:r w:rsidRPr="00DF2627">
        <w:rPr>
          <w:rFonts w:ascii="Arial" w:hAnsi="Arial" w:cs="Arial"/>
          <w:sz w:val="24"/>
          <w:szCs w:val="24"/>
        </w:rPr>
        <w:t>păstreze</w:t>
      </w:r>
      <w:proofErr w:type="spellEnd"/>
      <w:r w:rsidRPr="00DF2627">
        <w:rPr>
          <w:rFonts w:ascii="Arial" w:hAnsi="Arial" w:cs="Arial"/>
          <w:sz w:val="24"/>
          <w:szCs w:val="24"/>
        </w:rPr>
        <w:t xml:space="preserve"> sub </w:t>
      </w:r>
      <w:proofErr w:type="spellStart"/>
      <w:r w:rsidRPr="00DF2627">
        <w:rPr>
          <w:rFonts w:ascii="Arial" w:hAnsi="Arial" w:cs="Arial"/>
          <w:sz w:val="24"/>
          <w:szCs w:val="24"/>
        </w:rPr>
        <w:t>valorile-limită</w:t>
      </w:r>
      <w:proofErr w:type="spellEnd"/>
      <w:r w:rsidRPr="00DF2627">
        <w:rPr>
          <w:rFonts w:ascii="Arial" w:hAnsi="Arial" w:cs="Arial"/>
          <w:sz w:val="24"/>
          <w:szCs w:val="24"/>
        </w:rPr>
        <w:t xml:space="preserve"> </w:t>
      </w:r>
      <w:proofErr w:type="spellStart"/>
      <w:r w:rsidRPr="00DF2627">
        <w:rPr>
          <w:rFonts w:ascii="Arial" w:hAnsi="Arial" w:cs="Arial"/>
          <w:sz w:val="24"/>
          <w:szCs w:val="24"/>
        </w:rPr>
        <w:t>pentru</w:t>
      </w:r>
      <w:proofErr w:type="spellEnd"/>
      <w:r w:rsidRPr="00DF2627">
        <w:rPr>
          <w:rFonts w:ascii="Arial" w:hAnsi="Arial" w:cs="Arial"/>
          <w:sz w:val="24"/>
          <w:szCs w:val="24"/>
        </w:rPr>
        <w:t xml:space="preserve"> </w:t>
      </w:r>
      <w:proofErr w:type="spellStart"/>
      <w:r w:rsidRPr="00DF2627">
        <w:rPr>
          <w:rFonts w:ascii="Arial" w:hAnsi="Arial" w:cs="Arial"/>
          <w:sz w:val="24"/>
          <w:szCs w:val="24"/>
        </w:rPr>
        <w:t>poluanţii</w:t>
      </w:r>
      <w:proofErr w:type="spellEnd"/>
      <w:r w:rsidRPr="00DF2627">
        <w:rPr>
          <w:rFonts w:ascii="Arial" w:hAnsi="Arial" w:cs="Arial"/>
          <w:sz w:val="24"/>
          <w:szCs w:val="24"/>
        </w:rPr>
        <w:t xml:space="preserve"> </w:t>
      </w:r>
      <w:proofErr w:type="spellStart"/>
      <w:r w:rsidRPr="00DF2627">
        <w:rPr>
          <w:rFonts w:ascii="Arial" w:hAnsi="Arial" w:cs="Arial"/>
          <w:sz w:val="24"/>
          <w:szCs w:val="24"/>
        </w:rPr>
        <w:t>dioxid</w:t>
      </w:r>
      <w:proofErr w:type="spellEnd"/>
      <w:r w:rsidRPr="00DF2627">
        <w:rPr>
          <w:rFonts w:ascii="Arial" w:hAnsi="Arial" w:cs="Arial"/>
          <w:sz w:val="24"/>
          <w:szCs w:val="24"/>
        </w:rPr>
        <w:t xml:space="preserve"> de </w:t>
      </w:r>
      <w:proofErr w:type="spellStart"/>
      <w:r w:rsidRPr="00DF2627">
        <w:rPr>
          <w:rFonts w:ascii="Arial" w:hAnsi="Arial" w:cs="Arial"/>
          <w:sz w:val="24"/>
          <w:szCs w:val="24"/>
        </w:rPr>
        <w:t>sulf</w:t>
      </w:r>
      <w:proofErr w:type="spellEnd"/>
      <w:r w:rsidRPr="00DF2627">
        <w:rPr>
          <w:rFonts w:ascii="Arial" w:hAnsi="Arial" w:cs="Arial"/>
          <w:sz w:val="24"/>
          <w:szCs w:val="24"/>
        </w:rPr>
        <w:t xml:space="preserve">, </w:t>
      </w:r>
      <w:proofErr w:type="spellStart"/>
      <w:r w:rsidRPr="00DF2627">
        <w:rPr>
          <w:rFonts w:ascii="Arial" w:hAnsi="Arial" w:cs="Arial"/>
          <w:sz w:val="24"/>
          <w:szCs w:val="24"/>
        </w:rPr>
        <w:t>dioxid</w:t>
      </w:r>
      <w:proofErr w:type="spellEnd"/>
      <w:r w:rsidRPr="00DF2627">
        <w:rPr>
          <w:rFonts w:ascii="Arial" w:hAnsi="Arial" w:cs="Arial"/>
          <w:sz w:val="24"/>
          <w:szCs w:val="24"/>
        </w:rPr>
        <w:t xml:space="preserve"> de </w:t>
      </w:r>
      <w:proofErr w:type="spellStart"/>
      <w:r w:rsidRPr="00DF2627">
        <w:rPr>
          <w:rFonts w:ascii="Arial" w:hAnsi="Arial" w:cs="Arial"/>
          <w:sz w:val="24"/>
          <w:szCs w:val="24"/>
        </w:rPr>
        <w:t>azot</w:t>
      </w:r>
      <w:proofErr w:type="spellEnd"/>
      <w:r w:rsidRPr="00DF2627">
        <w:rPr>
          <w:rFonts w:ascii="Arial" w:hAnsi="Arial" w:cs="Arial"/>
          <w:sz w:val="24"/>
          <w:szCs w:val="24"/>
        </w:rPr>
        <w:t xml:space="preserve">, </w:t>
      </w:r>
      <w:proofErr w:type="spellStart"/>
      <w:r w:rsidRPr="00DF2627">
        <w:rPr>
          <w:rFonts w:ascii="Arial" w:hAnsi="Arial" w:cs="Arial"/>
          <w:sz w:val="24"/>
          <w:szCs w:val="24"/>
        </w:rPr>
        <w:t>oxizi</w:t>
      </w:r>
      <w:proofErr w:type="spellEnd"/>
      <w:r w:rsidRPr="00DF2627">
        <w:rPr>
          <w:rFonts w:ascii="Arial" w:hAnsi="Arial" w:cs="Arial"/>
          <w:sz w:val="24"/>
          <w:szCs w:val="24"/>
        </w:rPr>
        <w:t xml:space="preserve"> de </w:t>
      </w:r>
      <w:proofErr w:type="spellStart"/>
      <w:r w:rsidRPr="00DF2627">
        <w:rPr>
          <w:rFonts w:ascii="Arial" w:hAnsi="Arial" w:cs="Arial"/>
          <w:sz w:val="24"/>
          <w:szCs w:val="24"/>
        </w:rPr>
        <w:t>azot</w:t>
      </w:r>
      <w:proofErr w:type="spellEnd"/>
      <w:r w:rsidRPr="00DF2627">
        <w:rPr>
          <w:rFonts w:ascii="Arial" w:hAnsi="Arial" w:cs="Arial"/>
          <w:sz w:val="24"/>
          <w:szCs w:val="24"/>
        </w:rPr>
        <w:t xml:space="preserve">, </w:t>
      </w:r>
      <w:proofErr w:type="spellStart"/>
      <w:r w:rsidRPr="00DF2627">
        <w:rPr>
          <w:rFonts w:ascii="Arial" w:hAnsi="Arial" w:cs="Arial"/>
          <w:sz w:val="24"/>
          <w:szCs w:val="24"/>
        </w:rPr>
        <w:t>particule</w:t>
      </w:r>
      <w:proofErr w:type="spellEnd"/>
      <w:r w:rsidRPr="00DF2627">
        <w:rPr>
          <w:rFonts w:ascii="Arial" w:hAnsi="Arial" w:cs="Arial"/>
          <w:sz w:val="24"/>
          <w:szCs w:val="24"/>
        </w:rPr>
        <w:t xml:space="preserve"> </w:t>
      </w:r>
      <w:proofErr w:type="spellStart"/>
      <w:r w:rsidRPr="00DF2627">
        <w:rPr>
          <w:rFonts w:ascii="Arial" w:hAnsi="Arial" w:cs="Arial"/>
          <w:sz w:val="24"/>
          <w:szCs w:val="24"/>
        </w:rPr>
        <w:t>în</w:t>
      </w:r>
      <w:proofErr w:type="spellEnd"/>
      <w:r w:rsidRPr="00DF2627">
        <w:rPr>
          <w:rFonts w:ascii="Arial" w:hAnsi="Arial" w:cs="Arial"/>
          <w:sz w:val="24"/>
          <w:szCs w:val="24"/>
        </w:rPr>
        <w:t xml:space="preserve"> </w:t>
      </w:r>
      <w:proofErr w:type="spellStart"/>
      <w:r w:rsidRPr="00DF2627">
        <w:rPr>
          <w:rFonts w:ascii="Arial" w:hAnsi="Arial" w:cs="Arial"/>
          <w:sz w:val="24"/>
          <w:szCs w:val="24"/>
        </w:rPr>
        <w:t>suspensie</w:t>
      </w:r>
      <w:proofErr w:type="spellEnd"/>
      <w:r w:rsidRPr="00DF2627">
        <w:rPr>
          <w:rFonts w:ascii="Arial" w:hAnsi="Arial" w:cs="Arial"/>
          <w:sz w:val="24"/>
          <w:szCs w:val="24"/>
        </w:rPr>
        <w:t xml:space="preserve"> (PM</w:t>
      </w:r>
      <w:r w:rsidRPr="00DF2627">
        <w:rPr>
          <w:rFonts w:ascii="Arial" w:hAnsi="Arial" w:cs="Arial"/>
          <w:sz w:val="24"/>
          <w:szCs w:val="24"/>
          <w:vertAlign w:val="subscript"/>
        </w:rPr>
        <w:t>10</w:t>
      </w:r>
      <w:r w:rsidRPr="00DF2627">
        <w:rPr>
          <w:rFonts w:ascii="Arial" w:hAnsi="Arial" w:cs="Arial"/>
          <w:sz w:val="24"/>
          <w:szCs w:val="24"/>
        </w:rPr>
        <w:t xml:space="preserve">), </w:t>
      </w:r>
      <w:proofErr w:type="spellStart"/>
      <w:r w:rsidRPr="00DF2627">
        <w:rPr>
          <w:rFonts w:ascii="Arial" w:hAnsi="Arial" w:cs="Arial"/>
          <w:sz w:val="24"/>
          <w:szCs w:val="24"/>
        </w:rPr>
        <w:t>benzen</w:t>
      </w:r>
      <w:proofErr w:type="spellEnd"/>
      <w:r w:rsidRPr="00DF2627">
        <w:rPr>
          <w:rFonts w:ascii="Arial" w:hAnsi="Arial" w:cs="Arial"/>
          <w:sz w:val="24"/>
          <w:szCs w:val="24"/>
        </w:rPr>
        <w:t xml:space="preserve">, </w:t>
      </w:r>
      <w:proofErr w:type="spellStart"/>
      <w:r w:rsidRPr="00DF2627">
        <w:rPr>
          <w:rFonts w:ascii="Arial" w:hAnsi="Arial" w:cs="Arial"/>
          <w:sz w:val="24"/>
          <w:szCs w:val="24"/>
        </w:rPr>
        <w:t>monoxid</w:t>
      </w:r>
      <w:proofErr w:type="spellEnd"/>
      <w:r w:rsidRPr="00DF2627">
        <w:rPr>
          <w:rFonts w:ascii="Arial" w:hAnsi="Arial" w:cs="Arial"/>
          <w:sz w:val="24"/>
          <w:szCs w:val="24"/>
        </w:rPr>
        <w:t xml:space="preserve"> de carbon, plumb </w:t>
      </w:r>
      <w:proofErr w:type="spellStart"/>
      <w:r w:rsidRPr="00DF2627">
        <w:rPr>
          <w:rFonts w:ascii="Arial" w:hAnsi="Arial" w:cs="Arial"/>
          <w:sz w:val="24"/>
          <w:szCs w:val="24"/>
        </w:rPr>
        <w:t>sau</w:t>
      </w:r>
      <w:proofErr w:type="spellEnd"/>
      <w:r w:rsidRPr="00DF2627">
        <w:rPr>
          <w:rFonts w:ascii="Arial" w:hAnsi="Arial" w:cs="Arial"/>
          <w:sz w:val="24"/>
          <w:szCs w:val="24"/>
        </w:rPr>
        <w:t xml:space="preserve"> </w:t>
      </w:r>
      <w:proofErr w:type="spellStart"/>
      <w:r w:rsidRPr="00DF2627">
        <w:rPr>
          <w:rFonts w:ascii="Arial" w:hAnsi="Arial" w:cs="Arial"/>
          <w:sz w:val="24"/>
          <w:szCs w:val="24"/>
        </w:rPr>
        <w:t>valorile-ţintă</w:t>
      </w:r>
      <w:proofErr w:type="spellEnd"/>
      <w:r w:rsidRPr="00DF2627">
        <w:rPr>
          <w:rFonts w:ascii="Arial" w:hAnsi="Arial" w:cs="Arial"/>
          <w:sz w:val="24"/>
          <w:szCs w:val="24"/>
        </w:rPr>
        <w:t xml:space="preserve"> </w:t>
      </w:r>
      <w:proofErr w:type="spellStart"/>
      <w:r w:rsidRPr="00DF2627">
        <w:rPr>
          <w:rFonts w:ascii="Arial" w:hAnsi="Arial" w:cs="Arial"/>
          <w:sz w:val="24"/>
          <w:szCs w:val="24"/>
        </w:rPr>
        <w:t>pentru</w:t>
      </w:r>
      <w:proofErr w:type="spellEnd"/>
      <w:r w:rsidRPr="00DF2627">
        <w:rPr>
          <w:rFonts w:ascii="Arial" w:hAnsi="Arial" w:cs="Arial"/>
          <w:sz w:val="24"/>
          <w:szCs w:val="24"/>
        </w:rPr>
        <w:t xml:space="preserve"> </w:t>
      </w:r>
      <w:proofErr w:type="spellStart"/>
      <w:r w:rsidRPr="00DF2627">
        <w:rPr>
          <w:rFonts w:ascii="Arial" w:hAnsi="Arial" w:cs="Arial"/>
          <w:sz w:val="24"/>
          <w:szCs w:val="24"/>
        </w:rPr>
        <w:t>arsen</w:t>
      </w:r>
      <w:proofErr w:type="spellEnd"/>
      <w:r w:rsidRPr="00DF2627">
        <w:rPr>
          <w:rFonts w:ascii="Arial" w:hAnsi="Arial" w:cs="Arial"/>
          <w:sz w:val="24"/>
          <w:szCs w:val="24"/>
        </w:rPr>
        <w:t xml:space="preserve">, </w:t>
      </w:r>
      <w:proofErr w:type="spellStart"/>
      <w:r w:rsidRPr="00DF2627">
        <w:rPr>
          <w:rFonts w:ascii="Arial" w:hAnsi="Arial" w:cs="Arial"/>
          <w:sz w:val="24"/>
          <w:szCs w:val="24"/>
        </w:rPr>
        <w:t>cadmiu</w:t>
      </w:r>
      <w:proofErr w:type="spellEnd"/>
      <w:r w:rsidRPr="00DF2627">
        <w:rPr>
          <w:rFonts w:ascii="Arial" w:hAnsi="Arial" w:cs="Arial"/>
          <w:sz w:val="24"/>
          <w:szCs w:val="24"/>
        </w:rPr>
        <w:t xml:space="preserve">, </w:t>
      </w:r>
      <w:proofErr w:type="spellStart"/>
      <w:r w:rsidRPr="00DF2627">
        <w:rPr>
          <w:rFonts w:ascii="Arial" w:hAnsi="Arial" w:cs="Arial"/>
          <w:sz w:val="24"/>
          <w:szCs w:val="24"/>
        </w:rPr>
        <w:t>nichel</w:t>
      </w:r>
      <w:proofErr w:type="spellEnd"/>
      <w:r w:rsidRPr="00DF2627">
        <w:rPr>
          <w:rFonts w:ascii="Arial" w:hAnsi="Arial" w:cs="Arial"/>
          <w:sz w:val="24"/>
          <w:szCs w:val="24"/>
        </w:rPr>
        <w:t xml:space="preserve"> </w:t>
      </w:r>
      <w:proofErr w:type="spellStart"/>
      <w:proofErr w:type="gramStart"/>
      <w:r w:rsidRPr="00DF2627">
        <w:rPr>
          <w:rFonts w:ascii="Arial" w:hAnsi="Arial" w:cs="Arial"/>
          <w:sz w:val="24"/>
          <w:szCs w:val="24"/>
        </w:rPr>
        <w:t>benzo</w:t>
      </w:r>
      <w:proofErr w:type="spellEnd"/>
      <w:r w:rsidRPr="00DF2627">
        <w:rPr>
          <w:rFonts w:ascii="Arial" w:hAnsi="Arial" w:cs="Arial"/>
          <w:sz w:val="24"/>
          <w:szCs w:val="24"/>
        </w:rPr>
        <w:t>(</w:t>
      </w:r>
      <w:proofErr w:type="gramEnd"/>
      <w:r w:rsidRPr="00DF2627">
        <w:rPr>
          <w:rFonts w:ascii="Arial" w:hAnsi="Arial" w:cs="Arial"/>
          <w:sz w:val="24"/>
          <w:szCs w:val="24"/>
        </w:rPr>
        <w:t>a)</w:t>
      </w:r>
      <w:proofErr w:type="spellStart"/>
      <w:r w:rsidRPr="00DF2627">
        <w:rPr>
          <w:rFonts w:ascii="Arial" w:hAnsi="Arial" w:cs="Arial"/>
          <w:sz w:val="24"/>
          <w:szCs w:val="24"/>
        </w:rPr>
        <w:t>piren</w:t>
      </w:r>
      <w:proofErr w:type="spellEnd"/>
      <w:r w:rsidRPr="00DF2627">
        <w:rPr>
          <w:rFonts w:ascii="Arial" w:hAnsi="Arial" w:cs="Arial"/>
          <w:sz w:val="24"/>
          <w:szCs w:val="24"/>
        </w:rPr>
        <w:t xml:space="preserve"> </w:t>
      </w:r>
      <w:proofErr w:type="spellStart"/>
      <w:r w:rsidRPr="00DF2627">
        <w:rPr>
          <w:rFonts w:ascii="Arial" w:hAnsi="Arial" w:cs="Arial"/>
          <w:sz w:val="24"/>
          <w:szCs w:val="24"/>
        </w:rPr>
        <w:t>şi</w:t>
      </w:r>
      <w:proofErr w:type="spellEnd"/>
      <w:r w:rsidRPr="00DF2627">
        <w:rPr>
          <w:rFonts w:ascii="Arial" w:hAnsi="Arial" w:cs="Arial"/>
          <w:sz w:val="24"/>
          <w:szCs w:val="24"/>
        </w:rPr>
        <w:t xml:space="preserve"> PM</w:t>
      </w:r>
      <w:r w:rsidRPr="00DF2627">
        <w:rPr>
          <w:rFonts w:ascii="Arial" w:hAnsi="Arial" w:cs="Arial"/>
          <w:sz w:val="24"/>
          <w:szCs w:val="24"/>
          <w:vertAlign w:val="subscript"/>
        </w:rPr>
        <w:t>2,5,</w:t>
      </w:r>
      <w:r w:rsidRPr="00DF2627">
        <w:rPr>
          <w:rFonts w:ascii="Arial" w:hAnsi="Arial" w:cs="Arial"/>
          <w:sz w:val="24"/>
          <w:szCs w:val="24"/>
        </w:rPr>
        <w:t> </w:t>
      </w:r>
      <w:proofErr w:type="spellStart"/>
      <w:r w:rsidRPr="00DF2627">
        <w:rPr>
          <w:rFonts w:ascii="Arial" w:hAnsi="Arial" w:cs="Arial"/>
          <w:sz w:val="24"/>
          <w:szCs w:val="24"/>
        </w:rPr>
        <w:t>astfel</w:t>
      </w:r>
      <w:proofErr w:type="spellEnd"/>
      <w:r w:rsidRPr="00DF2627">
        <w:rPr>
          <w:rFonts w:ascii="Arial" w:hAnsi="Arial" w:cs="Arial"/>
          <w:sz w:val="24"/>
          <w:szCs w:val="24"/>
        </w:rPr>
        <w:t xml:space="preserve"> cum </w:t>
      </w:r>
      <w:proofErr w:type="spellStart"/>
      <w:r w:rsidRPr="00DF2627">
        <w:rPr>
          <w:rFonts w:ascii="Arial" w:hAnsi="Arial" w:cs="Arial"/>
          <w:sz w:val="24"/>
          <w:szCs w:val="24"/>
        </w:rPr>
        <w:t>sunt</w:t>
      </w:r>
      <w:proofErr w:type="spellEnd"/>
      <w:r w:rsidRPr="00DF2627">
        <w:rPr>
          <w:rFonts w:ascii="Arial" w:hAnsi="Arial" w:cs="Arial"/>
          <w:sz w:val="24"/>
          <w:szCs w:val="24"/>
        </w:rPr>
        <w:t xml:space="preserve"> </w:t>
      </w:r>
      <w:proofErr w:type="spellStart"/>
      <w:r w:rsidRPr="00DF2627">
        <w:rPr>
          <w:rFonts w:ascii="Arial" w:hAnsi="Arial" w:cs="Arial"/>
          <w:sz w:val="24"/>
          <w:szCs w:val="24"/>
        </w:rPr>
        <w:t>stabilite</w:t>
      </w:r>
      <w:proofErr w:type="spellEnd"/>
      <w:r w:rsidRPr="00DF2627">
        <w:rPr>
          <w:rFonts w:ascii="Arial" w:hAnsi="Arial" w:cs="Arial"/>
          <w:sz w:val="24"/>
          <w:szCs w:val="24"/>
        </w:rPr>
        <w:t xml:space="preserve"> la lit. </w:t>
      </w:r>
      <w:proofErr w:type="gramStart"/>
      <w:r w:rsidRPr="00DF2627">
        <w:rPr>
          <w:rFonts w:ascii="Arial" w:hAnsi="Arial" w:cs="Arial"/>
          <w:sz w:val="24"/>
          <w:szCs w:val="24"/>
        </w:rPr>
        <w:t xml:space="preserve">B.2 din </w:t>
      </w:r>
      <w:proofErr w:type="spellStart"/>
      <w:r w:rsidRPr="00DF2627">
        <w:rPr>
          <w:rFonts w:ascii="Arial" w:hAnsi="Arial" w:cs="Arial"/>
          <w:sz w:val="24"/>
          <w:szCs w:val="24"/>
        </w:rPr>
        <w:t>anexa</w:t>
      </w:r>
      <w:proofErr w:type="spellEnd"/>
      <w:r w:rsidRPr="00DF2627">
        <w:rPr>
          <w:rFonts w:ascii="Arial" w:hAnsi="Arial" w:cs="Arial"/>
          <w:sz w:val="24"/>
          <w:szCs w:val="24"/>
        </w:rPr>
        <w:t> </w:t>
      </w:r>
      <w:hyperlink r:id="rId44" w:anchor="p-56519009" w:tgtFrame="_blank" w:history="1">
        <w:r w:rsidRPr="00AA16BF">
          <w:rPr>
            <w:rStyle w:val="Hyperlink"/>
            <w:rFonts w:ascii="Arial" w:hAnsi="Arial" w:cs="Arial"/>
            <w:color w:val="auto"/>
            <w:sz w:val="24"/>
            <w:szCs w:val="24"/>
          </w:rPr>
          <w:t>nr.</w:t>
        </w:r>
        <w:proofErr w:type="gramEnd"/>
        <w:r w:rsidRPr="00AA16BF">
          <w:rPr>
            <w:rStyle w:val="Hyperlink"/>
            <w:rFonts w:ascii="Arial" w:hAnsi="Arial" w:cs="Arial"/>
            <w:color w:val="auto"/>
            <w:sz w:val="24"/>
            <w:szCs w:val="24"/>
          </w:rPr>
          <w:t xml:space="preserve"> </w:t>
        </w:r>
        <w:proofErr w:type="gramStart"/>
        <w:r w:rsidRPr="00AA16BF">
          <w:rPr>
            <w:rStyle w:val="Hyperlink"/>
            <w:rFonts w:ascii="Arial" w:hAnsi="Arial" w:cs="Arial"/>
            <w:color w:val="auto"/>
            <w:sz w:val="24"/>
            <w:szCs w:val="24"/>
          </w:rPr>
          <w:t>3</w:t>
        </w:r>
      </w:hyperlink>
      <w:r w:rsidR="00F775E5">
        <w:rPr>
          <w:rFonts w:ascii="Arial" w:hAnsi="Arial" w:cs="Arial"/>
          <w:sz w:val="24"/>
          <w:szCs w:val="24"/>
        </w:rPr>
        <w:t xml:space="preserve"> la </w:t>
      </w:r>
      <w:proofErr w:type="spellStart"/>
      <w:r w:rsidR="00F775E5">
        <w:rPr>
          <w:rFonts w:ascii="Arial" w:hAnsi="Arial" w:cs="Arial"/>
          <w:sz w:val="24"/>
          <w:szCs w:val="24"/>
        </w:rPr>
        <w:t>Legea</w:t>
      </w:r>
      <w:proofErr w:type="spellEnd"/>
      <w:r w:rsidR="00F775E5">
        <w:rPr>
          <w:rFonts w:ascii="Arial" w:hAnsi="Arial" w:cs="Arial"/>
          <w:sz w:val="24"/>
          <w:szCs w:val="24"/>
        </w:rPr>
        <w:t xml:space="preserve"> nr.</w:t>
      </w:r>
      <w:proofErr w:type="gramEnd"/>
      <w:r w:rsidR="00F775E5">
        <w:rPr>
          <w:rFonts w:ascii="Arial" w:hAnsi="Arial" w:cs="Arial"/>
          <w:sz w:val="24"/>
          <w:szCs w:val="24"/>
        </w:rPr>
        <w:t xml:space="preserve"> </w:t>
      </w:r>
      <w:proofErr w:type="gramStart"/>
      <w:r w:rsidR="00F775E5">
        <w:rPr>
          <w:rFonts w:ascii="Arial" w:hAnsi="Arial" w:cs="Arial"/>
          <w:sz w:val="24"/>
          <w:szCs w:val="24"/>
        </w:rPr>
        <w:t>104/2011</w:t>
      </w:r>
      <w:r w:rsidRPr="00DF2627">
        <w:rPr>
          <w:rFonts w:ascii="Arial" w:hAnsi="Arial" w:cs="Arial"/>
          <w:sz w:val="24"/>
          <w:szCs w:val="24"/>
        </w:rPr>
        <w:t>.</w:t>
      </w:r>
      <w:proofErr w:type="gramEnd"/>
    </w:p>
    <w:p w:rsidR="00B83984" w:rsidRPr="00DF2627" w:rsidRDefault="00B83984" w:rsidP="00F775E5">
      <w:pPr>
        <w:ind w:firstLine="720"/>
        <w:jc w:val="both"/>
        <w:rPr>
          <w:rFonts w:ascii="Arial" w:hAnsi="Arial" w:cs="Arial"/>
          <w:sz w:val="24"/>
          <w:szCs w:val="24"/>
        </w:rPr>
      </w:pPr>
      <w:proofErr w:type="spellStart"/>
      <w:r w:rsidRPr="00DF2627">
        <w:rPr>
          <w:rFonts w:ascii="Arial" w:hAnsi="Arial" w:cs="Arial"/>
          <w:sz w:val="24"/>
          <w:szCs w:val="24"/>
        </w:rPr>
        <w:t>În</w:t>
      </w:r>
      <w:proofErr w:type="spellEnd"/>
      <w:r w:rsidRPr="00DF2627">
        <w:rPr>
          <w:rFonts w:ascii="Arial" w:hAnsi="Arial" w:cs="Arial"/>
          <w:sz w:val="24"/>
          <w:szCs w:val="24"/>
        </w:rPr>
        <w:t xml:space="preserve"> </w:t>
      </w:r>
      <w:proofErr w:type="spellStart"/>
      <w:r w:rsidRPr="00DF2627">
        <w:rPr>
          <w:rFonts w:ascii="Arial" w:hAnsi="Arial" w:cs="Arial"/>
          <w:sz w:val="24"/>
          <w:szCs w:val="24"/>
        </w:rPr>
        <w:t>planul</w:t>
      </w:r>
      <w:proofErr w:type="spellEnd"/>
      <w:r w:rsidRPr="00DF2627">
        <w:rPr>
          <w:rFonts w:ascii="Arial" w:hAnsi="Arial" w:cs="Arial"/>
          <w:sz w:val="24"/>
          <w:szCs w:val="24"/>
        </w:rPr>
        <w:t xml:space="preserve"> de </w:t>
      </w:r>
      <w:proofErr w:type="spellStart"/>
      <w:r w:rsidRPr="00DF2627">
        <w:rPr>
          <w:rFonts w:ascii="Arial" w:hAnsi="Arial" w:cs="Arial"/>
          <w:sz w:val="24"/>
          <w:szCs w:val="24"/>
        </w:rPr>
        <w:t>menţinere</w:t>
      </w:r>
      <w:proofErr w:type="spellEnd"/>
      <w:r w:rsidRPr="00DF2627">
        <w:rPr>
          <w:rFonts w:ascii="Arial" w:hAnsi="Arial" w:cs="Arial"/>
          <w:sz w:val="24"/>
          <w:szCs w:val="24"/>
        </w:rPr>
        <w:t xml:space="preserve"> a </w:t>
      </w:r>
      <w:proofErr w:type="spellStart"/>
      <w:r w:rsidRPr="00DF2627">
        <w:rPr>
          <w:rFonts w:ascii="Arial" w:hAnsi="Arial" w:cs="Arial"/>
          <w:sz w:val="24"/>
          <w:szCs w:val="24"/>
        </w:rPr>
        <w:t>calităţii</w:t>
      </w:r>
      <w:proofErr w:type="spellEnd"/>
      <w:r w:rsidRPr="00DF2627">
        <w:rPr>
          <w:rFonts w:ascii="Arial" w:hAnsi="Arial" w:cs="Arial"/>
          <w:sz w:val="24"/>
          <w:szCs w:val="24"/>
        </w:rPr>
        <w:t xml:space="preserve"> </w:t>
      </w:r>
      <w:proofErr w:type="spellStart"/>
      <w:r w:rsidRPr="00DF2627">
        <w:rPr>
          <w:rFonts w:ascii="Arial" w:hAnsi="Arial" w:cs="Arial"/>
          <w:sz w:val="24"/>
          <w:szCs w:val="24"/>
        </w:rPr>
        <w:t>aerului</w:t>
      </w:r>
      <w:proofErr w:type="spellEnd"/>
      <w:r w:rsidRPr="00DF2627">
        <w:rPr>
          <w:rFonts w:ascii="Arial" w:hAnsi="Arial" w:cs="Arial"/>
          <w:sz w:val="24"/>
          <w:szCs w:val="24"/>
        </w:rPr>
        <w:t xml:space="preserve"> pot fi </w:t>
      </w:r>
      <w:proofErr w:type="spellStart"/>
      <w:r w:rsidRPr="00DF2627">
        <w:rPr>
          <w:rFonts w:ascii="Arial" w:hAnsi="Arial" w:cs="Arial"/>
          <w:sz w:val="24"/>
          <w:szCs w:val="24"/>
        </w:rPr>
        <w:t>incluse</w:t>
      </w:r>
      <w:proofErr w:type="spellEnd"/>
      <w:r w:rsidRPr="00DF2627">
        <w:rPr>
          <w:rFonts w:ascii="Arial" w:hAnsi="Arial" w:cs="Arial"/>
          <w:sz w:val="24"/>
          <w:szCs w:val="24"/>
        </w:rPr>
        <w:t xml:space="preserve"> </w:t>
      </w:r>
      <w:proofErr w:type="spellStart"/>
      <w:r w:rsidRPr="00DF2627">
        <w:rPr>
          <w:rFonts w:ascii="Arial" w:hAnsi="Arial" w:cs="Arial"/>
          <w:sz w:val="24"/>
          <w:szCs w:val="24"/>
        </w:rPr>
        <w:t>şi</w:t>
      </w:r>
      <w:proofErr w:type="spellEnd"/>
      <w:r w:rsidRPr="00DF2627">
        <w:rPr>
          <w:rFonts w:ascii="Arial" w:hAnsi="Arial" w:cs="Arial"/>
          <w:sz w:val="24"/>
          <w:szCs w:val="24"/>
        </w:rPr>
        <w:t xml:space="preserve"> </w:t>
      </w:r>
      <w:proofErr w:type="spellStart"/>
      <w:r w:rsidRPr="00DF2627">
        <w:rPr>
          <w:rFonts w:ascii="Arial" w:hAnsi="Arial" w:cs="Arial"/>
          <w:sz w:val="24"/>
          <w:szCs w:val="24"/>
        </w:rPr>
        <w:t>măsuri</w:t>
      </w:r>
      <w:proofErr w:type="spellEnd"/>
      <w:r w:rsidRPr="00DF2627">
        <w:rPr>
          <w:rFonts w:ascii="Arial" w:hAnsi="Arial" w:cs="Arial"/>
          <w:sz w:val="24"/>
          <w:szCs w:val="24"/>
        </w:rPr>
        <w:t xml:space="preserve"> </w:t>
      </w:r>
      <w:proofErr w:type="spellStart"/>
      <w:r w:rsidRPr="00DF2627">
        <w:rPr>
          <w:rFonts w:ascii="Arial" w:hAnsi="Arial" w:cs="Arial"/>
          <w:sz w:val="24"/>
          <w:szCs w:val="24"/>
        </w:rPr>
        <w:t>specifice</w:t>
      </w:r>
      <w:proofErr w:type="spellEnd"/>
      <w:r w:rsidRPr="00DF2627">
        <w:rPr>
          <w:rFonts w:ascii="Arial" w:hAnsi="Arial" w:cs="Arial"/>
          <w:sz w:val="24"/>
          <w:szCs w:val="24"/>
        </w:rPr>
        <w:t xml:space="preserve"> </w:t>
      </w:r>
      <w:proofErr w:type="spellStart"/>
      <w:r w:rsidRPr="00DF2627">
        <w:rPr>
          <w:rFonts w:ascii="Arial" w:hAnsi="Arial" w:cs="Arial"/>
          <w:sz w:val="24"/>
          <w:szCs w:val="24"/>
        </w:rPr>
        <w:t>vizând</w:t>
      </w:r>
      <w:proofErr w:type="spellEnd"/>
      <w:r w:rsidRPr="00DF2627">
        <w:rPr>
          <w:rFonts w:ascii="Arial" w:hAnsi="Arial" w:cs="Arial"/>
          <w:sz w:val="24"/>
          <w:szCs w:val="24"/>
        </w:rPr>
        <w:t xml:space="preserve"> </w:t>
      </w:r>
      <w:proofErr w:type="spellStart"/>
      <w:r w:rsidRPr="00DF2627">
        <w:rPr>
          <w:rFonts w:ascii="Arial" w:hAnsi="Arial" w:cs="Arial"/>
          <w:sz w:val="24"/>
          <w:szCs w:val="24"/>
        </w:rPr>
        <w:t>protecţia</w:t>
      </w:r>
      <w:proofErr w:type="spellEnd"/>
      <w:r w:rsidRPr="00DF2627">
        <w:rPr>
          <w:rFonts w:ascii="Arial" w:hAnsi="Arial" w:cs="Arial"/>
          <w:sz w:val="24"/>
          <w:szCs w:val="24"/>
        </w:rPr>
        <w:t xml:space="preserve"> </w:t>
      </w:r>
      <w:proofErr w:type="spellStart"/>
      <w:r w:rsidRPr="00DF2627">
        <w:rPr>
          <w:rFonts w:ascii="Arial" w:hAnsi="Arial" w:cs="Arial"/>
          <w:sz w:val="24"/>
          <w:szCs w:val="24"/>
        </w:rPr>
        <w:t>copiilor</w:t>
      </w:r>
      <w:proofErr w:type="spellEnd"/>
      <w:r w:rsidRPr="00DF2627">
        <w:rPr>
          <w:rFonts w:ascii="Arial" w:hAnsi="Arial" w:cs="Arial"/>
          <w:sz w:val="24"/>
          <w:szCs w:val="24"/>
        </w:rPr>
        <w:t xml:space="preserve"> </w:t>
      </w:r>
      <w:proofErr w:type="spellStart"/>
      <w:r w:rsidRPr="00DF2627">
        <w:rPr>
          <w:rFonts w:ascii="Arial" w:hAnsi="Arial" w:cs="Arial"/>
          <w:sz w:val="24"/>
          <w:szCs w:val="24"/>
        </w:rPr>
        <w:t>şi</w:t>
      </w:r>
      <w:proofErr w:type="spellEnd"/>
      <w:r w:rsidRPr="00DF2627">
        <w:rPr>
          <w:rFonts w:ascii="Arial" w:hAnsi="Arial" w:cs="Arial"/>
          <w:sz w:val="24"/>
          <w:szCs w:val="24"/>
        </w:rPr>
        <w:t xml:space="preserve"> </w:t>
      </w:r>
      <w:proofErr w:type="gramStart"/>
      <w:r w:rsidRPr="00DF2627">
        <w:rPr>
          <w:rFonts w:ascii="Arial" w:hAnsi="Arial" w:cs="Arial"/>
          <w:sz w:val="24"/>
          <w:szCs w:val="24"/>
        </w:rPr>
        <w:t>a</w:t>
      </w:r>
      <w:proofErr w:type="gramEnd"/>
      <w:r w:rsidRPr="00DF2627">
        <w:rPr>
          <w:rFonts w:ascii="Arial" w:hAnsi="Arial" w:cs="Arial"/>
          <w:sz w:val="24"/>
          <w:szCs w:val="24"/>
        </w:rPr>
        <w:t xml:space="preserve"> </w:t>
      </w:r>
      <w:proofErr w:type="spellStart"/>
      <w:r w:rsidRPr="00DF2627">
        <w:rPr>
          <w:rFonts w:ascii="Arial" w:hAnsi="Arial" w:cs="Arial"/>
          <w:sz w:val="24"/>
          <w:szCs w:val="24"/>
        </w:rPr>
        <w:t>altor</w:t>
      </w:r>
      <w:proofErr w:type="spellEnd"/>
      <w:r w:rsidRPr="00DF2627">
        <w:rPr>
          <w:rFonts w:ascii="Arial" w:hAnsi="Arial" w:cs="Arial"/>
          <w:sz w:val="24"/>
          <w:szCs w:val="24"/>
        </w:rPr>
        <w:t xml:space="preserve"> </w:t>
      </w:r>
      <w:proofErr w:type="spellStart"/>
      <w:r w:rsidRPr="00DF2627">
        <w:rPr>
          <w:rFonts w:ascii="Arial" w:hAnsi="Arial" w:cs="Arial"/>
          <w:sz w:val="24"/>
          <w:szCs w:val="24"/>
        </w:rPr>
        <w:t>grupuri</w:t>
      </w:r>
      <w:proofErr w:type="spellEnd"/>
      <w:r w:rsidRPr="00DF2627">
        <w:rPr>
          <w:rFonts w:ascii="Arial" w:hAnsi="Arial" w:cs="Arial"/>
          <w:sz w:val="24"/>
          <w:szCs w:val="24"/>
        </w:rPr>
        <w:t xml:space="preserve"> </w:t>
      </w:r>
      <w:proofErr w:type="spellStart"/>
      <w:r w:rsidRPr="00DF2627">
        <w:rPr>
          <w:rFonts w:ascii="Arial" w:hAnsi="Arial" w:cs="Arial"/>
          <w:sz w:val="24"/>
          <w:szCs w:val="24"/>
        </w:rPr>
        <w:t>sensibile</w:t>
      </w:r>
      <w:proofErr w:type="spellEnd"/>
      <w:r w:rsidRPr="00DF2627">
        <w:rPr>
          <w:rFonts w:ascii="Arial" w:hAnsi="Arial" w:cs="Arial"/>
          <w:sz w:val="24"/>
          <w:szCs w:val="24"/>
        </w:rPr>
        <w:t xml:space="preserve"> ale </w:t>
      </w:r>
      <w:proofErr w:type="spellStart"/>
      <w:r w:rsidRPr="00DF2627">
        <w:rPr>
          <w:rFonts w:ascii="Arial" w:hAnsi="Arial" w:cs="Arial"/>
          <w:sz w:val="24"/>
          <w:szCs w:val="24"/>
        </w:rPr>
        <w:t>populaţiei</w:t>
      </w:r>
      <w:proofErr w:type="spellEnd"/>
      <w:r w:rsidRPr="00DF2627">
        <w:rPr>
          <w:rFonts w:ascii="Arial" w:hAnsi="Arial" w:cs="Arial"/>
          <w:sz w:val="24"/>
          <w:szCs w:val="24"/>
        </w:rPr>
        <w:t>. </w:t>
      </w:r>
      <w:proofErr w:type="spellStart"/>
      <w:r w:rsidRPr="00DF2627">
        <w:rPr>
          <w:rFonts w:ascii="Arial" w:hAnsi="Arial" w:cs="Arial"/>
          <w:sz w:val="24"/>
          <w:szCs w:val="24"/>
        </w:rPr>
        <w:t>Măsurile</w:t>
      </w:r>
      <w:proofErr w:type="spellEnd"/>
      <w:r w:rsidRPr="00DF2627">
        <w:rPr>
          <w:rFonts w:ascii="Arial" w:hAnsi="Arial" w:cs="Arial"/>
          <w:sz w:val="24"/>
          <w:szCs w:val="24"/>
        </w:rPr>
        <w:t xml:space="preserve"> din </w:t>
      </w:r>
      <w:proofErr w:type="spellStart"/>
      <w:r w:rsidRPr="00DF2627">
        <w:rPr>
          <w:rFonts w:ascii="Arial" w:hAnsi="Arial" w:cs="Arial"/>
          <w:sz w:val="24"/>
          <w:szCs w:val="24"/>
        </w:rPr>
        <w:t>planul</w:t>
      </w:r>
      <w:proofErr w:type="spellEnd"/>
      <w:r w:rsidRPr="00DF2627">
        <w:rPr>
          <w:rFonts w:ascii="Arial" w:hAnsi="Arial" w:cs="Arial"/>
          <w:sz w:val="24"/>
          <w:szCs w:val="24"/>
        </w:rPr>
        <w:t xml:space="preserve"> de </w:t>
      </w:r>
      <w:proofErr w:type="spellStart"/>
      <w:r w:rsidRPr="00DF2627">
        <w:rPr>
          <w:rFonts w:ascii="Arial" w:hAnsi="Arial" w:cs="Arial"/>
          <w:sz w:val="24"/>
          <w:szCs w:val="24"/>
        </w:rPr>
        <w:t>menţinere</w:t>
      </w:r>
      <w:proofErr w:type="spellEnd"/>
      <w:r w:rsidRPr="00DF2627">
        <w:rPr>
          <w:rFonts w:ascii="Arial" w:hAnsi="Arial" w:cs="Arial"/>
          <w:sz w:val="24"/>
          <w:szCs w:val="24"/>
        </w:rPr>
        <w:t xml:space="preserve"> a </w:t>
      </w:r>
      <w:proofErr w:type="spellStart"/>
      <w:r w:rsidRPr="00DF2627">
        <w:rPr>
          <w:rFonts w:ascii="Arial" w:hAnsi="Arial" w:cs="Arial"/>
          <w:sz w:val="24"/>
          <w:szCs w:val="24"/>
        </w:rPr>
        <w:t>calităţii</w:t>
      </w:r>
      <w:proofErr w:type="spellEnd"/>
      <w:r w:rsidRPr="00DF2627">
        <w:rPr>
          <w:rFonts w:ascii="Arial" w:hAnsi="Arial" w:cs="Arial"/>
          <w:sz w:val="24"/>
          <w:szCs w:val="24"/>
        </w:rPr>
        <w:t xml:space="preserve"> </w:t>
      </w:r>
      <w:proofErr w:type="spellStart"/>
      <w:r w:rsidRPr="00DF2627">
        <w:rPr>
          <w:rFonts w:ascii="Arial" w:hAnsi="Arial" w:cs="Arial"/>
          <w:sz w:val="24"/>
          <w:szCs w:val="24"/>
        </w:rPr>
        <w:t>aerului</w:t>
      </w:r>
      <w:proofErr w:type="spellEnd"/>
      <w:r w:rsidRPr="00DF2627">
        <w:rPr>
          <w:rFonts w:ascii="Arial" w:hAnsi="Arial" w:cs="Arial"/>
          <w:sz w:val="24"/>
          <w:szCs w:val="24"/>
        </w:rPr>
        <w:t xml:space="preserve"> se pot </w:t>
      </w:r>
      <w:proofErr w:type="spellStart"/>
      <w:r w:rsidRPr="00DF2627">
        <w:rPr>
          <w:rFonts w:ascii="Arial" w:hAnsi="Arial" w:cs="Arial"/>
          <w:sz w:val="24"/>
          <w:szCs w:val="24"/>
        </w:rPr>
        <w:t>desfăşura</w:t>
      </w:r>
      <w:proofErr w:type="spellEnd"/>
      <w:r w:rsidRPr="00DF2627">
        <w:rPr>
          <w:rFonts w:ascii="Arial" w:hAnsi="Arial" w:cs="Arial"/>
          <w:sz w:val="24"/>
          <w:szCs w:val="24"/>
        </w:rPr>
        <w:t xml:space="preserve"> </w:t>
      </w:r>
      <w:proofErr w:type="spellStart"/>
      <w:r w:rsidRPr="00DF2627">
        <w:rPr>
          <w:rFonts w:ascii="Arial" w:hAnsi="Arial" w:cs="Arial"/>
          <w:sz w:val="24"/>
          <w:szCs w:val="24"/>
        </w:rPr>
        <w:t>pe</w:t>
      </w:r>
      <w:proofErr w:type="spellEnd"/>
      <w:r w:rsidRPr="00DF2627">
        <w:rPr>
          <w:rFonts w:ascii="Arial" w:hAnsi="Arial" w:cs="Arial"/>
          <w:sz w:val="24"/>
          <w:szCs w:val="24"/>
        </w:rPr>
        <w:t xml:space="preserve"> o </w:t>
      </w:r>
      <w:proofErr w:type="spellStart"/>
      <w:r w:rsidRPr="00DF2627">
        <w:rPr>
          <w:rFonts w:ascii="Arial" w:hAnsi="Arial" w:cs="Arial"/>
          <w:sz w:val="24"/>
          <w:szCs w:val="24"/>
        </w:rPr>
        <w:t>perioadă</w:t>
      </w:r>
      <w:proofErr w:type="spellEnd"/>
      <w:r w:rsidRPr="00DF2627">
        <w:rPr>
          <w:rFonts w:ascii="Arial" w:hAnsi="Arial" w:cs="Arial"/>
          <w:sz w:val="24"/>
          <w:szCs w:val="24"/>
        </w:rPr>
        <w:t xml:space="preserve"> de maximum 5 </w:t>
      </w:r>
      <w:proofErr w:type="spellStart"/>
      <w:r w:rsidRPr="00DF2627">
        <w:rPr>
          <w:rFonts w:ascii="Arial" w:hAnsi="Arial" w:cs="Arial"/>
          <w:sz w:val="24"/>
          <w:szCs w:val="24"/>
        </w:rPr>
        <w:t>ani</w:t>
      </w:r>
      <w:proofErr w:type="spellEnd"/>
      <w:r w:rsidRPr="00DF2627">
        <w:rPr>
          <w:rFonts w:ascii="Arial" w:hAnsi="Arial" w:cs="Arial"/>
          <w:sz w:val="24"/>
          <w:szCs w:val="24"/>
        </w:rPr>
        <w:t xml:space="preserve"> </w:t>
      </w:r>
      <w:proofErr w:type="spellStart"/>
      <w:r w:rsidRPr="00DF2627">
        <w:rPr>
          <w:rFonts w:ascii="Arial" w:hAnsi="Arial" w:cs="Arial"/>
          <w:sz w:val="24"/>
          <w:szCs w:val="24"/>
        </w:rPr>
        <w:t>sau</w:t>
      </w:r>
      <w:proofErr w:type="spellEnd"/>
      <w:r w:rsidRPr="00DF2627">
        <w:rPr>
          <w:rFonts w:ascii="Arial" w:hAnsi="Arial" w:cs="Arial"/>
          <w:sz w:val="24"/>
          <w:szCs w:val="24"/>
        </w:rPr>
        <w:t xml:space="preserve"> </w:t>
      </w:r>
      <w:proofErr w:type="spellStart"/>
      <w:r w:rsidRPr="00DF2627">
        <w:rPr>
          <w:rFonts w:ascii="Arial" w:hAnsi="Arial" w:cs="Arial"/>
          <w:sz w:val="24"/>
          <w:szCs w:val="24"/>
        </w:rPr>
        <w:t>până</w:t>
      </w:r>
      <w:proofErr w:type="spellEnd"/>
      <w:r w:rsidRPr="00DF2627">
        <w:rPr>
          <w:rFonts w:ascii="Arial" w:hAnsi="Arial" w:cs="Arial"/>
          <w:sz w:val="24"/>
          <w:szCs w:val="24"/>
        </w:rPr>
        <w:t xml:space="preserve"> la </w:t>
      </w:r>
      <w:proofErr w:type="spellStart"/>
      <w:r w:rsidRPr="00DF2627">
        <w:rPr>
          <w:rFonts w:ascii="Arial" w:hAnsi="Arial" w:cs="Arial"/>
          <w:sz w:val="24"/>
          <w:szCs w:val="24"/>
        </w:rPr>
        <w:t>trecerea</w:t>
      </w:r>
      <w:proofErr w:type="spellEnd"/>
      <w:r w:rsidRPr="00DF2627">
        <w:rPr>
          <w:rFonts w:ascii="Arial" w:hAnsi="Arial" w:cs="Arial"/>
          <w:sz w:val="24"/>
          <w:szCs w:val="24"/>
        </w:rPr>
        <w:t xml:space="preserve"> </w:t>
      </w:r>
      <w:proofErr w:type="spellStart"/>
      <w:r w:rsidRPr="00DF2627">
        <w:rPr>
          <w:rFonts w:ascii="Arial" w:hAnsi="Arial" w:cs="Arial"/>
          <w:sz w:val="24"/>
          <w:szCs w:val="24"/>
        </w:rPr>
        <w:t>în</w:t>
      </w:r>
      <w:proofErr w:type="spellEnd"/>
      <w:r w:rsidRPr="00DF2627">
        <w:rPr>
          <w:rFonts w:ascii="Arial" w:hAnsi="Arial" w:cs="Arial"/>
          <w:sz w:val="24"/>
          <w:szCs w:val="24"/>
        </w:rPr>
        <w:t xml:space="preserve"> </w:t>
      </w:r>
      <w:proofErr w:type="spellStart"/>
      <w:r w:rsidRPr="00DF2627">
        <w:rPr>
          <w:rFonts w:ascii="Arial" w:hAnsi="Arial" w:cs="Arial"/>
          <w:sz w:val="24"/>
          <w:szCs w:val="24"/>
        </w:rPr>
        <w:t>regimul</w:t>
      </w:r>
      <w:proofErr w:type="spellEnd"/>
      <w:r w:rsidRPr="00DF2627">
        <w:rPr>
          <w:rFonts w:ascii="Arial" w:hAnsi="Arial" w:cs="Arial"/>
          <w:sz w:val="24"/>
          <w:szCs w:val="24"/>
        </w:rPr>
        <w:t xml:space="preserve"> I de </w:t>
      </w:r>
      <w:proofErr w:type="spellStart"/>
      <w:r w:rsidRPr="00DF2627">
        <w:rPr>
          <w:rFonts w:ascii="Arial" w:hAnsi="Arial" w:cs="Arial"/>
          <w:sz w:val="24"/>
          <w:szCs w:val="24"/>
        </w:rPr>
        <w:t>evaluare</w:t>
      </w:r>
      <w:proofErr w:type="spellEnd"/>
      <w:r w:rsidRPr="00DF2627">
        <w:rPr>
          <w:rFonts w:ascii="Arial" w:hAnsi="Arial" w:cs="Arial"/>
          <w:sz w:val="24"/>
          <w:szCs w:val="24"/>
        </w:rPr>
        <w:t>.</w:t>
      </w:r>
    </w:p>
    <w:p w:rsidR="00B83984" w:rsidRPr="00DF2627" w:rsidRDefault="00B83984" w:rsidP="00F775E5">
      <w:pPr>
        <w:spacing w:after="200" w:line="276" w:lineRule="auto"/>
        <w:ind w:firstLine="720"/>
        <w:jc w:val="both"/>
        <w:rPr>
          <w:rFonts w:ascii="Arial" w:hAnsi="Arial" w:cs="Arial"/>
          <w:sz w:val="24"/>
          <w:szCs w:val="24"/>
        </w:rPr>
      </w:pPr>
      <w:r w:rsidRPr="00DF2627">
        <w:rPr>
          <w:rFonts w:ascii="Arial" w:hAnsi="Arial" w:cs="Arial"/>
          <w:sz w:val="24"/>
          <w:szCs w:val="24"/>
        </w:rPr>
        <w:t xml:space="preserve">La </w:t>
      </w:r>
      <w:proofErr w:type="spellStart"/>
      <w:r w:rsidRPr="00DF2627">
        <w:rPr>
          <w:rFonts w:ascii="Arial" w:hAnsi="Arial" w:cs="Arial"/>
          <w:sz w:val="24"/>
          <w:szCs w:val="24"/>
        </w:rPr>
        <w:t>întocmirea</w:t>
      </w:r>
      <w:proofErr w:type="spellEnd"/>
      <w:r w:rsidRPr="00DF2627">
        <w:rPr>
          <w:rFonts w:ascii="Arial" w:hAnsi="Arial" w:cs="Arial"/>
          <w:sz w:val="24"/>
          <w:szCs w:val="24"/>
        </w:rPr>
        <w:t xml:space="preserve"> </w:t>
      </w:r>
      <w:proofErr w:type="spellStart"/>
      <w:r w:rsidRPr="00DF2627">
        <w:rPr>
          <w:rFonts w:ascii="Arial" w:hAnsi="Arial" w:cs="Arial"/>
          <w:sz w:val="24"/>
          <w:szCs w:val="24"/>
        </w:rPr>
        <w:t>planului</w:t>
      </w:r>
      <w:proofErr w:type="spellEnd"/>
      <w:r w:rsidRPr="00DF2627">
        <w:rPr>
          <w:rFonts w:ascii="Arial" w:hAnsi="Arial" w:cs="Arial"/>
          <w:sz w:val="24"/>
          <w:szCs w:val="24"/>
        </w:rPr>
        <w:t xml:space="preserve"> de </w:t>
      </w:r>
      <w:proofErr w:type="spellStart"/>
      <w:r w:rsidRPr="00DF2627">
        <w:rPr>
          <w:rFonts w:ascii="Arial" w:hAnsi="Arial" w:cs="Arial"/>
          <w:sz w:val="24"/>
          <w:szCs w:val="24"/>
        </w:rPr>
        <w:t>menţinere</w:t>
      </w:r>
      <w:proofErr w:type="spellEnd"/>
      <w:r w:rsidRPr="00DF2627">
        <w:rPr>
          <w:rFonts w:ascii="Arial" w:hAnsi="Arial" w:cs="Arial"/>
          <w:sz w:val="24"/>
          <w:szCs w:val="24"/>
        </w:rPr>
        <w:t xml:space="preserve"> a </w:t>
      </w:r>
      <w:proofErr w:type="spellStart"/>
      <w:r w:rsidRPr="00DF2627">
        <w:rPr>
          <w:rFonts w:ascii="Arial" w:hAnsi="Arial" w:cs="Arial"/>
          <w:sz w:val="24"/>
          <w:szCs w:val="24"/>
        </w:rPr>
        <w:t>calităţii</w:t>
      </w:r>
      <w:proofErr w:type="spellEnd"/>
      <w:r w:rsidRPr="00DF2627">
        <w:rPr>
          <w:rFonts w:ascii="Arial" w:hAnsi="Arial" w:cs="Arial"/>
          <w:sz w:val="24"/>
          <w:szCs w:val="24"/>
        </w:rPr>
        <w:t xml:space="preserve"> </w:t>
      </w:r>
      <w:proofErr w:type="spellStart"/>
      <w:r w:rsidRPr="00DF2627">
        <w:rPr>
          <w:rFonts w:ascii="Arial" w:hAnsi="Arial" w:cs="Arial"/>
          <w:sz w:val="24"/>
          <w:szCs w:val="24"/>
        </w:rPr>
        <w:t>aerului</w:t>
      </w:r>
      <w:proofErr w:type="spellEnd"/>
      <w:r w:rsidRPr="00DF2627">
        <w:rPr>
          <w:rFonts w:ascii="Arial" w:hAnsi="Arial" w:cs="Arial"/>
          <w:sz w:val="24"/>
          <w:szCs w:val="24"/>
        </w:rPr>
        <w:t xml:space="preserve"> </w:t>
      </w:r>
      <w:proofErr w:type="spellStart"/>
      <w:r w:rsidRPr="00DF2627">
        <w:rPr>
          <w:rFonts w:ascii="Arial" w:hAnsi="Arial" w:cs="Arial"/>
          <w:sz w:val="24"/>
          <w:szCs w:val="24"/>
        </w:rPr>
        <w:t>trebuie</w:t>
      </w:r>
      <w:proofErr w:type="spellEnd"/>
      <w:r w:rsidRPr="00DF2627">
        <w:rPr>
          <w:rFonts w:ascii="Arial" w:hAnsi="Arial" w:cs="Arial"/>
          <w:sz w:val="24"/>
          <w:szCs w:val="24"/>
        </w:rPr>
        <w:t xml:space="preserve"> </w:t>
      </w:r>
      <w:proofErr w:type="spellStart"/>
      <w:proofErr w:type="gramStart"/>
      <w:r w:rsidRPr="00DF2627">
        <w:rPr>
          <w:rFonts w:ascii="Arial" w:hAnsi="Arial" w:cs="Arial"/>
          <w:sz w:val="24"/>
          <w:szCs w:val="24"/>
        </w:rPr>
        <w:t>să</w:t>
      </w:r>
      <w:proofErr w:type="spellEnd"/>
      <w:proofErr w:type="gramEnd"/>
      <w:r w:rsidRPr="00DF2627">
        <w:rPr>
          <w:rFonts w:ascii="Arial" w:hAnsi="Arial" w:cs="Arial"/>
          <w:sz w:val="24"/>
          <w:szCs w:val="24"/>
        </w:rPr>
        <w:t xml:space="preserve"> se </w:t>
      </w:r>
      <w:proofErr w:type="spellStart"/>
      <w:r w:rsidRPr="00DF2627">
        <w:rPr>
          <w:rFonts w:ascii="Arial" w:hAnsi="Arial" w:cs="Arial"/>
          <w:sz w:val="24"/>
          <w:szCs w:val="24"/>
        </w:rPr>
        <w:t>asigure</w:t>
      </w:r>
      <w:proofErr w:type="spellEnd"/>
      <w:r w:rsidRPr="00DF2627">
        <w:rPr>
          <w:rFonts w:ascii="Arial" w:hAnsi="Arial" w:cs="Arial"/>
          <w:sz w:val="24"/>
          <w:szCs w:val="24"/>
        </w:rPr>
        <w:t xml:space="preserve">, </w:t>
      </w:r>
      <w:proofErr w:type="spellStart"/>
      <w:r w:rsidRPr="00DF2627">
        <w:rPr>
          <w:rFonts w:ascii="Arial" w:hAnsi="Arial" w:cs="Arial"/>
          <w:sz w:val="24"/>
          <w:szCs w:val="24"/>
        </w:rPr>
        <w:t>pe</w:t>
      </w:r>
      <w:proofErr w:type="spellEnd"/>
      <w:r w:rsidRPr="00DF2627">
        <w:rPr>
          <w:rFonts w:ascii="Arial" w:hAnsi="Arial" w:cs="Arial"/>
          <w:sz w:val="24"/>
          <w:szCs w:val="24"/>
        </w:rPr>
        <w:t xml:space="preserve"> </w:t>
      </w:r>
      <w:proofErr w:type="spellStart"/>
      <w:r w:rsidRPr="00DF2627">
        <w:rPr>
          <w:rFonts w:ascii="Arial" w:hAnsi="Arial" w:cs="Arial"/>
          <w:sz w:val="24"/>
          <w:szCs w:val="24"/>
        </w:rPr>
        <w:t>cât</w:t>
      </w:r>
      <w:proofErr w:type="spellEnd"/>
      <w:r w:rsidRPr="00DF2627">
        <w:rPr>
          <w:rFonts w:ascii="Arial" w:hAnsi="Arial" w:cs="Arial"/>
          <w:sz w:val="24"/>
          <w:szCs w:val="24"/>
        </w:rPr>
        <w:t xml:space="preserve"> </w:t>
      </w:r>
      <w:proofErr w:type="spellStart"/>
      <w:r w:rsidRPr="00DF2627">
        <w:rPr>
          <w:rFonts w:ascii="Arial" w:hAnsi="Arial" w:cs="Arial"/>
          <w:sz w:val="24"/>
          <w:szCs w:val="24"/>
        </w:rPr>
        <w:t>posibil</w:t>
      </w:r>
      <w:proofErr w:type="spellEnd"/>
      <w:r w:rsidRPr="00DF2627">
        <w:rPr>
          <w:rFonts w:ascii="Arial" w:hAnsi="Arial" w:cs="Arial"/>
          <w:sz w:val="24"/>
          <w:szCs w:val="24"/>
        </w:rPr>
        <w:t xml:space="preserve">, </w:t>
      </w:r>
      <w:proofErr w:type="spellStart"/>
      <w:r w:rsidRPr="00DF2627">
        <w:rPr>
          <w:rFonts w:ascii="Arial" w:hAnsi="Arial" w:cs="Arial"/>
          <w:sz w:val="24"/>
          <w:szCs w:val="24"/>
        </w:rPr>
        <w:t>concordanţa</w:t>
      </w:r>
      <w:proofErr w:type="spellEnd"/>
      <w:r w:rsidRPr="00DF2627">
        <w:rPr>
          <w:rFonts w:ascii="Arial" w:hAnsi="Arial" w:cs="Arial"/>
          <w:sz w:val="24"/>
          <w:szCs w:val="24"/>
        </w:rPr>
        <w:t xml:space="preserve"> cu </w:t>
      </w:r>
      <w:proofErr w:type="spellStart"/>
      <w:r w:rsidRPr="00DF2627">
        <w:rPr>
          <w:rFonts w:ascii="Arial" w:hAnsi="Arial" w:cs="Arial"/>
          <w:sz w:val="24"/>
          <w:szCs w:val="24"/>
        </w:rPr>
        <w:t>alte</w:t>
      </w:r>
      <w:proofErr w:type="spellEnd"/>
      <w:r w:rsidRPr="00DF2627">
        <w:rPr>
          <w:rFonts w:ascii="Arial" w:hAnsi="Arial" w:cs="Arial"/>
          <w:sz w:val="24"/>
          <w:szCs w:val="24"/>
        </w:rPr>
        <w:t xml:space="preserve"> </w:t>
      </w:r>
      <w:proofErr w:type="spellStart"/>
      <w:r w:rsidRPr="00DF2627">
        <w:rPr>
          <w:rFonts w:ascii="Arial" w:hAnsi="Arial" w:cs="Arial"/>
          <w:sz w:val="24"/>
          <w:szCs w:val="24"/>
        </w:rPr>
        <w:t>planuri</w:t>
      </w:r>
      <w:proofErr w:type="spellEnd"/>
      <w:r w:rsidRPr="00DF2627">
        <w:rPr>
          <w:rFonts w:ascii="Arial" w:hAnsi="Arial" w:cs="Arial"/>
          <w:sz w:val="24"/>
          <w:szCs w:val="24"/>
        </w:rPr>
        <w:t>/</w:t>
      </w:r>
      <w:proofErr w:type="spellStart"/>
      <w:r w:rsidRPr="00DF2627">
        <w:rPr>
          <w:rFonts w:ascii="Arial" w:hAnsi="Arial" w:cs="Arial"/>
          <w:sz w:val="24"/>
          <w:szCs w:val="24"/>
        </w:rPr>
        <w:t>programe</w:t>
      </w:r>
      <w:proofErr w:type="spellEnd"/>
      <w:r w:rsidRPr="00DF2627">
        <w:rPr>
          <w:rFonts w:ascii="Arial" w:hAnsi="Arial" w:cs="Arial"/>
          <w:sz w:val="24"/>
          <w:szCs w:val="24"/>
        </w:rPr>
        <w:t xml:space="preserve"> </w:t>
      </w:r>
      <w:proofErr w:type="spellStart"/>
      <w:r w:rsidRPr="00DF2627">
        <w:rPr>
          <w:rFonts w:ascii="Arial" w:hAnsi="Arial" w:cs="Arial"/>
          <w:sz w:val="24"/>
          <w:szCs w:val="24"/>
        </w:rPr>
        <w:t>întocmite</w:t>
      </w:r>
      <w:proofErr w:type="spellEnd"/>
      <w:r w:rsidRPr="00DF2627">
        <w:rPr>
          <w:rFonts w:ascii="Arial" w:hAnsi="Arial" w:cs="Arial"/>
          <w:sz w:val="24"/>
          <w:szCs w:val="24"/>
        </w:rPr>
        <w:t xml:space="preserve"> conform </w:t>
      </w:r>
      <w:proofErr w:type="spellStart"/>
      <w:r w:rsidRPr="00DF2627">
        <w:rPr>
          <w:rFonts w:ascii="Arial" w:hAnsi="Arial" w:cs="Arial"/>
          <w:sz w:val="24"/>
          <w:szCs w:val="24"/>
        </w:rPr>
        <w:t>prevederilor</w:t>
      </w:r>
      <w:proofErr w:type="spellEnd"/>
      <w:r w:rsidRPr="00DF2627">
        <w:rPr>
          <w:rFonts w:ascii="Arial" w:hAnsi="Arial" w:cs="Arial"/>
          <w:sz w:val="24"/>
          <w:szCs w:val="24"/>
        </w:rPr>
        <w:t xml:space="preserve"> </w:t>
      </w:r>
      <w:r w:rsidR="00AA16BF">
        <w:rPr>
          <w:rFonts w:ascii="Arial" w:hAnsi="Arial" w:cs="Arial"/>
          <w:sz w:val="24"/>
          <w:szCs w:val="24"/>
        </w:rPr>
        <w:t>legale.</w:t>
      </w:r>
      <w:bookmarkStart w:id="0" w:name="_GoBack"/>
      <w:bookmarkEnd w:id="0"/>
    </w:p>
    <w:p w:rsidR="0051674B" w:rsidRPr="000E6942" w:rsidRDefault="000E6942" w:rsidP="007D7C5E">
      <w:pPr>
        <w:ind w:firstLine="720"/>
        <w:jc w:val="both"/>
        <w:rPr>
          <w:rFonts w:ascii="Arial" w:eastAsia="MS Mincho" w:hAnsi="Arial" w:cs="Arial"/>
          <w:sz w:val="24"/>
          <w:szCs w:val="24"/>
          <w:lang w:val="ro-RO" w:eastAsia="ja-JP"/>
        </w:rPr>
      </w:pPr>
      <w:r w:rsidRPr="000E6942">
        <w:rPr>
          <w:rFonts w:ascii="Arial" w:hAnsi="Arial" w:cs="Arial"/>
          <w:sz w:val="24"/>
          <w:szCs w:val="24"/>
          <w:lang w:val="ro-RO"/>
        </w:rPr>
        <w:lastRenderedPageBreak/>
        <w:t xml:space="preserve">Referitor la demararea procedurii de elaborare a planului de menţinere a calităţii aerului, conform prevederilor legale în vigoare, respectiv Legea  104/2011 privind calitate aerului înconjurător şi a prevederilor HG 257/2015 privind aprobarea Metodologiei de elaborare a planurilor de calitate a aerului, în conformitate cu art.36 alin (2), APM Gorj a pus la dispoziţia CJ Gorj datele privind încadrarea unităţilor administrativ-teritoriale în regim de gestionare II, transmise de către autoritatea centrala. Ulterior </w:t>
      </w:r>
      <w:r w:rsidR="00635948">
        <w:rPr>
          <w:rFonts w:ascii="Arial" w:eastAsia="MS Mincho" w:hAnsi="Arial" w:cs="Arial"/>
          <w:bCs/>
          <w:sz w:val="24"/>
          <w:szCs w:val="24"/>
          <w:lang w:val="ro-RO" w:eastAsia="ja-JP"/>
        </w:rPr>
        <w:t xml:space="preserve">a fost iniţiat procesul de </w:t>
      </w:r>
      <w:r w:rsidRPr="000E6942">
        <w:rPr>
          <w:rFonts w:ascii="Arial" w:eastAsia="MS Mincho" w:hAnsi="Arial" w:cs="Arial"/>
          <w:bCs/>
          <w:sz w:val="24"/>
          <w:szCs w:val="24"/>
          <w:lang w:val="ro-RO" w:eastAsia="ja-JP"/>
        </w:rPr>
        <w:t xml:space="preserve">elaborare a </w:t>
      </w:r>
      <w:r w:rsidRPr="000E6942">
        <w:rPr>
          <w:rFonts w:ascii="Arial" w:hAnsi="Arial" w:cs="Arial"/>
          <w:sz w:val="24"/>
          <w:szCs w:val="24"/>
          <w:lang w:val="ro-RO"/>
        </w:rPr>
        <w:t xml:space="preserve">planului de menţinere a calităţii aerului, proces ce va </w:t>
      </w:r>
      <w:r w:rsidR="007C2FEC">
        <w:rPr>
          <w:rFonts w:ascii="Arial" w:hAnsi="Arial" w:cs="Arial"/>
          <w:sz w:val="24"/>
          <w:szCs w:val="24"/>
          <w:lang w:val="ro-RO"/>
        </w:rPr>
        <w:t>fi finalizat în cur</w:t>
      </w:r>
      <w:r w:rsidR="00635948">
        <w:rPr>
          <w:rFonts w:ascii="Arial" w:hAnsi="Arial" w:cs="Arial"/>
          <w:sz w:val="24"/>
          <w:szCs w:val="24"/>
          <w:lang w:val="ro-RO"/>
        </w:rPr>
        <w:t>sul anului 2016.</w:t>
      </w:r>
    </w:p>
    <w:sectPr w:rsidR="0051674B" w:rsidRPr="000E6942" w:rsidSect="004A3AE6">
      <w:footerReference w:type="even" r:id="rId45"/>
      <w:footerReference w:type="default" r:id="rId46"/>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3A" w:rsidRDefault="004B273A">
      <w:r>
        <w:separator/>
      </w:r>
    </w:p>
  </w:endnote>
  <w:endnote w:type="continuationSeparator" w:id="0">
    <w:p w:rsidR="004B273A" w:rsidRDefault="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5B5o00">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3A" w:rsidRDefault="004B2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73A" w:rsidRDefault="004B27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3A" w:rsidRDefault="004B27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3A" w:rsidRDefault="004B273A">
      <w:r>
        <w:separator/>
      </w:r>
    </w:p>
  </w:footnote>
  <w:footnote w:type="continuationSeparator" w:id="0">
    <w:p w:rsidR="004B273A" w:rsidRDefault="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C"/>
      </v:shape>
    </w:pict>
  </w:numPicBullet>
  <w:abstractNum w:abstractNumId="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9632D4A"/>
    <w:multiLevelType w:val="hybridMultilevel"/>
    <w:tmpl w:val="7C82EEF4"/>
    <w:lvl w:ilvl="0" w:tplc="CBD2D08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10">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2">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4">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8A30151"/>
    <w:multiLevelType w:val="hybridMultilevel"/>
    <w:tmpl w:val="52980B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9">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9"/>
  </w:num>
  <w:num w:numId="3">
    <w:abstractNumId w:val="10"/>
  </w:num>
  <w:num w:numId="4">
    <w:abstractNumId w:val="14"/>
  </w:num>
  <w:num w:numId="5">
    <w:abstractNumId w:val="3"/>
  </w:num>
  <w:num w:numId="6">
    <w:abstractNumId w:val="28"/>
  </w:num>
  <w:num w:numId="7">
    <w:abstractNumId w:val="20"/>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23"/>
  </w:num>
  <w:num w:numId="13">
    <w:abstractNumId w:val="25"/>
  </w:num>
  <w:num w:numId="14">
    <w:abstractNumId w:val="29"/>
  </w:num>
  <w:num w:numId="15">
    <w:abstractNumId w:val="30"/>
  </w:num>
  <w:num w:numId="16">
    <w:abstractNumId w:val="18"/>
  </w:num>
  <w:num w:numId="17">
    <w:abstractNumId w:val="24"/>
  </w:num>
  <w:num w:numId="18">
    <w:abstractNumId w:val="1"/>
  </w:num>
  <w:num w:numId="19">
    <w:abstractNumId w:val="11"/>
  </w:num>
  <w:num w:numId="20">
    <w:abstractNumId w:val="31"/>
  </w:num>
  <w:num w:numId="21">
    <w:abstractNumId w:val="12"/>
  </w:num>
  <w:num w:numId="22">
    <w:abstractNumId w:val="7"/>
  </w:num>
  <w:num w:numId="23">
    <w:abstractNumId w:val="22"/>
  </w:num>
  <w:num w:numId="24">
    <w:abstractNumId w:val="21"/>
  </w:num>
  <w:num w:numId="25">
    <w:abstractNumId w:val="0"/>
  </w:num>
  <w:num w:numId="26">
    <w:abstractNumId w:val="17"/>
  </w:num>
  <w:num w:numId="27">
    <w:abstractNumId w:val="2"/>
  </w:num>
  <w:num w:numId="28">
    <w:abstractNumId w:val="19"/>
  </w:num>
  <w:num w:numId="29">
    <w:abstractNumId w:val="13"/>
  </w:num>
  <w:num w:numId="30">
    <w:abstractNumId w:val="26"/>
  </w:num>
  <w:num w:numId="31">
    <w:abstractNumId w:val="4"/>
  </w:num>
  <w:num w:numId="32">
    <w:abstractNumId w:val="27"/>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05"/>
    <w:rsid w:val="00000DAD"/>
    <w:rsid w:val="00002520"/>
    <w:rsid w:val="00003657"/>
    <w:rsid w:val="000037BC"/>
    <w:rsid w:val="00003804"/>
    <w:rsid w:val="000063E9"/>
    <w:rsid w:val="00006A8F"/>
    <w:rsid w:val="00012219"/>
    <w:rsid w:val="000124FE"/>
    <w:rsid w:val="000148FD"/>
    <w:rsid w:val="00014967"/>
    <w:rsid w:val="0001521D"/>
    <w:rsid w:val="00015925"/>
    <w:rsid w:val="00017D3E"/>
    <w:rsid w:val="0002022E"/>
    <w:rsid w:val="000203DA"/>
    <w:rsid w:val="000213CA"/>
    <w:rsid w:val="00022E93"/>
    <w:rsid w:val="0003037B"/>
    <w:rsid w:val="0003072C"/>
    <w:rsid w:val="00030F77"/>
    <w:rsid w:val="00031764"/>
    <w:rsid w:val="0003490F"/>
    <w:rsid w:val="000364AB"/>
    <w:rsid w:val="00036C61"/>
    <w:rsid w:val="000440A1"/>
    <w:rsid w:val="0004474D"/>
    <w:rsid w:val="00045C5A"/>
    <w:rsid w:val="0005149D"/>
    <w:rsid w:val="000548E7"/>
    <w:rsid w:val="000557FB"/>
    <w:rsid w:val="00056820"/>
    <w:rsid w:val="00056B92"/>
    <w:rsid w:val="00061195"/>
    <w:rsid w:val="000613B0"/>
    <w:rsid w:val="00061BEF"/>
    <w:rsid w:val="00062F35"/>
    <w:rsid w:val="00063F4E"/>
    <w:rsid w:val="000654AF"/>
    <w:rsid w:val="00065675"/>
    <w:rsid w:val="000662CC"/>
    <w:rsid w:val="000675F4"/>
    <w:rsid w:val="00071032"/>
    <w:rsid w:val="00072430"/>
    <w:rsid w:val="000754DD"/>
    <w:rsid w:val="00075727"/>
    <w:rsid w:val="0007642A"/>
    <w:rsid w:val="000768B9"/>
    <w:rsid w:val="00080022"/>
    <w:rsid w:val="0009051F"/>
    <w:rsid w:val="00092731"/>
    <w:rsid w:val="0009343D"/>
    <w:rsid w:val="00094B08"/>
    <w:rsid w:val="0009529B"/>
    <w:rsid w:val="0009643A"/>
    <w:rsid w:val="000A05E6"/>
    <w:rsid w:val="000A1278"/>
    <w:rsid w:val="000A337B"/>
    <w:rsid w:val="000A6779"/>
    <w:rsid w:val="000A77CD"/>
    <w:rsid w:val="000B06CA"/>
    <w:rsid w:val="000B253E"/>
    <w:rsid w:val="000B42ED"/>
    <w:rsid w:val="000B5431"/>
    <w:rsid w:val="000B57A3"/>
    <w:rsid w:val="000B6141"/>
    <w:rsid w:val="000B65C2"/>
    <w:rsid w:val="000C30B1"/>
    <w:rsid w:val="000C3951"/>
    <w:rsid w:val="000C6396"/>
    <w:rsid w:val="000C79D7"/>
    <w:rsid w:val="000D38F5"/>
    <w:rsid w:val="000D5A4E"/>
    <w:rsid w:val="000D6E1C"/>
    <w:rsid w:val="000D7CC3"/>
    <w:rsid w:val="000E0858"/>
    <w:rsid w:val="000E5D1E"/>
    <w:rsid w:val="000E6364"/>
    <w:rsid w:val="000E6942"/>
    <w:rsid w:val="000E6C84"/>
    <w:rsid w:val="000E7377"/>
    <w:rsid w:val="000F168D"/>
    <w:rsid w:val="000F1DF9"/>
    <w:rsid w:val="000F1E15"/>
    <w:rsid w:val="000F2592"/>
    <w:rsid w:val="000F2851"/>
    <w:rsid w:val="000F28FF"/>
    <w:rsid w:val="000F2B5E"/>
    <w:rsid w:val="000F57A3"/>
    <w:rsid w:val="000F6EA2"/>
    <w:rsid w:val="000F7A60"/>
    <w:rsid w:val="00100A25"/>
    <w:rsid w:val="001025F6"/>
    <w:rsid w:val="001033ED"/>
    <w:rsid w:val="0010367E"/>
    <w:rsid w:val="001074E0"/>
    <w:rsid w:val="001112AE"/>
    <w:rsid w:val="00111BE1"/>
    <w:rsid w:val="00112627"/>
    <w:rsid w:val="00113C0A"/>
    <w:rsid w:val="00114073"/>
    <w:rsid w:val="0011488B"/>
    <w:rsid w:val="00114A1D"/>
    <w:rsid w:val="001211C6"/>
    <w:rsid w:val="00122054"/>
    <w:rsid w:val="001224C7"/>
    <w:rsid w:val="00124E6D"/>
    <w:rsid w:val="00126F27"/>
    <w:rsid w:val="001305A4"/>
    <w:rsid w:val="00134452"/>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71F"/>
    <w:rsid w:val="00176FE6"/>
    <w:rsid w:val="00184DEF"/>
    <w:rsid w:val="001942AC"/>
    <w:rsid w:val="00196058"/>
    <w:rsid w:val="001A0A04"/>
    <w:rsid w:val="001A13FF"/>
    <w:rsid w:val="001A37E0"/>
    <w:rsid w:val="001B259D"/>
    <w:rsid w:val="001B73BA"/>
    <w:rsid w:val="001C2837"/>
    <w:rsid w:val="001C29CC"/>
    <w:rsid w:val="001C427B"/>
    <w:rsid w:val="001C4A15"/>
    <w:rsid w:val="001C636B"/>
    <w:rsid w:val="001D07EE"/>
    <w:rsid w:val="001D58FF"/>
    <w:rsid w:val="001D71B8"/>
    <w:rsid w:val="001D7FB3"/>
    <w:rsid w:val="001E21A2"/>
    <w:rsid w:val="001E2E94"/>
    <w:rsid w:val="001E412D"/>
    <w:rsid w:val="001F2D17"/>
    <w:rsid w:val="001F3C44"/>
    <w:rsid w:val="001F569A"/>
    <w:rsid w:val="001F6D00"/>
    <w:rsid w:val="001F72C4"/>
    <w:rsid w:val="002002FA"/>
    <w:rsid w:val="00200C68"/>
    <w:rsid w:val="00202CEE"/>
    <w:rsid w:val="00206DEE"/>
    <w:rsid w:val="0020721F"/>
    <w:rsid w:val="002076D6"/>
    <w:rsid w:val="00215A7E"/>
    <w:rsid w:val="00216A3E"/>
    <w:rsid w:val="00216D9D"/>
    <w:rsid w:val="00222B15"/>
    <w:rsid w:val="0022585E"/>
    <w:rsid w:val="00225AE0"/>
    <w:rsid w:val="00230B65"/>
    <w:rsid w:val="00232681"/>
    <w:rsid w:val="00235402"/>
    <w:rsid w:val="0023666F"/>
    <w:rsid w:val="0023694E"/>
    <w:rsid w:val="00236AFF"/>
    <w:rsid w:val="002457D3"/>
    <w:rsid w:val="00251B42"/>
    <w:rsid w:val="00252CBE"/>
    <w:rsid w:val="00253108"/>
    <w:rsid w:val="002541F7"/>
    <w:rsid w:val="00255198"/>
    <w:rsid w:val="00256671"/>
    <w:rsid w:val="00256D76"/>
    <w:rsid w:val="00257BF2"/>
    <w:rsid w:val="002656CA"/>
    <w:rsid w:val="002671EB"/>
    <w:rsid w:val="002700A7"/>
    <w:rsid w:val="00274BFF"/>
    <w:rsid w:val="00277AAB"/>
    <w:rsid w:val="00280613"/>
    <w:rsid w:val="002812CE"/>
    <w:rsid w:val="002821A0"/>
    <w:rsid w:val="002824C7"/>
    <w:rsid w:val="002876FC"/>
    <w:rsid w:val="00291542"/>
    <w:rsid w:val="00295F46"/>
    <w:rsid w:val="002A00C8"/>
    <w:rsid w:val="002A2564"/>
    <w:rsid w:val="002A4C53"/>
    <w:rsid w:val="002A5C1F"/>
    <w:rsid w:val="002A7400"/>
    <w:rsid w:val="002B0790"/>
    <w:rsid w:val="002B1D1F"/>
    <w:rsid w:val="002B4114"/>
    <w:rsid w:val="002B6F4D"/>
    <w:rsid w:val="002C2330"/>
    <w:rsid w:val="002C42BF"/>
    <w:rsid w:val="002C4C3D"/>
    <w:rsid w:val="002C56BF"/>
    <w:rsid w:val="002C5C1C"/>
    <w:rsid w:val="002E0647"/>
    <w:rsid w:val="002E17DC"/>
    <w:rsid w:val="002E6870"/>
    <w:rsid w:val="002E696E"/>
    <w:rsid w:val="002F15C9"/>
    <w:rsid w:val="002F1D25"/>
    <w:rsid w:val="002F2646"/>
    <w:rsid w:val="002F2EC9"/>
    <w:rsid w:val="002F34F0"/>
    <w:rsid w:val="002F5C75"/>
    <w:rsid w:val="0030085E"/>
    <w:rsid w:val="003057C1"/>
    <w:rsid w:val="003070B0"/>
    <w:rsid w:val="00307230"/>
    <w:rsid w:val="003114BB"/>
    <w:rsid w:val="003123AA"/>
    <w:rsid w:val="003153EF"/>
    <w:rsid w:val="00315983"/>
    <w:rsid w:val="00317CFA"/>
    <w:rsid w:val="00325963"/>
    <w:rsid w:val="00327501"/>
    <w:rsid w:val="00332018"/>
    <w:rsid w:val="00333474"/>
    <w:rsid w:val="003352B9"/>
    <w:rsid w:val="003400FB"/>
    <w:rsid w:val="00341A81"/>
    <w:rsid w:val="00341DFA"/>
    <w:rsid w:val="003439E4"/>
    <w:rsid w:val="003448CD"/>
    <w:rsid w:val="00344DE9"/>
    <w:rsid w:val="00346686"/>
    <w:rsid w:val="0035242F"/>
    <w:rsid w:val="003525FD"/>
    <w:rsid w:val="003546D3"/>
    <w:rsid w:val="00354E06"/>
    <w:rsid w:val="0036371D"/>
    <w:rsid w:val="00371D16"/>
    <w:rsid w:val="00372981"/>
    <w:rsid w:val="0037338B"/>
    <w:rsid w:val="00374B47"/>
    <w:rsid w:val="00376355"/>
    <w:rsid w:val="00376722"/>
    <w:rsid w:val="003767AA"/>
    <w:rsid w:val="00377B57"/>
    <w:rsid w:val="00377D3D"/>
    <w:rsid w:val="00380CD8"/>
    <w:rsid w:val="00381A7F"/>
    <w:rsid w:val="003831CC"/>
    <w:rsid w:val="0038337C"/>
    <w:rsid w:val="0038578C"/>
    <w:rsid w:val="00386F79"/>
    <w:rsid w:val="0039365E"/>
    <w:rsid w:val="0039402A"/>
    <w:rsid w:val="0039532B"/>
    <w:rsid w:val="00396181"/>
    <w:rsid w:val="003965F7"/>
    <w:rsid w:val="003A312F"/>
    <w:rsid w:val="003A3E3F"/>
    <w:rsid w:val="003A4685"/>
    <w:rsid w:val="003A5105"/>
    <w:rsid w:val="003A68C5"/>
    <w:rsid w:val="003A79D2"/>
    <w:rsid w:val="003B27B0"/>
    <w:rsid w:val="003B2894"/>
    <w:rsid w:val="003B40C8"/>
    <w:rsid w:val="003B40D8"/>
    <w:rsid w:val="003B680E"/>
    <w:rsid w:val="003B7321"/>
    <w:rsid w:val="003C545E"/>
    <w:rsid w:val="003D0AA3"/>
    <w:rsid w:val="003D28F0"/>
    <w:rsid w:val="003D388B"/>
    <w:rsid w:val="003D60C6"/>
    <w:rsid w:val="003D7143"/>
    <w:rsid w:val="003D7981"/>
    <w:rsid w:val="003E1644"/>
    <w:rsid w:val="003E1B86"/>
    <w:rsid w:val="003E783D"/>
    <w:rsid w:val="003F135C"/>
    <w:rsid w:val="003F6951"/>
    <w:rsid w:val="00400552"/>
    <w:rsid w:val="004029BD"/>
    <w:rsid w:val="00403996"/>
    <w:rsid w:val="00404C24"/>
    <w:rsid w:val="004126C1"/>
    <w:rsid w:val="00413058"/>
    <w:rsid w:val="00416599"/>
    <w:rsid w:val="00417194"/>
    <w:rsid w:val="00423CAE"/>
    <w:rsid w:val="00424D79"/>
    <w:rsid w:val="004338E6"/>
    <w:rsid w:val="00435540"/>
    <w:rsid w:val="00442D73"/>
    <w:rsid w:val="004476BD"/>
    <w:rsid w:val="004519C4"/>
    <w:rsid w:val="00453AE2"/>
    <w:rsid w:val="004552E6"/>
    <w:rsid w:val="00460B25"/>
    <w:rsid w:val="00460D41"/>
    <w:rsid w:val="00465F15"/>
    <w:rsid w:val="0046651E"/>
    <w:rsid w:val="0046762B"/>
    <w:rsid w:val="00472F0C"/>
    <w:rsid w:val="00477748"/>
    <w:rsid w:val="004816E0"/>
    <w:rsid w:val="004830B4"/>
    <w:rsid w:val="00483980"/>
    <w:rsid w:val="00485AA1"/>
    <w:rsid w:val="004872D2"/>
    <w:rsid w:val="004934DD"/>
    <w:rsid w:val="004A1687"/>
    <w:rsid w:val="004A2D94"/>
    <w:rsid w:val="004A3AE6"/>
    <w:rsid w:val="004A6F9D"/>
    <w:rsid w:val="004A7F3D"/>
    <w:rsid w:val="004B273A"/>
    <w:rsid w:val="004B74CC"/>
    <w:rsid w:val="004C165E"/>
    <w:rsid w:val="004C2940"/>
    <w:rsid w:val="004C2BE2"/>
    <w:rsid w:val="004C607A"/>
    <w:rsid w:val="004C726B"/>
    <w:rsid w:val="004D0F8F"/>
    <w:rsid w:val="004D1E74"/>
    <w:rsid w:val="004D2476"/>
    <w:rsid w:val="004D291F"/>
    <w:rsid w:val="004D3770"/>
    <w:rsid w:val="004D6793"/>
    <w:rsid w:val="004D70CF"/>
    <w:rsid w:val="004D7776"/>
    <w:rsid w:val="004E09C5"/>
    <w:rsid w:val="004E1824"/>
    <w:rsid w:val="004E2C8C"/>
    <w:rsid w:val="004E4E47"/>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6CE4"/>
    <w:rsid w:val="00526E9F"/>
    <w:rsid w:val="00530784"/>
    <w:rsid w:val="0053292C"/>
    <w:rsid w:val="00532BFA"/>
    <w:rsid w:val="00537902"/>
    <w:rsid w:val="00537DA0"/>
    <w:rsid w:val="00540EA8"/>
    <w:rsid w:val="00545FB1"/>
    <w:rsid w:val="005477BF"/>
    <w:rsid w:val="005503BB"/>
    <w:rsid w:val="00552BBB"/>
    <w:rsid w:val="00562928"/>
    <w:rsid w:val="005676E5"/>
    <w:rsid w:val="00572CA8"/>
    <w:rsid w:val="0057646E"/>
    <w:rsid w:val="00582644"/>
    <w:rsid w:val="005860CF"/>
    <w:rsid w:val="00587635"/>
    <w:rsid w:val="005879C5"/>
    <w:rsid w:val="00592C18"/>
    <w:rsid w:val="005931DB"/>
    <w:rsid w:val="0059333D"/>
    <w:rsid w:val="00595471"/>
    <w:rsid w:val="005A1FD4"/>
    <w:rsid w:val="005A7D30"/>
    <w:rsid w:val="005B0CC0"/>
    <w:rsid w:val="005B291F"/>
    <w:rsid w:val="005B77D8"/>
    <w:rsid w:val="005C14BD"/>
    <w:rsid w:val="005C1847"/>
    <w:rsid w:val="005C45B5"/>
    <w:rsid w:val="005D15A2"/>
    <w:rsid w:val="005D1EFF"/>
    <w:rsid w:val="005D4092"/>
    <w:rsid w:val="005D740A"/>
    <w:rsid w:val="005D7978"/>
    <w:rsid w:val="005E04EB"/>
    <w:rsid w:val="005E2A09"/>
    <w:rsid w:val="005E5113"/>
    <w:rsid w:val="005E7251"/>
    <w:rsid w:val="005F1770"/>
    <w:rsid w:val="005F5923"/>
    <w:rsid w:val="005F5EA6"/>
    <w:rsid w:val="005F72F8"/>
    <w:rsid w:val="0060406F"/>
    <w:rsid w:val="00607041"/>
    <w:rsid w:val="006070BC"/>
    <w:rsid w:val="00607A5A"/>
    <w:rsid w:val="00612309"/>
    <w:rsid w:val="00612E83"/>
    <w:rsid w:val="0061433D"/>
    <w:rsid w:val="00617067"/>
    <w:rsid w:val="006172BA"/>
    <w:rsid w:val="00621321"/>
    <w:rsid w:val="00623889"/>
    <w:rsid w:val="00625E25"/>
    <w:rsid w:val="00631EB5"/>
    <w:rsid w:val="00634505"/>
    <w:rsid w:val="00635948"/>
    <w:rsid w:val="00640655"/>
    <w:rsid w:val="00641DCF"/>
    <w:rsid w:val="00642D57"/>
    <w:rsid w:val="00644EA4"/>
    <w:rsid w:val="006519ED"/>
    <w:rsid w:val="00651EEC"/>
    <w:rsid w:val="006522D2"/>
    <w:rsid w:val="006531AA"/>
    <w:rsid w:val="006536A8"/>
    <w:rsid w:val="00654BE7"/>
    <w:rsid w:val="00655E74"/>
    <w:rsid w:val="0065630D"/>
    <w:rsid w:val="00661F87"/>
    <w:rsid w:val="0066521C"/>
    <w:rsid w:val="00665FFE"/>
    <w:rsid w:val="006673DC"/>
    <w:rsid w:val="00670037"/>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B2B"/>
    <w:rsid w:val="006B4D5E"/>
    <w:rsid w:val="006B5308"/>
    <w:rsid w:val="006B6EFE"/>
    <w:rsid w:val="006B7820"/>
    <w:rsid w:val="006B7E15"/>
    <w:rsid w:val="006C03E1"/>
    <w:rsid w:val="006C5A52"/>
    <w:rsid w:val="006C67F9"/>
    <w:rsid w:val="006D37C6"/>
    <w:rsid w:val="006D6E5F"/>
    <w:rsid w:val="006E2D06"/>
    <w:rsid w:val="006E423C"/>
    <w:rsid w:val="006E5E65"/>
    <w:rsid w:val="006E5F2D"/>
    <w:rsid w:val="006E735E"/>
    <w:rsid w:val="006F412C"/>
    <w:rsid w:val="006F7476"/>
    <w:rsid w:val="00703F29"/>
    <w:rsid w:val="0070647D"/>
    <w:rsid w:val="00707F49"/>
    <w:rsid w:val="007103CD"/>
    <w:rsid w:val="0071347D"/>
    <w:rsid w:val="00716101"/>
    <w:rsid w:val="007228F3"/>
    <w:rsid w:val="0072469F"/>
    <w:rsid w:val="00724DBD"/>
    <w:rsid w:val="00724E74"/>
    <w:rsid w:val="00724FDA"/>
    <w:rsid w:val="00725A5B"/>
    <w:rsid w:val="00726E32"/>
    <w:rsid w:val="00732A1D"/>
    <w:rsid w:val="00734823"/>
    <w:rsid w:val="00734B3E"/>
    <w:rsid w:val="007369C0"/>
    <w:rsid w:val="00743329"/>
    <w:rsid w:val="0074333C"/>
    <w:rsid w:val="00745E54"/>
    <w:rsid w:val="00745EF8"/>
    <w:rsid w:val="00746645"/>
    <w:rsid w:val="00753520"/>
    <w:rsid w:val="00762DDD"/>
    <w:rsid w:val="007630CB"/>
    <w:rsid w:val="00765740"/>
    <w:rsid w:val="00767169"/>
    <w:rsid w:val="007671DB"/>
    <w:rsid w:val="0076748C"/>
    <w:rsid w:val="00771419"/>
    <w:rsid w:val="00772CB8"/>
    <w:rsid w:val="00774866"/>
    <w:rsid w:val="007754F1"/>
    <w:rsid w:val="00776B21"/>
    <w:rsid w:val="00777998"/>
    <w:rsid w:val="00780E39"/>
    <w:rsid w:val="0078101A"/>
    <w:rsid w:val="00782B2E"/>
    <w:rsid w:val="00783773"/>
    <w:rsid w:val="00786B49"/>
    <w:rsid w:val="007901C9"/>
    <w:rsid w:val="00790650"/>
    <w:rsid w:val="007938B1"/>
    <w:rsid w:val="00796549"/>
    <w:rsid w:val="007965D0"/>
    <w:rsid w:val="00796954"/>
    <w:rsid w:val="007A1B15"/>
    <w:rsid w:val="007A67A2"/>
    <w:rsid w:val="007A6CD6"/>
    <w:rsid w:val="007A7E08"/>
    <w:rsid w:val="007B1FC0"/>
    <w:rsid w:val="007B473E"/>
    <w:rsid w:val="007B6AFE"/>
    <w:rsid w:val="007C1F63"/>
    <w:rsid w:val="007C2200"/>
    <w:rsid w:val="007C2FEC"/>
    <w:rsid w:val="007C5B4A"/>
    <w:rsid w:val="007C7C08"/>
    <w:rsid w:val="007D07AE"/>
    <w:rsid w:val="007D0851"/>
    <w:rsid w:val="007D1AD7"/>
    <w:rsid w:val="007D4F85"/>
    <w:rsid w:val="007D6EAE"/>
    <w:rsid w:val="007D7C5E"/>
    <w:rsid w:val="007E36C5"/>
    <w:rsid w:val="007F2A58"/>
    <w:rsid w:val="007F36FF"/>
    <w:rsid w:val="007F5822"/>
    <w:rsid w:val="007F5BA4"/>
    <w:rsid w:val="007F5CA9"/>
    <w:rsid w:val="007F5F3D"/>
    <w:rsid w:val="007F6823"/>
    <w:rsid w:val="007F6CED"/>
    <w:rsid w:val="007F7541"/>
    <w:rsid w:val="00801EFE"/>
    <w:rsid w:val="00804C75"/>
    <w:rsid w:val="008054EA"/>
    <w:rsid w:val="008066F5"/>
    <w:rsid w:val="00807540"/>
    <w:rsid w:val="0080767B"/>
    <w:rsid w:val="0081570E"/>
    <w:rsid w:val="00820280"/>
    <w:rsid w:val="0082238E"/>
    <w:rsid w:val="008229E9"/>
    <w:rsid w:val="00822AC5"/>
    <w:rsid w:val="00822E9C"/>
    <w:rsid w:val="00827C6F"/>
    <w:rsid w:val="00831176"/>
    <w:rsid w:val="00831874"/>
    <w:rsid w:val="00831C97"/>
    <w:rsid w:val="008336C2"/>
    <w:rsid w:val="008340E1"/>
    <w:rsid w:val="00840E21"/>
    <w:rsid w:val="00840FF3"/>
    <w:rsid w:val="008412EF"/>
    <w:rsid w:val="0084366B"/>
    <w:rsid w:val="00845B26"/>
    <w:rsid w:val="00846178"/>
    <w:rsid w:val="00846D0B"/>
    <w:rsid w:val="00846F09"/>
    <w:rsid w:val="00847495"/>
    <w:rsid w:val="0084755C"/>
    <w:rsid w:val="00847722"/>
    <w:rsid w:val="008477B5"/>
    <w:rsid w:val="008512CD"/>
    <w:rsid w:val="00853A48"/>
    <w:rsid w:val="00857A01"/>
    <w:rsid w:val="00857D6A"/>
    <w:rsid w:val="00860B50"/>
    <w:rsid w:val="0086107A"/>
    <w:rsid w:val="00863DA2"/>
    <w:rsid w:val="00864BD9"/>
    <w:rsid w:val="00867A1C"/>
    <w:rsid w:val="00867EE1"/>
    <w:rsid w:val="00870689"/>
    <w:rsid w:val="00872D1D"/>
    <w:rsid w:val="00874CF0"/>
    <w:rsid w:val="00876E66"/>
    <w:rsid w:val="00882580"/>
    <w:rsid w:val="00882689"/>
    <w:rsid w:val="00883753"/>
    <w:rsid w:val="00884D96"/>
    <w:rsid w:val="00886753"/>
    <w:rsid w:val="008912A4"/>
    <w:rsid w:val="008949B2"/>
    <w:rsid w:val="00894F6F"/>
    <w:rsid w:val="00897B8F"/>
    <w:rsid w:val="008A1113"/>
    <w:rsid w:val="008A1EA2"/>
    <w:rsid w:val="008A3A81"/>
    <w:rsid w:val="008A5A32"/>
    <w:rsid w:val="008B46FE"/>
    <w:rsid w:val="008B6C3E"/>
    <w:rsid w:val="008C134C"/>
    <w:rsid w:val="008C247B"/>
    <w:rsid w:val="008C4873"/>
    <w:rsid w:val="008C52DD"/>
    <w:rsid w:val="008C56CC"/>
    <w:rsid w:val="008C5EF3"/>
    <w:rsid w:val="008C7712"/>
    <w:rsid w:val="008D52B4"/>
    <w:rsid w:val="008E3E95"/>
    <w:rsid w:val="008E55A2"/>
    <w:rsid w:val="008E59EE"/>
    <w:rsid w:val="008F2B5F"/>
    <w:rsid w:val="008F3C46"/>
    <w:rsid w:val="0090358A"/>
    <w:rsid w:val="009062D4"/>
    <w:rsid w:val="009063A1"/>
    <w:rsid w:val="009113F1"/>
    <w:rsid w:val="00912E8A"/>
    <w:rsid w:val="00914B97"/>
    <w:rsid w:val="009166BB"/>
    <w:rsid w:val="009213F9"/>
    <w:rsid w:val="009265C7"/>
    <w:rsid w:val="00926F53"/>
    <w:rsid w:val="00930D41"/>
    <w:rsid w:val="0093750F"/>
    <w:rsid w:val="00941196"/>
    <w:rsid w:val="00944E4D"/>
    <w:rsid w:val="009505CD"/>
    <w:rsid w:val="00950630"/>
    <w:rsid w:val="0095234E"/>
    <w:rsid w:val="00952689"/>
    <w:rsid w:val="00957204"/>
    <w:rsid w:val="00960085"/>
    <w:rsid w:val="00960E18"/>
    <w:rsid w:val="009617F0"/>
    <w:rsid w:val="00961A53"/>
    <w:rsid w:val="00963314"/>
    <w:rsid w:val="00963ABB"/>
    <w:rsid w:val="009656EF"/>
    <w:rsid w:val="009671C0"/>
    <w:rsid w:val="00973441"/>
    <w:rsid w:val="00975737"/>
    <w:rsid w:val="00976610"/>
    <w:rsid w:val="009767A1"/>
    <w:rsid w:val="009769F7"/>
    <w:rsid w:val="009779F2"/>
    <w:rsid w:val="0098308C"/>
    <w:rsid w:val="00983BDB"/>
    <w:rsid w:val="0098585E"/>
    <w:rsid w:val="00987290"/>
    <w:rsid w:val="0098757B"/>
    <w:rsid w:val="00990A22"/>
    <w:rsid w:val="00993F76"/>
    <w:rsid w:val="009A072F"/>
    <w:rsid w:val="009A3C2C"/>
    <w:rsid w:val="009A4064"/>
    <w:rsid w:val="009A7758"/>
    <w:rsid w:val="009B3C2B"/>
    <w:rsid w:val="009B52E3"/>
    <w:rsid w:val="009C0AF2"/>
    <w:rsid w:val="009C2D13"/>
    <w:rsid w:val="009C3C72"/>
    <w:rsid w:val="009C4585"/>
    <w:rsid w:val="009D2BFC"/>
    <w:rsid w:val="009D54DD"/>
    <w:rsid w:val="009D5BF3"/>
    <w:rsid w:val="009E2D65"/>
    <w:rsid w:val="009E540F"/>
    <w:rsid w:val="009F29CA"/>
    <w:rsid w:val="009F31D7"/>
    <w:rsid w:val="009F7005"/>
    <w:rsid w:val="009F75DA"/>
    <w:rsid w:val="009F7EA4"/>
    <w:rsid w:val="00A017D9"/>
    <w:rsid w:val="00A01DBB"/>
    <w:rsid w:val="00A0277C"/>
    <w:rsid w:val="00A02C37"/>
    <w:rsid w:val="00A033EB"/>
    <w:rsid w:val="00A0367E"/>
    <w:rsid w:val="00A0462F"/>
    <w:rsid w:val="00A06162"/>
    <w:rsid w:val="00A06391"/>
    <w:rsid w:val="00A07BA2"/>
    <w:rsid w:val="00A11E14"/>
    <w:rsid w:val="00A12875"/>
    <w:rsid w:val="00A12976"/>
    <w:rsid w:val="00A12B06"/>
    <w:rsid w:val="00A12E80"/>
    <w:rsid w:val="00A14908"/>
    <w:rsid w:val="00A159EF"/>
    <w:rsid w:val="00A22351"/>
    <w:rsid w:val="00A23327"/>
    <w:rsid w:val="00A24554"/>
    <w:rsid w:val="00A24DED"/>
    <w:rsid w:val="00A30158"/>
    <w:rsid w:val="00A30F38"/>
    <w:rsid w:val="00A32334"/>
    <w:rsid w:val="00A33D4A"/>
    <w:rsid w:val="00A35876"/>
    <w:rsid w:val="00A3722F"/>
    <w:rsid w:val="00A408F6"/>
    <w:rsid w:val="00A43BD4"/>
    <w:rsid w:val="00A44FBB"/>
    <w:rsid w:val="00A46F0C"/>
    <w:rsid w:val="00A530EF"/>
    <w:rsid w:val="00A54828"/>
    <w:rsid w:val="00A56118"/>
    <w:rsid w:val="00A576C5"/>
    <w:rsid w:val="00A63460"/>
    <w:rsid w:val="00A6382E"/>
    <w:rsid w:val="00A65876"/>
    <w:rsid w:val="00A65949"/>
    <w:rsid w:val="00A65A0D"/>
    <w:rsid w:val="00A65D18"/>
    <w:rsid w:val="00A71E55"/>
    <w:rsid w:val="00A72607"/>
    <w:rsid w:val="00A74768"/>
    <w:rsid w:val="00A75297"/>
    <w:rsid w:val="00A8323D"/>
    <w:rsid w:val="00A8328A"/>
    <w:rsid w:val="00A9111F"/>
    <w:rsid w:val="00A94E21"/>
    <w:rsid w:val="00A94F79"/>
    <w:rsid w:val="00A95124"/>
    <w:rsid w:val="00AA02CF"/>
    <w:rsid w:val="00AA0749"/>
    <w:rsid w:val="00AA07A7"/>
    <w:rsid w:val="00AA16BF"/>
    <w:rsid w:val="00AA2758"/>
    <w:rsid w:val="00AA3035"/>
    <w:rsid w:val="00AA3571"/>
    <w:rsid w:val="00AA447B"/>
    <w:rsid w:val="00AA7100"/>
    <w:rsid w:val="00AB07EC"/>
    <w:rsid w:val="00AB1F61"/>
    <w:rsid w:val="00AB2BB7"/>
    <w:rsid w:val="00AB395E"/>
    <w:rsid w:val="00AB3CCF"/>
    <w:rsid w:val="00AB65A8"/>
    <w:rsid w:val="00AB7614"/>
    <w:rsid w:val="00AC358D"/>
    <w:rsid w:val="00AC36D2"/>
    <w:rsid w:val="00AC3BC9"/>
    <w:rsid w:val="00AD4CB3"/>
    <w:rsid w:val="00AE05A8"/>
    <w:rsid w:val="00AE070D"/>
    <w:rsid w:val="00AE1F43"/>
    <w:rsid w:val="00AE21D1"/>
    <w:rsid w:val="00AE58C1"/>
    <w:rsid w:val="00AE6177"/>
    <w:rsid w:val="00AF1B1D"/>
    <w:rsid w:val="00AF2181"/>
    <w:rsid w:val="00AF4D92"/>
    <w:rsid w:val="00AF5605"/>
    <w:rsid w:val="00AF69D4"/>
    <w:rsid w:val="00AF6ED1"/>
    <w:rsid w:val="00AF76C6"/>
    <w:rsid w:val="00B009EB"/>
    <w:rsid w:val="00B03B4C"/>
    <w:rsid w:val="00B074A9"/>
    <w:rsid w:val="00B10DB9"/>
    <w:rsid w:val="00B215A1"/>
    <w:rsid w:val="00B2163A"/>
    <w:rsid w:val="00B21AD8"/>
    <w:rsid w:val="00B2401B"/>
    <w:rsid w:val="00B24EDD"/>
    <w:rsid w:val="00B30ADA"/>
    <w:rsid w:val="00B31392"/>
    <w:rsid w:val="00B329A0"/>
    <w:rsid w:val="00B40106"/>
    <w:rsid w:val="00B40BDF"/>
    <w:rsid w:val="00B44137"/>
    <w:rsid w:val="00B44F21"/>
    <w:rsid w:val="00B46E73"/>
    <w:rsid w:val="00B5391F"/>
    <w:rsid w:val="00B5543C"/>
    <w:rsid w:val="00B61000"/>
    <w:rsid w:val="00B62441"/>
    <w:rsid w:val="00B727D7"/>
    <w:rsid w:val="00B7560F"/>
    <w:rsid w:val="00B83984"/>
    <w:rsid w:val="00B83D40"/>
    <w:rsid w:val="00B84475"/>
    <w:rsid w:val="00B856B2"/>
    <w:rsid w:val="00B86408"/>
    <w:rsid w:val="00B86ED3"/>
    <w:rsid w:val="00B91A92"/>
    <w:rsid w:val="00B95691"/>
    <w:rsid w:val="00BA0057"/>
    <w:rsid w:val="00BA363A"/>
    <w:rsid w:val="00BA5B5A"/>
    <w:rsid w:val="00BA631C"/>
    <w:rsid w:val="00BA77BA"/>
    <w:rsid w:val="00BB02CE"/>
    <w:rsid w:val="00BB122B"/>
    <w:rsid w:val="00BB1B7C"/>
    <w:rsid w:val="00BB4D93"/>
    <w:rsid w:val="00BB66C8"/>
    <w:rsid w:val="00BC3951"/>
    <w:rsid w:val="00BC6572"/>
    <w:rsid w:val="00BC7001"/>
    <w:rsid w:val="00BD1146"/>
    <w:rsid w:val="00BD50A2"/>
    <w:rsid w:val="00BD5454"/>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48F3"/>
    <w:rsid w:val="00C0546A"/>
    <w:rsid w:val="00C0667B"/>
    <w:rsid w:val="00C06DC9"/>
    <w:rsid w:val="00C07556"/>
    <w:rsid w:val="00C1223E"/>
    <w:rsid w:val="00C22A3E"/>
    <w:rsid w:val="00C26448"/>
    <w:rsid w:val="00C3733A"/>
    <w:rsid w:val="00C40083"/>
    <w:rsid w:val="00C448FA"/>
    <w:rsid w:val="00C478C6"/>
    <w:rsid w:val="00C47A14"/>
    <w:rsid w:val="00C50A60"/>
    <w:rsid w:val="00C50D1A"/>
    <w:rsid w:val="00C53F53"/>
    <w:rsid w:val="00C71596"/>
    <w:rsid w:val="00C71DE4"/>
    <w:rsid w:val="00C731A9"/>
    <w:rsid w:val="00C76976"/>
    <w:rsid w:val="00C76AEE"/>
    <w:rsid w:val="00C779F7"/>
    <w:rsid w:val="00C82062"/>
    <w:rsid w:val="00C8469C"/>
    <w:rsid w:val="00C84BDB"/>
    <w:rsid w:val="00C84C28"/>
    <w:rsid w:val="00C90A47"/>
    <w:rsid w:val="00C90E4F"/>
    <w:rsid w:val="00CA20D5"/>
    <w:rsid w:val="00CA3A25"/>
    <w:rsid w:val="00CB1177"/>
    <w:rsid w:val="00CB1FFE"/>
    <w:rsid w:val="00CB3CD5"/>
    <w:rsid w:val="00CC41C1"/>
    <w:rsid w:val="00CD2A3B"/>
    <w:rsid w:val="00CD6918"/>
    <w:rsid w:val="00CD6C6D"/>
    <w:rsid w:val="00CE2A91"/>
    <w:rsid w:val="00CF5529"/>
    <w:rsid w:val="00CF5E4D"/>
    <w:rsid w:val="00CF6ABE"/>
    <w:rsid w:val="00CF75BF"/>
    <w:rsid w:val="00CF78F3"/>
    <w:rsid w:val="00CF78FB"/>
    <w:rsid w:val="00D1012A"/>
    <w:rsid w:val="00D10582"/>
    <w:rsid w:val="00D1331B"/>
    <w:rsid w:val="00D136A5"/>
    <w:rsid w:val="00D13C5E"/>
    <w:rsid w:val="00D21D3A"/>
    <w:rsid w:val="00D2298A"/>
    <w:rsid w:val="00D26255"/>
    <w:rsid w:val="00D2716D"/>
    <w:rsid w:val="00D27FD9"/>
    <w:rsid w:val="00D3074D"/>
    <w:rsid w:val="00D316F2"/>
    <w:rsid w:val="00D333A9"/>
    <w:rsid w:val="00D43EF3"/>
    <w:rsid w:val="00D445C6"/>
    <w:rsid w:val="00D46ABF"/>
    <w:rsid w:val="00D4795B"/>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81C84"/>
    <w:rsid w:val="00D828C0"/>
    <w:rsid w:val="00D82FF2"/>
    <w:rsid w:val="00D86ECD"/>
    <w:rsid w:val="00D871C9"/>
    <w:rsid w:val="00D87B1F"/>
    <w:rsid w:val="00D91BE8"/>
    <w:rsid w:val="00D93629"/>
    <w:rsid w:val="00D93AF5"/>
    <w:rsid w:val="00D94174"/>
    <w:rsid w:val="00D972FD"/>
    <w:rsid w:val="00D977E0"/>
    <w:rsid w:val="00DA014C"/>
    <w:rsid w:val="00DA25C5"/>
    <w:rsid w:val="00DA3FB2"/>
    <w:rsid w:val="00DA40E3"/>
    <w:rsid w:val="00DA411D"/>
    <w:rsid w:val="00DA45BA"/>
    <w:rsid w:val="00DA4D21"/>
    <w:rsid w:val="00DA7A29"/>
    <w:rsid w:val="00DB50E7"/>
    <w:rsid w:val="00DC0CF5"/>
    <w:rsid w:val="00DC2D63"/>
    <w:rsid w:val="00DC5515"/>
    <w:rsid w:val="00DD20C5"/>
    <w:rsid w:val="00DD524A"/>
    <w:rsid w:val="00DD7147"/>
    <w:rsid w:val="00DE1AE6"/>
    <w:rsid w:val="00DE3111"/>
    <w:rsid w:val="00DE69DC"/>
    <w:rsid w:val="00DF0053"/>
    <w:rsid w:val="00DF04EC"/>
    <w:rsid w:val="00DF0AA1"/>
    <w:rsid w:val="00DF154D"/>
    <w:rsid w:val="00DF1865"/>
    <w:rsid w:val="00E008F2"/>
    <w:rsid w:val="00E04747"/>
    <w:rsid w:val="00E14850"/>
    <w:rsid w:val="00E166D4"/>
    <w:rsid w:val="00E16C25"/>
    <w:rsid w:val="00E252EC"/>
    <w:rsid w:val="00E2662B"/>
    <w:rsid w:val="00E41BA1"/>
    <w:rsid w:val="00E4243E"/>
    <w:rsid w:val="00E434FE"/>
    <w:rsid w:val="00E44469"/>
    <w:rsid w:val="00E45453"/>
    <w:rsid w:val="00E4612D"/>
    <w:rsid w:val="00E47ABE"/>
    <w:rsid w:val="00E60B35"/>
    <w:rsid w:val="00E633F8"/>
    <w:rsid w:val="00E63444"/>
    <w:rsid w:val="00E66035"/>
    <w:rsid w:val="00E67344"/>
    <w:rsid w:val="00E7048B"/>
    <w:rsid w:val="00E72EE5"/>
    <w:rsid w:val="00E73956"/>
    <w:rsid w:val="00E73BB0"/>
    <w:rsid w:val="00E74112"/>
    <w:rsid w:val="00E7454E"/>
    <w:rsid w:val="00E74DCB"/>
    <w:rsid w:val="00E764E1"/>
    <w:rsid w:val="00E80332"/>
    <w:rsid w:val="00E8274B"/>
    <w:rsid w:val="00E833E0"/>
    <w:rsid w:val="00E8682D"/>
    <w:rsid w:val="00E92B6B"/>
    <w:rsid w:val="00E93E71"/>
    <w:rsid w:val="00E9512F"/>
    <w:rsid w:val="00EA03CA"/>
    <w:rsid w:val="00EA05EB"/>
    <w:rsid w:val="00EA09AF"/>
    <w:rsid w:val="00EA3906"/>
    <w:rsid w:val="00EA4786"/>
    <w:rsid w:val="00EA6EBF"/>
    <w:rsid w:val="00EA7D6A"/>
    <w:rsid w:val="00EB05CF"/>
    <w:rsid w:val="00EB3361"/>
    <w:rsid w:val="00EB371B"/>
    <w:rsid w:val="00EC1B56"/>
    <w:rsid w:val="00EC2C0B"/>
    <w:rsid w:val="00EC3500"/>
    <w:rsid w:val="00EC674B"/>
    <w:rsid w:val="00EC7711"/>
    <w:rsid w:val="00ED17BE"/>
    <w:rsid w:val="00ED2770"/>
    <w:rsid w:val="00ED6C87"/>
    <w:rsid w:val="00ED6E6A"/>
    <w:rsid w:val="00ED74D7"/>
    <w:rsid w:val="00ED791B"/>
    <w:rsid w:val="00EE257B"/>
    <w:rsid w:val="00EE558E"/>
    <w:rsid w:val="00EE6D76"/>
    <w:rsid w:val="00EF1599"/>
    <w:rsid w:val="00EF1CA9"/>
    <w:rsid w:val="00EF1F8E"/>
    <w:rsid w:val="00EF2F3F"/>
    <w:rsid w:val="00EF3B9D"/>
    <w:rsid w:val="00EF59E3"/>
    <w:rsid w:val="00EF73D5"/>
    <w:rsid w:val="00F00365"/>
    <w:rsid w:val="00F01190"/>
    <w:rsid w:val="00F07C3E"/>
    <w:rsid w:val="00F12A2A"/>
    <w:rsid w:val="00F1790F"/>
    <w:rsid w:val="00F21E58"/>
    <w:rsid w:val="00F25C44"/>
    <w:rsid w:val="00F335B6"/>
    <w:rsid w:val="00F34438"/>
    <w:rsid w:val="00F357BB"/>
    <w:rsid w:val="00F4234F"/>
    <w:rsid w:val="00F42EC2"/>
    <w:rsid w:val="00F45D05"/>
    <w:rsid w:val="00F47891"/>
    <w:rsid w:val="00F552E4"/>
    <w:rsid w:val="00F55CE0"/>
    <w:rsid w:val="00F57B4A"/>
    <w:rsid w:val="00F608E9"/>
    <w:rsid w:val="00F627D2"/>
    <w:rsid w:val="00F66786"/>
    <w:rsid w:val="00F67A16"/>
    <w:rsid w:val="00F67AB3"/>
    <w:rsid w:val="00F7063E"/>
    <w:rsid w:val="00F728CE"/>
    <w:rsid w:val="00F775E5"/>
    <w:rsid w:val="00F85F01"/>
    <w:rsid w:val="00F86C98"/>
    <w:rsid w:val="00F90C95"/>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3E27"/>
    <w:rsid w:val="00FD4B29"/>
    <w:rsid w:val="00FD4B3C"/>
    <w:rsid w:val="00FD567D"/>
    <w:rsid w:val="00FD6B87"/>
    <w:rsid w:val="00FD6D2A"/>
    <w:rsid w:val="00FD7943"/>
    <w:rsid w:val="00FD7C32"/>
    <w:rsid w:val="00FE2D4A"/>
    <w:rsid w:val="00FE31B0"/>
    <w:rsid w:val="00FE3F19"/>
    <w:rsid w:val="00FE4B5B"/>
    <w:rsid w:val="00FE7BCB"/>
    <w:rsid w:val="00FF05DF"/>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link w:val="FootnoteTextChar"/>
    <w:uiPriority w:val="99"/>
    <w:semiHidden/>
    <w:rsid w:val="000C6396"/>
    <w:rPr>
      <w:lang w:val="ro-RO" w:eastAsia="en-US"/>
    </w:rPr>
  </w:style>
  <w:style w:type="character" w:styleId="FootnoteReference">
    <w:name w:val="footnote reference"/>
    <w:uiPriority w:val="99"/>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qFormat/>
    <w:rsid w:val="000037BC"/>
    <w:pPr>
      <w:ind w:left="720"/>
      <w:contextualSpacing/>
    </w:pPr>
  </w:style>
  <w:style w:type="character" w:customStyle="1" w:styleId="FootnoteTextChar">
    <w:name w:val="Footnote Text Char"/>
    <w:basedOn w:val="DefaultParagraphFont"/>
    <w:link w:val="FootnoteText"/>
    <w:uiPriority w:val="99"/>
    <w:semiHidden/>
    <w:rsid w:val="002F15C9"/>
    <w:rPr>
      <w:lang w:eastAsia="en-US"/>
    </w:rPr>
  </w:style>
  <w:style w:type="character" w:customStyle="1" w:styleId="apple-converted-space">
    <w:name w:val="apple-converted-space"/>
    <w:basedOn w:val="DefaultParagraphFont"/>
    <w:rsid w:val="00F7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link w:val="FootnoteTextChar"/>
    <w:uiPriority w:val="99"/>
    <w:semiHidden/>
    <w:rsid w:val="000C6396"/>
    <w:rPr>
      <w:lang w:val="ro-RO" w:eastAsia="en-US"/>
    </w:rPr>
  </w:style>
  <w:style w:type="character" w:styleId="FootnoteReference">
    <w:name w:val="footnote reference"/>
    <w:uiPriority w:val="99"/>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qFormat/>
    <w:rsid w:val="000037BC"/>
    <w:pPr>
      <w:ind w:left="720"/>
      <w:contextualSpacing/>
    </w:pPr>
  </w:style>
  <w:style w:type="character" w:customStyle="1" w:styleId="FootnoteTextChar">
    <w:name w:val="Footnote Text Char"/>
    <w:basedOn w:val="DefaultParagraphFont"/>
    <w:link w:val="FootnoteText"/>
    <w:uiPriority w:val="99"/>
    <w:semiHidden/>
    <w:rsid w:val="002F15C9"/>
    <w:rPr>
      <w:lang w:eastAsia="en-US"/>
    </w:rPr>
  </w:style>
  <w:style w:type="character" w:customStyle="1" w:styleId="apple-converted-space">
    <w:name w:val="apple-converted-space"/>
    <w:basedOn w:val="DefaultParagraphFont"/>
    <w:rsid w:val="00F7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hyperlink" Target="http://idrept.ro/DocumentView.aspx?DocumentId=00141121" TargetMode="Externa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idrept.ro/DocumentView.aspx?DocumentId=00141121" TargetMode="Externa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idrept.ro/DocumentView.aspx?DocumentId=00141121" TargetMode="Externa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8.xml"/><Relationship Id="rId44" Type="http://schemas.openxmlformats.org/officeDocument/2006/relationships/hyperlink" Target="http://lege5.ro/Gratuit/gi2tqmjzgq/legea-nr-104-2011-privind-calitatea-aerului-inconjurator?pid=56519009&amp;d=2016-08-16"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http://idrept.ro/DocumentView.aspx?DocumentId=00141121" TargetMode="Externa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yperlink" Target="http://lege5.ro/Gratuit/g43diobvga/ordinul-nr-1206-2015-pentru-aprobarea-listelor-cu-unitatile-administrativ-teritoriale-intocmite-in-urma-incadrarii-in-regimuri-de-gestionare-a-ariilor-din-zonele-si-aglomerarile-prevazute-in-anexa-nr-?pid=82312046&amp;d=2016-08-16"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Mutare\Documente\Anuar\anuar%202015\CO%20medii%20anuale.xls"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NO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dPt>
          <c:dPt>
            <c:idx val="2"/>
            <c:invertIfNegative val="0"/>
            <c:bubble3D val="0"/>
          </c:dPt>
          <c:cat>
            <c:strRef>
              <c:f>Sheet1!$B$1:$D$1</c:f>
              <c:strCache>
                <c:ptCount val="3"/>
                <c:pt idx="0">
                  <c:v>GJ-1</c:v>
                </c:pt>
                <c:pt idx="1">
                  <c:v>GJ-2</c:v>
                </c:pt>
                <c:pt idx="2">
                  <c:v>GJ-3</c:v>
                </c:pt>
              </c:strCache>
            </c:strRef>
          </c:cat>
          <c:val>
            <c:numRef>
              <c:f>Sheet1!$B$2:$D$2</c:f>
              <c:numCache>
                <c:formatCode>General</c:formatCode>
                <c:ptCount val="3"/>
                <c:pt idx="0">
                  <c:v>7.21</c:v>
                </c:pt>
              </c:numCache>
            </c:numRef>
          </c:val>
        </c:ser>
        <c:dLbls>
          <c:showLegendKey val="0"/>
          <c:showVal val="0"/>
          <c:showCatName val="0"/>
          <c:showSerName val="0"/>
          <c:showPercent val="0"/>
          <c:showBubbleSize val="0"/>
        </c:dLbls>
        <c:gapWidth val="150"/>
        <c:axId val="52795648"/>
        <c:axId val="52797440"/>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ser>
        <c:dLbls>
          <c:showLegendKey val="0"/>
          <c:showVal val="0"/>
          <c:showCatName val="0"/>
          <c:showSerName val="0"/>
          <c:showPercent val="0"/>
          <c:showBubbleSize val="0"/>
        </c:dLbls>
        <c:marker val="1"/>
        <c:smooth val="0"/>
        <c:axId val="52795648"/>
        <c:axId val="52797440"/>
      </c:lineChart>
      <c:catAx>
        <c:axId val="5279564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52797440"/>
        <c:crosses val="autoZero"/>
        <c:auto val="1"/>
        <c:lblAlgn val="ctr"/>
        <c:lblOffset val="100"/>
        <c:tickLblSkip val="1"/>
        <c:tickMarkSkip val="1"/>
        <c:noMultiLvlLbl val="0"/>
      </c:catAx>
      <c:valAx>
        <c:axId val="5279744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52795648"/>
        <c:crosses val="autoZero"/>
        <c:crossBetween val="between"/>
      </c:valAx>
      <c:spPr>
        <a:noFill/>
        <a:ln w="12695">
          <a:solidFill>
            <a:srgbClr val="808080"/>
          </a:solidFill>
          <a:prstDash val="solid"/>
        </a:ln>
      </c:spPr>
    </c:plotArea>
    <c:legend>
      <c:legendPos val="r"/>
      <c:layout/>
      <c:overlay val="0"/>
      <c:txPr>
        <a:bodyPr/>
        <a:lstStyle/>
        <a:p>
          <a:pPr>
            <a:defRPr sz="1100" b="0"/>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I.11. Cd</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0.35399999999999998</c:v>
                </c:pt>
                <c:pt idx="1">
                  <c:v>0.17499999999999999</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0.60740000000000005</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0.31859999999999999</c:v>
                </c:pt>
                <c:pt idx="2">
                  <c:v>0.24590000000000001</c:v>
                </c:pt>
              </c:numCache>
            </c:numRef>
          </c:val>
        </c:ser>
        <c:dLbls>
          <c:showLegendKey val="0"/>
          <c:showVal val="0"/>
          <c:showCatName val="0"/>
          <c:showSerName val="0"/>
          <c:showPercent val="0"/>
          <c:showBubbleSize val="0"/>
        </c:dLbls>
        <c:gapWidth val="150"/>
        <c:axId val="40769024"/>
        <c:axId val="40770560"/>
      </c:barChart>
      <c:catAx>
        <c:axId val="4076902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0770560"/>
        <c:crosses val="autoZero"/>
        <c:auto val="1"/>
        <c:lblAlgn val="ctr"/>
        <c:lblOffset val="100"/>
        <c:tickLblSkip val="1"/>
        <c:tickMarkSkip val="1"/>
        <c:noMultiLvlLbl val="0"/>
      </c:catAx>
      <c:valAx>
        <c:axId val="40770560"/>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0769024"/>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I.12. Ni</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0.76700000000000002</c:v>
                </c:pt>
                <c:pt idx="1">
                  <c:v>1.226</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1.1983999999999999</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1.3842000000000001</c:v>
                </c:pt>
                <c:pt idx="2">
                  <c:v>1.1315999999999999</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1.1707000000000001</c:v>
                </c:pt>
                <c:pt idx="2">
                  <c:v>1.0740000000000001</c:v>
                </c:pt>
              </c:numCache>
            </c:numRef>
          </c:val>
        </c:ser>
        <c:dLbls>
          <c:showLegendKey val="0"/>
          <c:showVal val="0"/>
          <c:showCatName val="0"/>
          <c:showSerName val="0"/>
          <c:showPercent val="0"/>
          <c:showBubbleSize val="0"/>
        </c:dLbls>
        <c:gapWidth val="150"/>
        <c:axId val="39352960"/>
        <c:axId val="39362944"/>
      </c:barChart>
      <c:catAx>
        <c:axId val="3935296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362944"/>
        <c:crosses val="autoZero"/>
        <c:auto val="1"/>
        <c:lblAlgn val="ctr"/>
        <c:lblOffset val="100"/>
        <c:tickLblSkip val="1"/>
        <c:tickMarkSkip val="1"/>
        <c:noMultiLvlLbl val="0"/>
      </c:catAx>
      <c:valAx>
        <c:axId val="39362944"/>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352960"/>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I.13. Contribuția sectoarelor de activitate din energie la emisiile de poluanți cu efect de acidifiere</a:t>
            </a:r>
          </a:p>
        </c:rich>
      </c:tx>
      <c:layout/>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99.440419629446453</c:v>
                </c:pt>
                <c:pt idx="1">
                  <c:v>0</c:v>
                </c:pt>
                <c:pt idx="2">
                  <c:v>0.55958037055354315</c:v>
                </c:pt>
                <c:pt idx="3">
                  <c:v>0</c:v>
                </c:pt>
              </c:numCache>
            </c:numRef>
          </c:val>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98.581247726611963</c:v>
                </c:pt>
                <c:pt idx="1">
                  <c:v>0</c:v>
                </c:pt>
                <c:pt idx="2">
                  <c:v>0.10730251678007965</c:v>
                </c:pt>
                <c:pt idx="3">
                  <c:v>1.3114497566079619</c:v>
                </c:pt>
              </c:numCache>
            </c:numRef>
          </c:val>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ser>
        <c:dLbls>
          <c:showLegendKey val="0"/>
          <c:showVal val="0"/>
          <c:showCatName val="0"/>
          <c:showSerName val="0"/>
          <c:showPercent val="0"/>
          <c:showBubbleSize val="0"/>
        </c:dLbls>
        <c:gapWidth val="150"/>
        <c:axId val="39434496"/>
        <c:axId val="39436288"/>
      </c:barChart>
      <c:catAx>
        <c:axId val="39434496"/>
        <c:scaling>
          <c:orientation val="minMax"/>
        </c:scaling>
        <c:delete val="0"/>
        <c:axPos val="b"/>
        <c:majorTickMark val="none"/>
        <c:minorTickMark val="none"/>
        <c:tickLblPos val="nextTo"/>
        <c:crossAx val="39436288"/>
        <c:crosses val="autoZero"/>
        <c:auto val="1"/>
        <c:lblAlgn val="ctr"/>
        <c:lblOffset val="100"/>
        <c:noMultiLvlLbl val="0"/>
      </c:catAx>
      <c:valAx>
        <c:axId val="394362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39434496"/>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I.14. Contribuția sectoarelor de activitate din energie la emisiile de poluanți precursori ai ozonului</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1.4113999219310508E-2</c:v>
                </c:pt>
                <c:pt idx="1">
                  <c:v>0.20014970432278512</c:v>
                </c:pt>
                <c:pt idx="2">
                  <c:v>0.36874006925940739</c:v>
                </c:pt>
                <c:pt idx="3">
                  <c:v>99.416996227198496</c:v>
                </c:pt>
              </c:numCache>
            </c:numRef>
          </c:val>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96.680823993054787</c:v>
                </c:pt>
                <c:pt idx="1">
                  <c:v>0.11633291461734983</c:v>
                </c:pt>
                <c:pt idx="2">
                  <c:v>0.10523396668126141</c:v>
                </c:pt>
                <c:pt idx="3">
                  <c:v>3.0976091256465956</c:v>
                </c:pt>
              </c:numCache>
            </c:numRef>
          </c:val>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1.7208745183152713E-2</c:v>
                </c:pt>
                <c:pt idx="1">
                  <c:v>0.15800602236978697</c:v>
                </c:pt>
                <c:pt idx="2">
                  <c:v>0.58137542660370556</c:v>
                </c:pt>
                <c:pt idx="3">
                  <c:v>99.243409805843356</c:v>
                </c:pt>
              </c:numCache>
            </c:numRef>
          </c:val>
        </c:ser>
        <c:dLbls>
          <c:showLegendKey val="0"/>
          <c:showVal val="0"/>
          <c:showCatName val="0"/>
          <c:showSerName val="0"/>
          <c:showPercent val="0"/>
          <c:showBubbleSize val="0"/>
        </c:dLbls>
        <c:gapWidth val="150"/>
        <c:axId val="39470976"/>
        <c:axId val="39472512"/>
      </c:barChart>
      <c:catAx>
        <c:axId val="39470976"/>
        <c:scaling>
          <c:orientation val="minMax"/>
        </c:scaling>
        <c:delete val="0"/>
        <c:axPos val="b"/>
        <c:majorTickMark val="none"/>
        <c:minorTickMark val="none"/>
        <c:tickLblPos val="nextTo"/>
        <c:crossAx val="39472512"/>
        <c:crosses val="autoZero"/>
        <c:auto val="1"/>
        <c:lblAlgn val="ctr"/>
        <c:lblOffset val="100"/>
        <c:noMultiLvlLbl val="0"/>
      </c:catAx>
      <c:valAx>
        <c:axId val="3947251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39470976"/>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particule primare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5.0616912423490375E-2</c:v>
                </c:pt>
                <c:pt idx="1">
                  <c:v>1.262498081097058E-2</c:v>
                </c:pt>
                <c:pt idx="2">
                  <c:v>0</c:v>
                </c:pt>
                <c:pt idx="3">
                  <c:v>99.936758106765538</c:v>
                </c:pt>
              </c:numCache>
            </c:numRef>
          </c:val>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9.5711090061403603E-2</c:v>
                </c:pt>
                <c:pt idx="1">
                  <c:v>1.2239738074175638E-2</c:v>
                </c:pt>
                <c:pt idx="2">
                  <c:v>4.7369346800272601E-3</c:v>
                </c:pt>
                <c:pt idx="3">
                  <c:v>99.887312237184389</c:v>
                </c:pt>
              </c:numCache>
            </c:numRef>
          </c:val>
        </c:ser>
        <c:dLbls>
          <c:showLegendKey val="0"/>
          <c:showVal val="0"/>
          <c:showCatName val="0"/>
          <c:showSerName val="0"/>
          <c:showPercent val="0"/>
          <c:showBubbleSize val="0"/>
        </c:dLbls>
        <c:gapWidth val="150"/>
        <c:axId val="71332608"/>
        <c:axId val="71334144"/>
      </c:barChart>
      <c:catAx>
        <c:axId val="71332608"/>
        <c:scaling>
          <c:orientation val="minMax"/>
        </c:scaling>
        <c:delete val="0"/>
        <c:axPos val="b"/>
        <c:majorTickMark val="none"/>
        <c:minorTickMark val="none"/>
        <c:tickLblPos val="nextTo"/>
        <c:crossAx val="71334144"/>
        <c:crosses val="autoZero"/>
        <c:auto val="1"/>
        <c:lblAlgn val="ctr"/>
        <c:lblOffset val="100"/>
        <c:noMultiLvlLbl val="0"/>
      </c:catAx>
      <c:valAx>
        <c:axId val="71334144"/>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332608"/>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1.1256069091574323</c:v>
                </c:pt>
                <c:pt idx="1">
                  <c:v>1.3107563588662685E-3</c:v>
                </c:pt>
                <c:pt idx="2">
                  <c:v>6.4349245631198828</c:v>
                </c:pt>
                <c:pt idx="3">
                  <c:v>92.438157771363819</c:v>
                </c:pt>
              </c:numCache>
            </c:numRef>
          </c:val>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0.59910116809811187</c:v>
                </c:pt>
                <c:pt idx="1">
                  <c:v>5.795099377738284E-4</c:v>
                </c:pt>
                <c:pt idx="2">
                  <c:v>0.35293756199742737</c:v>
                </c:pt>
                <c:pt idx="3">
                  <c:v>99.047381759966697</c:v>
                </c:pt>
              </c:numCache>
            </c:numRef>
          </c:val>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4.7689645757395907</c:v>
                </c:pt>
                <c:pt idx="1">
                  <c:v>0.77189010339904707</c:v>
                </c:pt>
                <c:pt idx="2">
                  <c:v>9.007976269683585</c:v>
                </c:pt>
                <c:pt idx="3">
                  <c:v>85.451169051177786</c:v>
                </c:pt>
              </c:numCache>
            </c:numRef>
          </c:val>
        </c:ser>
        <c:dLbls>
          <c:showLegendKey val="0"/>
          <c:showVal val="0"/>
          <c:showCatName val="0"/>
          <c:showSerName val="0"/>
          <c:showPercent val="0"/>
          <c:showBubbleSize val="0"/>
        </c:dLbls>
        <c:gapWidth val="150"/>
        <c:axId val="71249920"/>
        <c:axId val="71251456"/>
      </c:barChart>
      <c:catAx>
        <c:axId val="71249920"/>
        <c:scaling>
          <c:orientation val="minMax"/>
        </c:scaling>
        <c:delete val="0"/>
        <c:axPos val="b"/>
        <c:majorTickMark val="none"/>
        <c:minorTickMark val="none"/>
        <c:tickLblPos val="nextTo"/>
        <c:crossAx val="71251456"/>
        <c:crosses val="autoZero"/>
        <c:auto val="1"/>
        <c:lblAlgn val="ctr"/>
        <c:lblOffset val="100"/>
        <c:noMultiLvlLbl val="0"/>
      </c:catAx>
      <c:valAx>
        <c:axId val="7125145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249920"/>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poluanți organici persistenți</a:t>
            </a:r>
          </a:p>
        </c:rich>
      </c:tx>
      <c:layout/>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8.714730559057951E-2</c:v>
                </c:pt>
                <c:pt idx="1">
                  <c:v>0</c:v>
                </c:pt>
                <c:pt idx="2">
                  <c:v>0.57288486833756358</c:v>
                </c:pt>
                <c:pt idx="3">
                  <c:v>99.339967826071856</c:v>
                </c:pt>
              </c:numCache>
            </c:numRef>
          </c:val>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1.4144554126274767E-3</c:v>
                </c:pt>
                <c:pt idx="1">
                  <c:v>0.63931313434854076</c:v>
                </c:pt>
                <c:pt idx="2">
                  <c:v>0.8812265110160391</c:v>
                </c:pt>
                <c:pt idx="3">
                  <c:v>98.478045899222792</c:v>
                </c:pt>
              </c:numCache>
            </c:numRef>
          </c:val>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9.3883760441738371</c:v>
                </c:pt>
                <c:pt idx="1">
                  <c:v>0</c:v>
                </c:pt>
                <c:pt idx="2">
                  <c:v>0.28507640570079507</c:v>
                </c:pt>
                <c:pt idx="3">
                  <c:v>90.326547550125369</c:v>
                </c:pt>
              </c:numCache>
            </c:numRef>
          </c:val>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0</c:v>
                </c:pt>
                <c:pt idx="1">
                  <c:v>0</c:v>
                </c:pt>
                <c:pt idx="2">
                  <c:v>10.055136447103436</c:v>
                </c:pt>
                <c:pt idx="3">
                  <c:v>89.944863552896564</c:v>
                </c:pt>
              </c:numCache>
            </c:numRef>
          </c:val>
        </c:ser>
        <c:dLbls>
          <c:showLegendKey val="0"/>
          <c:showVal val="0"/>
          <c:showCatName val="0"/>
          <c:showSerName val="0"/>
          <c:showPercent val="0"/>
          <c:showBubbleSize val="0"/>
        </c:dLbls>
        <c:gapWidth val="150"/>
        <c:axId val="71295360"/>
        <c:axId val="71296896"/>
      </c:barChart>
      <c:catAx>
        <c:axId val="71295360"/>
        <c:scaling>
          <c:orientation val="minMax"/>
        </c:scaling>
        <c:delete val="0"/>
        <c:axPos val="b"/>
        <c:majorTickMark val="none"/>
        <c:minorTickMark val="none"/>
        <c:tickLblPos val="nextTo"/>
        <c:crossAx val="71296896"/>
        <c:crosses val="autoZero"/>
        <c:auto val="1"/>
        <c:lblAlgn val="ctr"/>
        <c:lblOffset val="100"/>
        <c:noMultiLvlLbl val="0"/>
      </c:catAx>
      <c:valAx>
        <c:axId val="7129689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295360"/>
        <c:crosses val="autoZero"/>
        <c:crossBetween val="between"/>
      </c:valAx>
    </c:plotArea>
    <c:legend>
      <c:legendPos val="r"/>
      <c:layout>
        <c:manualLayout>
          <c:xMode val="edge"/>
          <c:yMode val="edge"/>
          <c:x val="0.88131664738963766"/>
          <c:y val="0.2820541459179054"/>
          <c:w val="0.11868335261036231"/>
          <c:h val="0.32157839830353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la emisiile de poluanți cu efect de acidifiere</a:t>
            </a:r>
          </a:p>
        </c:rich>
      </c:tx>
      <c:layout/>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100</c:v>
                </c:pt>
                <c:pt idx="1">
                  <c:v>0</c:v>
                </c:pt>
                <c:pt idx="2">
                  <c:v>0</c:v>
                </c:pt>
                <c:pt idx="3">
                  <c:v>0</c:v>
                </c:pt>
              </c:numCache>
            </c:numRef>
          </c:val>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93.331216626054925</c:v>
                </c:pt>
                <c:pt idx="1">
                  <c:v>6.5564809337458296</c:v>
                </c:pt>
                <c:pt idx="2">
                  <c:v>0.11230244019922908</c:v>
                </c:pt>
                <c:pt idx="3">
                  <c:v>0</c:v>
                </c:pt>
              </c:numCache>
            </c:numRef>
          </c:val>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20.665960345088546</c:v>
                </c:pt>
                <c:pt idx="2">
                  <c:v>0</c:v>
                </c:pt>
                <c:pt idx="3">
                  <c:v>79.33403965491145</c:v>
                </c:pt>
              </c:numCache>
            </c:numRef>
          </c:val>
        </c:ser>
        <c:dLbls>
          <c:showLegendKey val="0"/>
          <c:showVal val="0"/>
          <c:showCatName val="0"/>
          <c:showSerName val="0"/>
          <c:showPercent val="0"/>
          <c:showBubbleSize val="0"/>
        </c:dLbls>
        <c:gapWidth val="150"/>
        <c:axId val="71434240"/>
        <c:axId val="71435776"/>
      </c:barChart>
      <c:catAx>
        <c:axId val="71434240"/>
        <c:scaling>
          <c:orientation val="minMax"/>
        </c:scaling>
        <c:delete val="0"/>
        <c:axPos val="b"/>
        <c:majorTickMark val="none"/>
        <c:minorTickMark val="none"/>
        <c:tickLblPos val="nextTo"/>
        <c:crossAx val="71435776"/>
        <c:crosses val="autoZero"/>
        <c:auto val="1"/>
        <c:lblAlgn val="ctr"/>
        <c:lblOffset val="100"/>
        <c:noMultiLvlLbl val="0"/>
      </c:catAx>
      <c:valAx>
        <c:axId val="7143577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434240"/>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Evoluția emisiilor de poluanți cu efect de acidifiere</a:t>
            </a:r>
          </a:p>
        </c:rich>
      </c:tx>
      <c:layout/>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Sheet1!$B$2:$B$2</c:f>
              <c:numCache>
                <c:formatCode>General</c:formatCode>
                <c:ptCount val="1"/>
                <c:pt idx="0">
                  <c:v>115665</c:v>
                </c:pt>
              </c:numCache>
            </c:numRef>
          </c:val>
        </c:ser>
        <c:ser>
          <c:idx val="1"/>
          <c:order val="1"/>
          <c:tx>
            <c:strRef>
              <c:f>Sheet1!$C$1</c:f>
              <c:strCache>
                <c:ptCount val="1"/>
                <c:pt idx="0">
                  <c:v>NOx</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32822</c:v>
                </c:pt>
                <c:pt idx="1">
                  <c:v>25757</c:v>
                </c:pt>
                <c:pt idx="2">
                  <c:v>21113</c:v>
                </c:pt>
                <c:pt idx="3">
                  <c:v>22783</c:v>
                </c:pt>
                <c:pt idx="4">
                  <c:v>21184</c:v>
                </c:pt>
              </c:numCache>
            </c:numRef>
          </c:val>
        </c:ser>
        <c:ser>
          <c:idx val="2"/>
          <c:order val="2"/>
          <c:tx>
            <c:strRef>
              <c:f>Sheet1!$D$1</c:f>
              <c:strCache>
                <c:ptCount val="1"/>
                <c:pt idx="0">
                  <c:v>NH3</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pt idx="0">
                  <c:v>135</c:v>
                </c:pt>
                <c:pt idx="1">
                  <c:v>420</c:v>
                </c:pt>
                <c:pt idx="2">
                  <c:v>156.22</c:v>
                </c:pt>
                <c:pt idx="3">
                  <c:v>108</c:v>
                </c:pt>
                <c:pt idx="4">
                  <c:v>223</c:v>
                </c:pt>
              </c:numCache>
            </c:numRef>
          </c:val>
        </c:ser>
        <c:ser>
          <c:idx val="3"/>
          <c:order val="3"/>
          <c:tx>
            <c:strRef>
              <c:f>Sheet1!$E$1</c:f>
              <c:strCache>
                <c:ptCount val="1"/>
                <c:pt idx="0">
                  <c:v>echivalent acidifiere</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Sheet1!$E$2:$E$6</c:f>
              <c:numCache>
                <c:formatCode>General</c:formatCode>
                <c:ptCount val="5"/>
                <c:pt idx="0">
                  <c:v>4340.4899000000005</c:v>
                </c:pt>
                <c:pt idx="1">
                  <c:v>2540.9058</c:v>
                </c:pt>
                <c:pt idx="2">
                  <c:v>1137.8464359999998</c:v>
                </c:pt>
                <c:pt idx="3">
                  <c:v>1002.1988000000001</c:v>
                </c:pt>
                <c:pt idx="4">
                  <c:v>812.15980000000002</c:v>
                </c:pt>
              </c:numCache>
            </c:numRef>
          </c:val>
        </c:ser>
        <c:dLbls>
          <c:showLegendKey val="0"/>
          <c:showVal val="0"/>
          <c:showCatName val="0"/>
          <c:showSerName val="0"/>
          <c:showPercent val="0"/>
          <c:showBubbleSize val="0"/>
        </c:dLbls>
        <c:gapWidth val="150"/>
        <c:axId val="71483776"/>
        <c:axId val="71485312"/>
      </c:barChart>
      <c:catAx>
        <c:axId val="71483776"/>
        <c:scaling>
          <c:orientation val="minMax"/>
        </c:scaling>
        <c:delete val="0"/>
        <c:axPos val="b"/>
        <c:numFmt formatCode="General" sourceLinked="1"/>
        <c:majorTickMark val="none"/>
        <c:minorTickMark val="none"/>
        <c:tickLblPos val="nextTo"/>
        <c:crossAx val="71485312"/>
        <c:crosses val="autoZero"/>
        <c:auto val="1"/>
        <c:lblAlgn val="ctr"/>
        <c:lblOffset val="100"/>
        <c:noMultiLvlLbl val="0"/>
      </c:catAx>
      <c:valAx>
        <c:axId val="71485312"/>
        <c:scaling>
          <c:orientation val="minMax"/>
          <c:max val="120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71483776"/>
        <c:crosses val="autoZero"/>
        <c:crossBetween val="between"/>
        <c:majorUnit val="20000"/>
        <c:minorUnit val="20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Contribuția sectoarelor de activitate din energie la emisiile de poluanți precursori ai ozonului</a:t>
            </a:r>
          </a:p>
        </c:rich>
      </c:tx>
      <c:layout/>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8.968988815368041</c:v>
                </c:pt>
                <c:pt idx="1">
                  <c:v>87.761769004974795</c:v>
                </c:pt>
                <c:pt idx="2">
                  <c:v>6.8158580624172696E-2</c:v>
                </c:pt>
                <c:pt idx="3">
                  <c:v>3.2010835990329891</c:v>
                </c:pt>
                <c:pt idx="4">
                  <c:v>1.4796270170318675</c:v>
                </c:pt>
              </c:numCache>
            </c:numRef>
          </c:val>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1.7724214055495819</c:v>
                </c:pt>
                <c:pt idx="1">
                  <c:v>6.4475131768551188</c:v>
                </c:pt>
                <c:pt idx="2">
                  <c:v>91.780065417595296</c:v>
                </c:pt>
                <c:pt idx="3">
                  <c:v>0</c:v>
                </c:pt>
                <c:pt idx="4">
                  <c:v>0</c:v>
                </c:pt>
              </c:numCache>
            </c:numRef>
          </c:val>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4.4118190365128385</c:v>
                </c:pt>
                <c:pt idx="1">
                  <c:v>95.505886617854003</c:v>
                </c:pt>
                <c:pt idx="2">
                  <c:v>8.2294345633136118E-2</c:v>
                </c:pt>
                <c:pt idx="3">
                  <c:v>0</c:v>
                </c:pt>
                <c:pt idx="4">
                  <c:v>0</c:v>
                </c:pt>
              </c:numCache>
            </c:numRef>
          </c:val>
        </c:ser>
        <c:dLbls>
          <c:showLegendKey val="0"/>
          <c:showVal val="0"/>
          <c:showCatName val="0"/>
          <c:showSerName val="0"/>
          <c:showPercent val="0"/>
          <c:showBubbleSize val="0"/>
        </c:dLbls>
        <c:gapWidth val="150"/>
        <c:axId val="71561600"/>
        <c:axId val="71563136"/>
      </c:barChart>
      <c:catAx>
        <c:axId val="71561600"/>
        <c:scaling>
          <c:orientation val="minMax"/>
        </c:scaling>
        <c:delete val="0"/>
        <c:axPos val="b"/>
        <c:majorTickMark val="none"/>
        <c:minorTickMark val="none"/>
        <c:tickLblPos val="nextTo"/>
        <c:crossAx val="71563136"/>
        <c:crosses val="autoZero"/>
        <c:auto val="1"/>
        <c:lblAlgn val="ctr"/>
        <c:lblOffset val="100"/>
        <c:noMultiLvlLbl val="0"/>
      </c:catAx>
      <c:valAx>
        <c:axId val="715631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561600"/>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dPt>
          <c:dPt>
            <c:idx val="2"/>
            <c:invertIfNegative val="0"/>
            <c:bubble3D val="0"/>
          </c:dPt>
          <c:cat>
            <c:strRef>
              <c:f>Sheet1!$B$1:$D$1</c:f>
              <c:strCache>
                <c:ptCount val="3"/>
                <c:pt idx="0">
                  <c:v>GJ-1</c:v>
                </c:pt>
                <c:pt idx="1">
                  <c:v>GJ-2</c:v>
                </c:pt>
                <c:pt idx="2">
                  <c:v>GJ-3</c:v>
                </c:pt>
              </c:strCache>
            </c:strRef>
          </c:cat>
          <c:val>
            <c:numRef>
              <c:f>Sheet1!$B$2:$D$2</c:f>
              <c:numCache>
                <c:formatCode>General</c:formatCode>
                <c:ptCount val="3"/>
                <c:pt idx="0">
                  <c:v>6.64</c:v>
                </c:pt>
              </c:numCache>
            </c:numRef>
          </c:val>
        </c:ser>
        <c:dLbls>
          <c:showLegendKey val="0"/>
          <c:showVal val="0"/>
          <c:showCatName val="0"/>
          <c:showSerName val="0"/>
          <c:showPercent val="0"/>
          <c:showBubbleSize val="0"/>
        </c:dLbls>
        <c:gapWidth val="150"/>
        <c:axId val="39085568"/>
        <c:axId val="3908710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9085568"/>
        <c:axId val="39087104"/>
      </c:lineChart>
      <c:catAx>
        <c:axId val="3908556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39087104"/>
        <c:crosses val="autoZero"/>
        <c:auto val="1"/>
        <c:lblAlgn val="ctr"/>
        <c:lblOffset val="100"/>
        <c:tickLblSkip val="1"/>
        <c:tickMarkSkip val="1"/>
        <c:noMultiLvlLbl val="0"/>
      </c:catAx>
      <c:valAx>
        <c:axId val="3908710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39085568"/>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la emisiile de particule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22.789237915487121</c:v>
                </c:pt>
                <c:pt idx="1">
                  <c:v>75.589519646663348</c:v>
                </c:pt>
                <c:pt idx="2">
                  <c:v>1.4286667129247648</c:v>
                </c:pt>
                <c:pt idx="3">
                  <c:v>0.19257572492475974</c:v>
                </c:pt>
                <c:pt idx="4">
                  <c:v>0</c:v>
                </c:pt>
              </c:numCache>
            </c:numRef>
          </c:val>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20.101577006658356</c:v>
                </c:pt>
                <c:pt idx="1">
                  <c:v>75.996721067529265</c:v>
                </c:pt>
                <c:pt idx="2">
                  <c:v>2.4578561896090747</c:v>
                </c:pt>
                <c:pt idx="3">
                  <c:v>1.4438457362033137</c:v>
                </c:pt>
                <c:pt idx="4">
                  <c:v>0</c:v>
                </c:pt>
              </c:numCache>
            </c:numRef>
          </c:val>
        </c:ser>
        <c:dLbls>
          <c:showLegendKey val="0"/>
          <c:showVal val="0"/>
          <c:showCatName val="0"/>
          <c:showSerName val="0"/>
          <c:showPercent val="0"/>
          <c:showBubbleSize val="0"/>
        </c:dLbls>
        <c:gapWidth val="150"/>
        <c:axId val="71592960"/>
        <c:axId val="71611136"/>
      </c:barChart>
      <c:catAx>
        <c:axId val="71592960"/>
        <c:scaling>
          <c:orientation val="minMax"/>
        </c:scaling>
        <c:delete val="0"/>
        <c:axPos val="b"/>
        <c:majorTickMark val="none"/>
        <c:minorTickMark val="none"/>
        <c:tickLblPos val="nextTo"/>
        <c:crossAx val="71611136"/>
        <c:crosses val="autoZero"/>
        <c:auto val="1"/>
        <c:lblAlgn val="ctr"/>
        <c:lblOffset val="100"/>
        <c:noMultiLvlLbl val="0"/>
      </c:catAx>
      <c:valAx>
        <c:axId val="71611136"/>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592960"/>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2.2546798248749781E-2</c:v>
                </c:pt>
                <c:pt idx="1">
                  <c:v>92.345263419006812</c:v>
                </c:pt>
                <c:pt idx="2">
                  <c:v>7.632189782744442</c:v>
                </c:pt>
                <c:pt idx="3">
                  <c:v>0</c:v>
                </c:pt>
                <c:pt idx="4">
                  <c:v>0</c:v>
                </c:pt>
              </c:numCache>
            </c:numRef>
          </c:val>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13.498911462385566</c:v>
                </c:pt>
                <c:pt idx="1">
                  <c:v>50.41099517620021</c:v>
                </c:pt>
                <c:pt idx="2">
                  <c:v>36.090093361414219</c:v>
                </c:pt>
                <c:pt idx="3">
                  <c:v>0</c:v>
                </c:pt>
                <c:pt idx="4">
                  <c:v>0</c:v>
                </c:pt>
              </c:numCache>
            </c:numRef>
          </c:val>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44.56544400686365</c:v>
                </c:pt>
                <c:pt idx="1">
                  <c:v>0</c:v>
                </c:pt>
                <c:pt idx="2">
                  <c:v>55.434555993136335</c:v>
                </c:pt>
                <c:pt idx="3">
                  <c:v>0</c:v>
                </c:pt>
                <c:pt idx="4">
                  <c:v>0</c:v>
                </c:pt>
              </c:numCache>
            </c:numRef>
          </c:val>
        </c:ser>
        <c:dLbls>
          <c:showLegendKey val="0"/>
          <c:showVal val="0"/>
          <c:showCatName val="0"/>
          <c:showSerName val="0"/>
          <c:showPercent val="0"/>
          <c:showBubbleSize val="0"/>
        </c:dLbls>
        <c:gapWidth val="150"/>
        <c:axId val="71682688"/>
        <c:axId val="71684480"/>
      </c:barChart>
      <c:catAx>
        <c:axId val="71682688"/>
        <c:scaling>
          <c:orientation val="minMax"/>
        </c:scaling>
        <c:delete val="0"/>
        <c:axPos val="b"/>
        <c:majorTickMark val="none"/>
        <c:minorTickMark val="none"/>
        <c:tickLblPos val="nextTo"/>
        <c:crossAx val="71684480"/>
        <c:crosses val="autoZero"/>
        <c:auto val="1"/>
        <c:lblAlgn val="ctr"/>
        <c:lblOffset val="100"/>
        <c:noMultiLvlLbl val="0"/>
      </c:catAx>
      <c:valAx>
        <c:axId val="7168448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682688"/>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poluanți organici persistenți</a:t>
            </a:r>
          </a:p>
        </c:rich>
      </c:tx>
      <c:layout/>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36.037771976938807</c:v>
                </c:pt>
                <c:pt idx="1">
                  <c:v>63.962228023061186</c:v>
                </c:pt>
                <c:pt idx="2">
                  <c:v>0</c:v>
                </c:pt>
                <c:pt idx="3">
                  <c:v>0</c:v>
                </c:pt>
              </c:numCache>
            </c:numRef>
          </c:val>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90.093788217490228</c:v>
                </c:pt>
                <c:pt idx="1">
                  <c:v>0.19915192817365987</c:v>
                </c:pt>
                <c:pt idx="2">
                  <c:v>9.7070598543361175</c:v>
                </c:pt>
                <c:pt idx="3">
                  <c:v>0</c:v>
                </c:pt>
              </c:numCache>
            </c:numRef>
          </c:val>
        </c:ser>
        <c:ser>
          <c:idx val="2"/>
          <c:order val="2"/>
          <c:tx>
            <c:strRef>
              <c:f>Sheet1!$D$1</c:f>
              <c:strCache>
                <c:ptCount val="1"/>
                <c:pt idx="0">
                  <c:v>HCB</c:v>
                </c:pt>
              </c:strCache>
            </c:strRef>
          </c:tx>
          <c:invertIfNegative val="0"/>
          <c:cat>
            <c:strRef>
              <c:f>Sheet1!$A$2:$A$5</c:f>
              <c:strCache>
                <c:ptCount val="4"/>
                <c:pt idx="0">
                  <c:v>industrie</c:v>
                </c:pt>
                <c:pt idx="1">
                  <c:v>transporturi</c:v>
                </c:pt>
                <c:pt idx="2">
                  <c:v>energie</c:v>
                </c:pt>
                <c:pt idx="3">
                  <c:v>deșeuri</c:v>
                </c:pt>
              </c:strCache>
            </c:strRef>
          </c:cat>
          <c:val>
            <c:numRef>
              <c:f>Sheet1!$D$2:$D$5</c:f>
              <c:numCache>
                <c:formatCode>General</c:formatCode>
                <c:ptCount val="4"/>
                <c:pt idx="0">
                  <c:v>0</c:v>
                </c:pt>
                <c:pt idx="1">
                  <c:v>100</c:v>
                </c:pt>
                <c:pt idx="2">
                  <c:v>0</c:v>
                </c:pt>
                <c:pt idx="3">
                  <c:v>0</c:v>
                </c:pt>
              </c:numCache>
            </c:numRef>
          </c:val>
        </c:ser>
        <c:dLbls>
          <c:showLegendKey val="0"/>
          <c:showVal val="0"/>
          <c:showCatName val="0"/>
          <c:showSerName val="0"/>
          <c:showPercent val="0"/>
          <c:showBubbleSize val="0"/>
        </c:dLbls>
        <c:gapWidth val="150"/>
        <c:axId val="71727360"/>
        <c:axId val="71729152"/>
      </c:barChart>
      <c:catAx>
        <c:axId val="71727360"/>
        <c:scaling>
          <c:orientation val="minMax"/>
        </c:scaling>
        <c:delete val="0"/>
        <c:axPos val="b"/>
        <c:majorTickMark val="none"/>
        <c:minorTickMark val="none"/>
        <c:tickLblPos val="nextTo"/>
        <c:crossAx val="71729152"/>
        <c:crosses val="autoZero"/>
        <c:auto val="1"/>
        <c:lblAlgn val="ctr"/>
        <c:lblOffset val="100"/>
        <c:noMultiLvlLbl val="0"/>
      </c:catAx>
      <c:valAx>
        <c:axId val="717291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727360"/>
        <c:crosses val="autoZero"/>
        <c:crossBetween val="between"/>
      </c:valAx>
    </c:plotArea>
    <c:legend>
      <c:legendPos val="r"/>
      <c:layout>
        <c:manualLayout>
          <c:xMode val="edge"/>
          <c:yMode val="edge"/>
          <c:x val="0.88131664738963766"/>
          <c:y val="0.19724599442328153"/>
          <c:w val="0.11868335261036231"/>
          <c:h val="0.5242832864553570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diverselor tipuri de vehicule la emisiile poluanților cu efect de acidifiere</a:t>
            </a:r>
          </a:p>
        </c:rich>
      </c:tx>
      <c:layout/>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30.382361975812621</c:v>
                </c:pt>
                <c:pt idx="1">
                  <c:v>8.6583178476816602</c:v>
                </c:pt>
                <c:pt idx="2">
                  <c:v>60.927345734893898</c:v>
                </c:pt>
                <c:pt idx="3">
                  <c:v>3.1974441611825555E-2</c:v>
                </c:pt>
                <c:pt idx="4">
                  <c:v>25.248094360129908</c:v>
                </c:pt>
              </c:numCache>
            </c:numRef>
          </c:val>
        </c:ser>
        <c:ser>
          <c:idx val="1"/>
          <c:order val="1"/>
          <c:tx>
            <c:strRef>
              <c:f>Sheet1!$C$1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89.615428636831851</c:v>
                </c:pt>
                <c:pt idx="1">
                  <c:v>5.4984548472015558</c:v>
                </c:pt>
                <c:pt idx="2">
                  <c:v>4.8494906718553272</c:v>
                </c:pt>
                <c:pt idx="3">
                  <c:v>3.6625844111250992E-2</c:v>
                </c:pt>
                <c:pt idx="4">
                  <c:v>0.40854984548472018</c:v>
                </c:pt>
              </c:numCache>
            </c:numRef>
          </c:val>
        </c:ser>
        <c:dLbls>
          <c:showLegendKey val="0"/>
          <c:showVal val="0"/>
          <c:showCatName val="0"/>
          <c:showSerName val="0"/>
          <c:showPercent val="0"/>
          <c:showBubbleSize val="0"/>
        </c:dLbls>
        <c:gapWidth val="150"/>
        <c:axId val="71767168"/>
        <c:axId val="71768704"/>
      </c:barChart>
      <c:catAx>
        <c:axId val="71767168"/>
        <c:scaling>
          <c:orientation val="minMax"/>
        </c:scaling>
        <c:delete val="0"/>
        <c:axPos val="b"/>
        <c:majorTickMark val="none"/>
        <c:minorTickMark val="none"/>
        <c:tickLblPos val="nextTo"/>
        <c:crossAx val="71768704"/>
        <c:crosses val="autoZero"/>
        <c:auto val="1"/>
        <c:lblAlgn val="ctr"/>
        <c:lblOffset val="100"/>
        <c:noMultiLvlLbl val="0"/>
      </c:catAx>
      <c:valAx>
        <c:axId val="71768704"/>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1767168"/>
        <c:crosses val="autoZero"/>
        <c:crossBetween val="between"/>
        <c:majorUnit val="10"/>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tipurilor de vehicule la emisiile de poluanți atmosferici precursori ai ozonului</a:t>
            </a:r>
          </a:p>
        </c:rich>
      </c:tx>
      <c:layout/>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75.285767843698622</c:v>
                </c:pt>
                <c:pt idx="1">
                  <c:v>9.1282944301787996</c:v>
                </c:pt>
                <c:pt idx="2">
                  <c:v>14.154076446069224</c:v>
                </c:pt>
                <c:pt idx="3">
                  <c:v>1.4318612800533381</c:v>
                </c:pt>
                <c:pt idx="4">
                  <c:v>8.0744445280595443</c:v>
                </c:pt>
              </c:numCache>
            </c:numRef>
          </c:val>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30.382361975812621</c:v>
                </c:pt>
                <c:pt idx="1">
                  <c:v>8.6583178476816602</c:v>
                </c:pt>
                <c:pt idx="2">
                  <c:v>60.927345734893898</c:v>
                </c:pt>
                <c:pt idx="3">
                  <c:v>3.1974441611825555E-2</c:v>
                </c:pt>
                <c:pt idx="4">
                  <c:v>25.248094360129908</c:v>
                </c:pt>
              </c:numCache>
            </c:numRef>
          </c:val>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81.097047606925841</c:v>
                </c:pt>
                <c:pt idx="1">
                  <c:v>10.762994742149329</c:v>
                </c:pt>
                <c:pt idx="2">
                  <c:v>7.4243474184077476</c:v>
                </c:pt>
                <c:pt idx="3">
                  <c:v>0.71561023251707867</c:v>
                </c:pt>
                <c:pt idx="4">
                  <c:v>2.3383396265550385</c:v>
                </c:pt>
              </c:numCache>
            </c:numRef>
          </c:val>
        </c:ser>
        <c:dLbls>
          <c:showLegendKey val="0"/>
          <c:showVal val="0"/>
          <c:showCatName val="0"/>
          <c:showSerName val="0"/>
          <c:showPercent val="0"/>
          <c:showBubbleSize val="0"/>
        </c:dLbls>
        <c:gapWidth val="150"/>
        <c:axId val="80171776"/>
        <c:axId val="80173312"/>
      </c:barChart>
      <c:catAx>
        <c:axId val="80171776"/>
        <c:scaling>
          <c:orientation val="minMax"/>
        </c:scaling>
        <c:delete val="0"/>
        <c:axPos val="b"/>
        <c:majorTickMark val="none"/>
        <c:minorTickMark val="none"/>
        <c:tickLblPos val="nextTo"/>
        <c:crossAx val="80173312"/>
        <c:crosses val="autoZero"/>
        <c:auto val="1"/>
        <c:lblAlgn val="ctr"/>
        <c:lblOffset val="100"/>
        <c:noMultiLvlLbl val="0"/>
      </c:catAx>
      <c:valAx>
        <c:axId val="8017331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80171776"/>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Contribuții ale vehiculelor de transport la emisiile de particule primare în suspensie</a:t>
            </a:r>
          </a:p>
        </c:rich>
      </c:tx>
      <c:layout/>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39.718709908156534</c:v>
                </c:pt>
                <c:pt idx="1">
                  <c:v>18.49677809729959</c:v>
                </c:pt>
                <c:pt idx="2">
                  <c:v>41.583649909445718</c:v>
                </c:pt>
                <c:pt idx="3">
                  <c:v>0.20086208509815418</c:v>
                </c:pt>
                <c:pt idx="4">
                  <c:v>14.526674526487387</c:v>
                </c:pt>
              </c:numCache>
            </c:numRef>
          </c:val>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40.306910261128067</c:v>
                </c:pt>
                <c:pt idx="1">
                  <c:v>17.750611511570018</c:v>
                </c:pt>
                <c:pt idx="2">
                  <c:v>41.754875857739684</c:v>
                </c:pt>
                <c:pt idx="3">
                  <c:v>0.18760236956223708</c:v>
                </c:pt>
                <c:pt idx="4">
                  <c:v>13.246224502312561</c:v>
                </c:pt>
              </c:numCache>
            </c:numRef>
          </c:val>
        </c:ser>
        <c:dLbls>
          <c:showLegendKey val="0"/>
          <c:showVal val="0"/>
          <c:showCatName val="0"/>
          <c:showSerName val="0"/>
          <c:showPercent val="0"/>
          <c:showBubbleSize val="0"/>
        </c:dLbls>
        <c:gapWidth val="150"/>
        <c:axId val="80207232"/>
        <c:axId val="80213120"/>
      </c:barChart>
      <c:catAx>
        <c:axId val="80207232"/>
        <c:scaling>
          <c:orientation val="minMax"/>
        </c:scaling>
        <c:delete val="0"/>
        <c:axPos val="b"/>
        <c:majorTickMark val="none"/>
        <c:minorTickMark val="none"/>
        <c:tickLblPos val="nextTo"/>
        <c:crossAx val="80213120"/>
        <c:crosses val="autoZero"/>
        <c:auto val="1"/>
        <c:lblAlgn val="ctr"/>
        <c:lblOffset val="100"/>
        <c:noMultiLvlLbl val="0"/>
      </c:catAx>
      <c:valAx>
        <c:axId val="80213120"/>
        <c:scaling>
          <c:orientation val="minMax"/>
          <c:max val="5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80207232"/>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Contribuția tipurilor de vehicule la emisiile de metale grele</a:t>
            </a:r>
          </a:p>
        </c:rich>
      </c:tx>
      <c:layout/>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5.376225051899098E-5</c:v>
                </c:pt>
                <c:pt idx="1">
                  <c:v>1.581451476144634E-5</c:v>
                </c:pt>
                <c:pt idx="2">
                  <c:v>99.999894984919052</c:v>
                </c:pt>
                <c:pt idx="3">
                  <c:v>3.5438315659232343E-5</c:v>
                </c:pt>
                <c:pt idx="4">
                  <c:v>0</c:v>
                </c:pt>
              </c:numCache>
            </c:numRef>
          </c:val>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1.0322811550774656E-4</c:v>
                </c:pt>
                <c:pt idx="1">
                  <c:v>2.4411351467065359E-5</c:v>
                </c:pt>
                <c:pt idx="2">
                  <c:v>82.318960771041432</c:v>
                </c:pt>
                <c:pt idx="3">
                  <c:v>1.9383445270013546E-5</c:v>
                </c:pt>
                <c:pt idx="4">
                  <c:v>17.680892206046344</c:v>
                </c:pt>
              </c:numCache>
            </c:numRef>
          </c:val>
        </c:ser>
        <c:ser>
          <c:idx val="2"/>
          <c:order val="2"/>
          <c:tx>
            <c:strRef>
              <c:f>Sheet1!$D$1</c:f>
              <c:strCache>
                <c:ptCount val="1"/>
                <c:pt idx="0">
                  <c:v>Zn</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1.162566022792594E-4</c:v>
                </c:pt>
                <c:pt idx="1">
                  <c:v>2.9083170837170418E-5</c:v>
                </c:pt>
                <c:pt idx="2">
                  <c:v>92.693392422431316</c:v>
                </c:pt>
                <c:pt idx="3">
                  <c:v>2.58761603345747E-7</c:v>
                </c:pt>
                <c:pt idx="4">
                  <c:v>7.3064619790339789</c:v>
                </c:pt>
              </c:numCache>
            </c:numRef>
          </c:val>
        </c:ser>
        <c:dLbls>
          <c:showLegendKey val="0"/>
          <c:showVal val="0"/>
          <c:showCatName val="0"/>
          <c:showSerName val="0"/>
          <c:showPercent val="0"/>
          <c:showBubbleSize val="0"/>
        </c:dLbls>
        <c:gapWidth val="150"/>
        <c:axId val="72154112"/>
        <c:axId val="42017536"/>
      </c:barChart>
      <c:catAx>
        <c:axId val="72154112"/>
        <c:scaling>
          <c:orientation val="minMax"/>
        </c:scaling>
        <c:delete val="0"/>
        <c:axPos val="b"/>
        <c:majorTickMark val="none"/>
        <c:minorTickMark val="none"/>
        <c:tickLblPos val="nextTo"/>
        <c:crossAx val="42017536"/>
        <c:crosses val="autoZero"/>
        <c:auto val="1"/>
        <c:lblAlgn val="ctr"/>
        <c:lblOffset val="100"/>
        <c:noMultiLvlLbl val="0"/>
      </c:catAx>
      <c:valAx>
        <c:axId val="420175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72154112"/>
        <c:crosses val="autoZero"/>
        <c:crossBetween val="between"/>
      </c:valAx>
    </c:plotArea>
    <c:legend>
      <c:legendPos val="r"/>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Tendința</a:t>
            </a:r>
            <a:r>
              <a:rPr lang="ro-RO" b="0" baseline="0"/>
              <a:t> emisiilor de poluanți cu efect de acidifiere și eutrofizare din sectorul de activitate energie</a:t>
            </a:r>
            <a:endParaRPr lang="ro-RO" b="0"/>
          </a:p>
        </c:rich>
      </c:tx>
      <c:layout/>
      <c:overlay val="0"/>
    </c:title>
    <c:autoTitleDeleted val="0"/>
    <c:plotArea>
      <c:layout>
        <c:manualLayout>
          <c:layoutTarget val="inner"/>
          <c:xMode val="edge"/>
          <c:yMode val="edge"/>
          <c:x val="7.3323673082531335E-2"/>
          <c:y val="0.1886942071386776"/>
          <c:w val="0.78351377952755907"/>
          <c:h val="0.74057211884566965"/>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Sheet1!$B$2:$B$6</c:f>
              <c:numCache>
                <c:formatCode>0</c:formatCode>
                <c:ptCount val="5"/>
                <c:pt idx="0">
                  <c:v>115147.47100000001</c:v>
                </c:pt>
                <c:pt idx="1">
                  <c:v>62532.05</c:v>
                </c:pt>
                <c:pt idx="2">
                  <c:v>21422.880000000001</c:v>
                </c:pt>
                <c:pt idx="3">
                  <c:v>16021.47</c:v>
                </c:pt>
                <c:pt idx="4">
                  <c:v>10842</c:v>
                </c:pt>
              </c:numCache>
            </c:numRef>
          </c:val>
        </c:ser>
        <c:ser>
          <c:idx val="1"/>
          <c:order val="1"/>
          <c:tx>
            <c:strRef>
              <c:f>Sheet1!$C$1</c:f>
              <c:strCache>
                <c:ptCount val="1"/>
                <c:pt idx="0">
                  <c:v>NOx</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Sheet1!$C$2:$C$6</c:f>
              <c:numCache>
                <c:formatCode>0</c:formatCode>
                <c:ptCount val="5"/>
                <c:pt idx="0">
                  <c:v>28275.973999999998</c:v>
                </c:pt>
                <c:pt idx="1">
                  <c:v>22422.720000000001</c:v>
                </c:pt>
                <c:pt idx="2">
                  <c:v>18049.240000000002</c:v>
                </c:pt>
                <c:pt idx="3">
                  <c:v>19128.580000000002</c:v>
                </c:pt>
                <c:pt idx="4">
                  <c:v>21184</c:v>
                </c:pt>
              </c:numCache>
            </c:numRef>
          </c:val>
        </c:ser>
        <c:dLbls>
          <c:showLegendKey val="0"/>
          <c:showVal val="0"/>
          <c:showCatName val="0"/>
          <c:showSerName val="0"/>
          <c:showPercent val="0"/>
          <c:showBubbleSize val="0"/>
        </c:dLbls>
        <c:gapWidth val="150"/>
        <c:axId val="42031360"/>
        <c:axId val="42053632"/>
      </c:barChart>
      <c:catAx>
        <c:axId val="42031360"/>
        <c:scaling>
          <c:orientation val="minMax"/>
        </c:scaling>
        <c:delete val="0"/>
        <c:axPos val="b"/>
        <c:majorTickMark val="none"/>
        <c:minorTickMark val="none"/>
        <c:tickLblPos val="nextTo"/>
        <c:crossAx val="42053632"/>
        <c:crosses val="autoZero"/>
        <c:auto val="1"/>
        <c:lblAlgn val="ctr"/>
        <c:lblOffset val="100"/>
        <c:noMultiLvlLbl val="0"/>
      </c:catAx>
      <c:valAx>
        <c:axId val="42053632"/>
        <c:scaling>
          <c:orientation val="minMax"/>
          <c:max val="12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42031360"/>
        <c:crosses val="autoZero"/>
        <c:crossBetween val="between"/>
        <c:majorUnit val="20000"/>
        <c:minorUnit val="100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Tendința</a:t>
            </a:r>
            <a:r>
              <a:rPr lang="ro-RO" b="0" baseline="0"/>
              <a:t> emisiilor de poluanți ai ozonului din sectorul de activitate transport</a:t>
            </a:r>
            <a:endParaRPr lang="ro-RO" b="0"/>
          </a:p>
        </c:rich>
      </c:tx>
      <c:layout/>
      <c:overlay val="0"/>
    </c:title>
    <c:autoTitleDeleted val="0"/>
    <c:plotArea>
      <c:layout>
        <c:manualLayout>
          <c:layoutTarget val="inner"/>
          <c:xMode val="edge"/>
          <c:yMode val="edge"/>
          <c:x val="7.3323673082531335E-2"/>
          <c:y val="0.1886942071386776"/>
          <c:w val="0.78351377952755907"/>
          <c:h val="0.74057211884566965"/>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Sheet1!$B$2:$B$6</c:f>
              <c:numCache>
                <c:formatCode>0</c:formatCode>
                <c:ptCount val="5"/>
                <c:pt idx="0">
                  <c:v>2625.35</c:v>
                </c:pt>
                <c:pt idx="1">
                  <c:v>1700</c:v>
                </c:pt>
                <c:pt idx="2">
                  <c:v>1432</c:v>
                </c:pt>
                <c:pt idx="3">
                  <c:v>377.85</c:v>
                </c:pt>
                <c:pt idx="4">
                  <c:v>1325.5573199999999</c:v>
                </c:pt>
              </c:numCache>
            </c:numRef>
          </c:val>
        </c:ser>
        <c:ser>
          <c:idx val="1"/>
          <c:order val="1"/>
          <c:tx>
            <c:strRef>
              <c:f>Sheet1!$C$1</c:f>
              <c:strCache>
                <c:ptCount val="1"/>
                <c:pt idx="0">
                  <c:v>NMVOC</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Sheet1!$C$2:$C$6</c:f>
              <c:numCache>
                <c:formatCode>0</c:formatCode>
                <c:ptCount val="5"/>
                <c:pt idx="0">
                  <c:v>136.37</c:v>
                </c:pt>
                <c:pt idx="1">
                  <c:v>898.0200000000001</c:v>
                </c:pt>
                <c:pt idx="2">
                  <c:v>322</c:v>
                </c:pt>
                <c:pt idx="3">
                  <c:v>223.95</c:v>
                </c:pt>
                <c:pt idx="4">
                  <c:v>317.38621999999998</c:v>
                </c:pt>
              </c:numCache>
            </c:numRef>
          </c:val>
        </c:ser>
        <c:ser>
          <c:idx val="2"/>
          <c:order val="2"/>
          <c:tx>
            <c:strRef>
              <c:f>Sheet1!$D$1</c:f>
              <c:strCache>
                <c:ptCount val="1"/>
                <c:pt idx="0">
                  <c:v>CO</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Sheet1!$D$2:$D$6</c:f>
              <c:numCache>
                <c:formatCode>General</c:formatCode>
                <c:ptCount val="5"/>
                <c:pt idx="0">
                  <c:v>8567</c:v>
                </c:pt>
                <c:pt idx="1">
                  <c:v>5901.4400000000005</c:v>
                </c:pt>
                <c:pt idx="2">
                  <c:v>2451</c:v>
                </c:pt>
                <c:pt idx="3">
                  <c:v>1880.77</c:v>
                </c:pt>
                <c:pt idx="4">
                  <c:v>2388.02729</c:v>
                </c:pt>
              </c:numCache>
            </c:numRef>
          </c:val>
        </c:ser>
        <c:dLbls>
          <c:showLegendKey val="0"/>
          <c:showVal val="0"/>
          <c:showCatName val="0"/>
          <c:showSerName val="0"/>
          <c:showPercent val="0"/>
          <c:showBubbleSize val="0"/>
        </c:dLbls>
        <c:gapWidth val="150"/>
        <c:axId val="42100608"/>
        <c:axId val="42102144"/>
      </c:barChart>
      <c:catAx>
        <c:axId val="42100608"/>
        <c:scaling>
          <c:orientation val="minMax"/>
        </c:scaling>
        <c:delete val="0"/>
        <c:axPos val="b"/>
        <c:majorTickMark val="none"/>
        <c:minorTickMark val="none"/>
        <c:tickLblPos val="nextTo"/>
        <c:crossAx val="42102144"/>
        <c:crosses val="autoZero"/>
        <c:auto val="1"/>
        <c:lblAlgn val="ctr"/>
        <c:lblOffset val="100"/>
        <c:noMultiLvlLbl val="0"/>
      </c:catAx>
      <c:valAx>
        <c:axId val="42102144"/>
        <c:scaling>
          <c:orientation val="minMax"/>
          <c:max val="1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42100608"/>
        <c:crosses val="autoZero"/>
        <c:crossBetween val="between"/>
        <c:majorUnit val="2000"/>
        <c:minorUnit val="10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Tendința</a:t>
            </a:r>
            <a:r>
              <a:rPr lang="ro-RO" b="0" baseline="0"/>
              <a:t> emisiilor de particule primare în suspensie  din sectorul de activitate energie</a:t>
            </a:r>
            <a:endParaRPr lang="ro-RO" b="0"/>
          </a:p>
        </c:rich>
      </c:tx>
      <c:layout/>
      <c:overlay val="0"/>
    </c:title>
    <c:autoTitleDeleted val="0"/>
    <c:plotArea>
      <c:layout>
        <c:manualLayout>
          <c:layoutTarget val="inner"/>
          <c:xMode val="edge"/>
          <c:yMode val="edge"/>
          <c:x val="7.3323673082531335E-2"/>
          <c:y val="0.1886942071386776"/>
          <c:w val="0.78351377952755907"/>
          <c:h val="0.7405721188456696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Sheet1!$B$2:$B$6</c:f>
              <c:numCache>
                <c:formatCode>0</c:formatCode>
                <c:ptCount val="5"/>
                <c:pt idx="0">
                  <c:v>318.60000000000002</c:v>
                </c:pt>
                <c:pt idx="1">
                  <c:v>222.42</c:v>
                </c:pt>
                <c:pt idx="2">
                  <c:v>104.73</c:v>
                </c:pt>
                <c:pt idx="3">
                  <c:v>77.31</c:v>
                </c:pt>
                <c:pt idx="4">
                  <c:v>53.22</c:v>
                </c:pt>
              </c:numCache>
            </c:numRef>
          </c:val>
        </c:ser>
        <c:ser>
          <c:idx val="1"/>
          <c:order val="1"/>
          <c:tx>
            <c:strRef>
              <c:f>Sheet1!$C$1</c:f>
              <c:strCache>
                <c:ptCount val="1"/>
                <c:pt idx="0">
                  <c:v>PM10</c:v>
                </c:pt>
              </c:strCache>
            </c:strRef>
          </c:tx>
          <c:invertIfNegative val="0"/>
          <c:cat>
            <c:strRef>
              <c:f>Sheet1!$A$2:$A$6</c:f>
              <c:strCache>
                <c:ptCount val="5"/>
                <c:pt idx="0">
                  <c:v>anul 2011</c:v>
                </c:pt>
                <c:pt idx="1">
                  <c:v>anul 2012</c:v>
                </c:pt>
                <c:pt idx="2">
                  <c:v>anul 2013</c:v>
                </c:pt>
                <c:pt idx="3">
                  <c:v>anul 2014</c:v>
                </c:pt>
                <c:pt idx="4">
                  <c:v>anul 2015</c:v>
                </c:pt>
              </c:strCache>
            </c:strRef>
          </c:cat>
          <c:val>
            <c:numRef>
              <c:f>Sheet1!$C$2:$C$6</c:f>
              <c:numCache>
                <c:formatCode>0</c:formatCode>
                <c:ptCount val="5"/>
                <c:pt idx="0">
                  <c:v>1115.1099999999999</c:v>
                </c:pt>
                <c:pt idx="1">
                  <c:v>778.48</c:v>
                </c:pt>
                <c:pt idx="2">
                  <c:v>366.51</c:v>
                </c:pt>
                <c:pt idx="3">
                  <c:v>270.55</c:v>
                </c:pt>
                <c:pt idx="4">
                  <c:v>186.27</c:v>
                </c:pt>
              </c:numCache>
            </c:numRef>
          </c:val>
        </c:ser>
        <c:dLbls>
          <c:showLegendKey val="0"/>
          <c:showVal val="0"/>
          <c:showCatName val="0"/>
          <c:showSerName val="0"/>
          <c:showPercent val="0"/>
          <c:showBubbleSize val="0"/>
        </c:dLbls>
        <c:gapWidth val="150"/>
        <c:axId val="42177664"/>
        <c:axId val="42179200"/>
      </c:barChart>
      <c:catAx>
        <c:axId val="42177664"/>
        <c:scaling>
          <c:orientation val="minMax"/>
        </c:scaling>
        <c:delete val="0"/>
        <c:axPos val="b"/>
        <c:majorTickMark val="none"/>
        <c:minorTickMark val="none"/>
        <c:tickLblPos val="nextTo"/>
        <c:crossAx val="42179200"/>
        <c:crosses val="autoZero"/>
        <c:auto val="1"/>
        <c:lblAlgn val="ctr"/>
        <c:lblOffset val="100"/>
        <c:noMultiLvlLbl val="0"/>
      </c:catAx>
      <c:valAx>
        <c:axId val="42179200"/>
        <c:scaling>
          <c:orientation val="minMax"/>
          <c:max val="12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42177664"/>
        <c:crosses val="autoZero"/>
        <c:crossBetween val="between"/>
        <c:majorUnit val="400"/>
        <c:minorUnit val="1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I.4. SO</a:t>
            </a:r>
            <a:r>
              <a:rPr lang="ro-RO" sz="1100" baseline="-25000"/>
              <a:t>2</a:t>
            </a:r>
            <a:r>
              <a:rPr lang="ro-RO" sz="1100" baseline="0"/>
              <a:t> - </a:t>
            </a:r>
            <a:r>
              <a:rPr lang="ro-RO" sz="1100"/>
              <a:t> Evoluția concentrațiilor medii anuale înregistrate la stațiile automate, în perioada 2008-201</a:t>
            </a:r>
            <a:r>
              <a:rPr lang="en-US" sz="1100"/>
              <a:t>5</a:t>
            </a:r>
            <a:endParaRPr lang="ro-RO" sz="1100"/>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7.9581880149288201E-2"/>
          <c:y val="0.25253679467540963"/>
          <c:w val="0.80992909901749011"/>
          <c:h val="0.64455139494078451"/>
        </c:manualLayout>
      </c:layout>
      <c:barChart>
        <c:barDir val="col"/>
        <c:grouping val="clustered"/>
        <c:varyColors val="0"/>
        <c:ser>
          <c:idx val="0"/>
          <c:order val="0"/>
          <c:tx>
            <c:strRef>
              <c:f>SO2_NO2_O3_PM10!$C$5</c:f>
              <c:strCache>
                <c:ptCount val="1"/>
                <c:pt idx="0">
                  <c:v>2008</c:v>
                </c:pt>
              </c:strCache>
            </c:strRef>
          </c:tx>
          <c:spPr>
            <a:solidFill>
              <a:srgbClr val="9999FF"/>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23.22</c:v>
                </c:pt>
                <c:pt idx="1">
                  <c:v>30.96</c:v>
                </c:pt>
              </c:numCache>
            </c:numRef>
          </c:val>
        </c:ser>
        <c:ser>
          <c:idx val="1"/>
          <c:order val="1"/>
          <c:tx>
            <c:strRef>
              <c:f>SO2_NO2_O3_PM10!$D$5</c:f>
              <c:strCache>
                <c:ptCount val="1"/>
                <c:pt idx="0">
                  <c:v>2009</c:v>
                </c:pt>
              </c:strCache>
            </c:strRef>
          </c:tx>
          <c:spPr>
            <a:solidFill>
              <a:srgbClr val="993366"/>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SO2_NO2_O3_PM10!$D$6:$D$8</c:f>
              <c:numCache>
                <c:formatCode>General</c:formatCode>
                <c:ptCount val="3"/>
                <c:pt idx="0">
                  <c:v>19.829999999999998</c:v>
                </c:pt>
                <c:pt idx="1">
                  <c:v>24.61</c:v>
                </c:pt>
                <c:pt idx="2">
                  <c:v>16.09</c:v>
                </c:pt>
              </c:numCache>
            </c:numRef>
          </c:val>
        </c:ser>
        <c:ser>
          <c:idx val="2"/>
          <c:order val="2"/>
          <c:tx>
            <c:strRef>
              <c:f>SO2_NO2_O3_PM10!$E$5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13.21</c:v>
                </c:pt>
                <c:pt idx="1">
                  <c:v>19.21</c:v>
                </c:pt>
                <c:pt idx="2">
                  <c:v>16.34</c:v>
                </c:pt>
              </c:numCache>
            </c:numRef>
          </c:val>
        </c:ser>
        <c:ser>
          <c:idx val="3"/>
          <c:order val="3"/>
          <c:tx>
            <c:strRef>
              <c:f>SO2_NO2_O3_PM10!$F$5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SO2_NO2_O3_PM10!$F$6:$F$8</c:f>
              <c:numCache>
                <c:formatCode>General</c:formatCode>
                <c:ptCount val="3"/>
                <c:pt idx="0">
                  <c:v>19.8</c:v>
                </c:pt>
                <c:pt idx="2">
                  <c:v>24.49</c:v>
                </c:pt>
              </c:numCache>
            </c:numRef>
          </c:val>
        </c:ser>
        <c:ser>
          <c:idx val="4"/>
          <c:order val="4"/>
          <c:tx>
            <c:strRef>
              <c:f>SO2_NO2_O3_PM10!$G$5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SO2_NO2_O3_PM10!$G$6:$G$8</c:f>
              <c:numCache>
                <c:formatCode>General</c:formatCode>
                <c:ptCount val="3"/>
                <c:pt idx="0">
                  <c:v>19.25</c:v>
                </c:pt>
                <c:pt idx="1">
                  <c:v>32.590000000000003</c:v>
                </c:pt>
              </c:numCache>
            </c:numRef>
          </c:val>
        </c:ser>
        <c:ser>
          <c:idx val="5"/>
          <c:order val="5"/>
          <c:tx>
            <c:strRef>
              <c:f>SO2_NO2_O3_PM10!$H$5</c:f>
              <c:strCache>
                <c:ptCount val="1"/>
                <c:pt idx="0">
                  <c:v>2013</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pt idx="0">
                  <c:v>13.13</c:v>
                </c:pt>
                <c:pt idx="1">
                  <c:v>29.69</c:v>
                </c:pt>
                <c:pt idx="2">
                  <c:v>23.38</c:v>
                </c:pt>
              </c:numCache>
            </c:numRef>
          </c:val>
        </c:ser>
        <c:ser>
          <c:idx val="6"/>
          <c:order val="6"/>
          <c:tx>
            <c:strRef>
              <c:f>SO2_NO2_O3_PM10!$I$5</c:f>
              <c:strCache>
                <c:ptCount val="1"/>
                <c:pt idx="0">
                  <c:v>2014</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1">
                  <c:v>24.1</c:v>
                </c:pt>
                <c:pt idx="2">
                  <c:v>13.36</c:v>
                </c:pt>
              </c:numCache>
            </c:numRef>
          </c:val>
        </c:ser>
        <c:dLbls>
          <c:showLegendKey val="0"/>
          <c:showVal val="0"/>
          <c:showCatName val="0"/>
          <c:showSerName val="0"/>
          <c:showPercent val="0"/>
          <c:showBubbleSize val="0"/>
        </c:dLbls>
        <c:gapWidth val="150"/>
        <c:axId val="39191296"/>
        <c:axId val="39192832"/>
      </c:barChart>
      <c:catAx>
        <c:axId val="3919129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192832"/>
        <c:crosses val="autoZero"/>
        <c:auto val="1"/>
        <c:lblAlgn val="ctr"/>
        <c:lblOffset val="100"/>
        <c:tickLblSkip val="1"/>
        <c:tickMarkSkip val="1"/>
        <c:noMultiLvlLbl val="0"/>
      </c:catAx>
      <c:valAx>
        <c:axId val="39192832"/>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191296"/>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I.5  Evoluția mediilor anuale ale poluanților monitorizați în stațiile automate, în perioada 2008-2015</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SO2_NO2_O3_PM10!$C$6:$C$8</c:f>
              <c:numCache>
                <c:formatCode>General</c:formatCode>
                <c:ptCount val="3"/>
                <c:pt idx="0">
                  <c:v>23.75</c:v>
                </c:pt>
                <c:pt idx="1">
                  <c:v>14.64</c:v>
                </c:pt>
              </c:numCache>
            </c:numRef>
          </c:val>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SO2_NO2_O3_PM10!$D$6:$D$8</c:f>
              <c:numCache>
                <c:formatCode>General</c:formatCode>
                <c:ptCount val="3"/>
                <c:pt idx="0">
                  <c:v>23.62</c:v>
                </c:pt>
                <c:pt idx="1">
                  <c:v>18.670000000000002</c:v>
                </c:pt>
                <c:pt idx="2">
                  <c:v>11.89</c:v>
                </c:pt>
              </c:numCache>
            </c:numRef>
          </c:val>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SO2_NO2_O3_PM10!$E$6:$E$8</c:f>
              <c:numCache>
                <c:formatCode>General</c:formatCode>
                <c:ptCount val="3"/>
                <c:pt idx="0">
                  <c:v>20.67</c:v>
                </c:pt>
                <c:pt idx="1">
                  <c:v>13.59</c:v>
                </c:pt>
                <c:pt idx="2">
                  <c:v>15.58</c:v>
                </c:pt>
              </c:numCache>
            </c:numRef>
          </c:val>
        </c:ser>
        <c:ser>
          <c:idx val="3"/>
          <c:order val="3"/>
          <c:tx>
            <c:strRef>
              <c:f>SO2_NO2_O3_PM10!$F$5</c:f>
              <c:strCache>
                <c:ptCount val="1"/>
                <c:pt idx="0">
                  <c:v>2011</c:v>
                </c:pt>
              </c:strCache>
            </c:strRef>
          </c:tx>
          <c:spPr>
            <a:solidFill>
              <a:srgbClr val="00B0F0"/>
            </a:solidFill>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SO2_NO2_O3_PM10!$F$6:$F$8</c:f>
              <c:numCache>
                <c:formatCode>General</c:formatCode>
                <c:ptCount val="3"/>
                <c:pt idx="1">
                  <c:v>14.7</c:v>
                </c:pt>
                <c:pt idx="2">
                  <c:v>14.72</c:v>
                </c:pt>
              </c:numCache>
            </c:numRef>
          </c:val>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SO2_NO2_O3_PM10!$G$6:$G$8</c:f>
              <c:numCache>
                <c:formatCode>General</c:formatCode>
                <c:ptCount val="3"/>
                <c:pt idx="0">
                  <c:v>21.64</c:v>
                </c:pt>
                <c:pt idx="1">
                  <c:v>25.03</c:v>
                </c:pt>
                <c:pt idx="2">
                  <c:v>20.350000000000001</c:v>
                </c:pt>
              </c:numCache>
            </c:numRef>
          </c:val>
        </c:ser>
        <c:ser>
          <c:idx val="5"/>
          <c:order val="5"/>
          <c:tx>
            <c:strRef>
              <c:f>SO2_NO2_O3_PM10!$H$5</c:f>
              <c:strCache>
                <c:ptCount val="1"/>
                <c:pt idx="0">
                  <c:v>2013</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SO2_NO2_O3_PM10!$H$6:$H$8</c:f>
              <c:numCache>
                <c:formatCode>General</c:formatCode>
                <c:ptCount val="3"/>
                <c:pt idx="0">
                  <c:v>8.91</c:v>
                </c:pt>
                <c:pt idx="1">
                  <c:v>29.93</c:v>
                </c:pt>
                <c:pt idx="2">
                  <c:v>18.350000000000001</c:v>
                </c:pt>
              </c:numCache>
            </c:numRef>
          </c:val>
        </c:ser>
        <c:ser>
          <c:idx val="6"/>
          <c:order val="6"/>
          <c:tx>
            <c:strRef>
              <c:f>SO2_NO2_O3_PM10!$I$5</c:f>
              <c:strCache>
                <c:ptCount val="1"/>
                <c:pt idx="0">
                  <c:v>2014</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SO2_NO2_O3_PM10!$I$6:$I$8</c:f>
              <c:numCache>
                <c:formatCode>General</c:formatCode>
                <c:ptCount val="3"/>
                <c:pt idx="1">
                  <c:v>18.13</c:v>
                </c:pt>
                <c:pt idx="2">
                  <c:v>22.26</c:v>
                </c:pt>
              </c:numCache>
            </c:numRef>
          </c:val>
        </c:ser>
        <c:ser>
          <c:idx val="7"/>
          <c:order val="7"/>
          <c:tx>
            <c:strRef>
              <c:f>SO2_NO2_O3_PM10!$J$5</c:f>
              <c:strCache>
                <c:ptCount val="1"/>
                <c:pt idx="0">
                  <c:v>2015</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SO2_NO2_O3_PM10!$J$6:$J$8</c:f>
              <c:numCache>
                <c:formatCode>General</c:formatCode>
                <c:ptCount val="3"/>
                <c:pt idx="0">
                  <c:v>7.21</c:v>
                </c:pt>
              </c:numCache>
            </c:numRef>
          </c:val>
        </c:ser>
        <c:dLbls>
          <c:showLegendKey val="0"/>
          <c:showVal val="0"/>
          <c:showCatName val="0"/>
          <c:showSerName val="0"/>
          <c:showPercent val="0"/>
          <c:showBubbleSize val="0"/>
        </c:dLbls>
        <c:gapWidth val="150"/>
        <c:axId val="39248256"/>
        <c:axId val="39249792"/>
      </c:barChart>
      <c:catAx>
        <c:axId val="39248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249792"/>
        <c:crosses val="autoZero"/>
        <c:auto val="1"/>
        <c:lblAlgn val="ctr"/>
        <c:lblOffset val="100"/>
        <c:tickLblSkip val="1"/>
        <c:tickMarkSkip val="1"/>
        <c:noMultiLvlLbl val="0"/>
      </c:catAx>
      <c:valAx>
        <c:axId val="392497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248256"/>
        <c:crosses val="autoZero"/>
        <c:crossBetween val="between"/>
      </c:valAx>
      <c:spPr>
        <a:noFill/>
        <a:ln w="12700">
          <a:solidFill>
            <a:srgbClr val="808080"/>
          </a:solidFill>
          <a:prstDash val="solid"/>
        </a:ln>
      </c:spPr>
    </c:plotArea>
    <c:legend>
      <c:legendPos val="r"/>
      <c:layout>
        <c:manualLayout>
          <c:xMode val="edge"/>
          <c:yMode val="edge"/>
          <c:x val="0.9061976549413735"/>
          <c:y val="0.19508572564286925"/>
          <c:w val="7.955912546107613E-2"/>
          <c:h val="0.631089443440950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I.6. PM</a:t>
            </a:r>
            <a:r>
              <a:rPr lang="ro-RO" sz="1100" baseline="-25000"/>
              <a:t>10</a:t>
            </a:r>
            <a:r>
              <a:rPr lang="ro-RO" sz="1100" baseline="0"/>
              <a:t> gravimetric - </a:t>
            </a:r>
            <a:r>
              <a:rPr lang="ro-RO" sz="1100"/>
              <a:t> Evoluția concentrațiilor medii anuale înregistrate la stațiile automate, în perioada 2008-2014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7.9581880149288201E-2"/>
          <c:y val="0.25253679467540963"/>
          <c:w val="0.80992909901749011"/>
          <c:h val="0.64455139494078451"/>
        </c:manualLayout>
      </c:layout>
      <c:barChart>
        <c:barDir val="col"/>
        <c:grouping val="clustered"/>
        <c:varyColors val="0"/>
        <c:ser>
          <c:idx val="0"/>
          <c:order val="0"/>
          <c:tx>
            <c:strRef>
              <c:f>SO2_NO2_O3_PM10!$C$5</c:f>
              <c:strCache>
                <c:ptCount val="1"/>
                <c:pt idx="0">
                  <c:v>2008</c:v>
                </c:pt>
              </c:strCache>
            </c:strRef>
          </c:tx>
          <c:spPr>
            <a:solidFill>
              <a:srgbClr val="9999FF"/>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numCache>
            </c:numRef>
          </c:val>
        </c:ser>
        <c:ser>
          <c:idx val="1"/>
          <c:order val="1"/>
          <c:tx>
            <c:strRef>
              <c:f>SO2_NO2_O3_PM10!$D$5</c:f>
              <c:strCache>
                <c:ptCount val="1"/>
                <c:pt idx="0">
                  <c:v>2009</c:v>
                </c:pt>
              </c:strCache>
            </c:strRef>
          </c:tx>
          <c:spPr>
            <a:solidFill>
              <a:srgbClr val="993366"/>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SO2_NO2_O3_PM10!$D$6:$D$8</c:f>
              <c:numCache>
                <c:formatCode>General</c:formatCode>
                <c:ptCount val="3"/>
                <c:pt idx="0">
                  <c:v>30.3</c:v>
                </c:pt>
                <c:pt idx="1">
                  <c:v>53.95</c:v>
                </c:pt>
              </c:numCache>
            </c:numRef>
          </c:val>
        </c:ser>
        <c:ser>
          <c:idx val="2"/>
          <c:order val="2"/>
          <c:tx>
            <c:strRef>
              <c:f>SO2_NO2_O3_PM10!$E$5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31.87</c:v>
                </c:pt>
                <c:pt idx="1">
                  <c:v>46.73</c:v>
                </c:pt>
                <c:pt idx="2">
                  <c:v>23.08</c:v>
                </c:pt>
              </c:numCache>
            </c:numRef>
          </c:val>
        </c:ser>
        <c:ser>
          <c:idx val="3"/>
          <c:order val="3"/>
          <c:tx>
            <c:strRef>
              <c:f>SO2_NO2_O3_PM10!$F$5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SO2_NO2_O3_PM10!$F$6:$F$8</c:f>
              <c:numCache>
                <c:formatCode>General</c:formatCode>
                <c:ptCount val="3"/>
                <c:pt idx="0">
                  <c:v>39.86</c:v>
                </c:pt>
                <c:pt idx="2">
                  <c:v>41.77</c:v>
                </c:pt>
              </c:numCache>
            </c:numRef>
          </c:val>
        </c:ser>
        <c:ser>
          <c:idx val="4"/>
          <c:order val="4"/>
          <c:tx>
            <c:strRef>
              <c:f>SO2_NO2_O3_PM10!$G$5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SO2_NO2_O3_PM10!$G$6:$G$8</c:f>
              <c:numCache>
                <c:formatCode>General</c:formatCode>
                <c:ptCount val="3"/>
                <c:pt idx="0">
                  <c:v>34.39</c:v>
                </c:pt>
                <c:pt idx="2">
                  <c:v>33</c:v>
                </c:pt>
              </c:numCache>
            </c:numRef>
          </c:val>
        </c:ser>
        <c:ser>
          <c:idx val="5"/>
          <c:order val="5"/>
          <c:tx>
            <c:strRef>
              <c:f>SO2_NO2_O3_PM10!$H$5</c:f>
              <c:strCache>
                <c:ptCount val="1"/>
                <c:pt idx="0">
                  <c:v>2013</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pt idx="1">
                  <c:v>38.78</c:v>
                </c:pt>
                <c:pt idx="2">
                  <c:v>25.96</c:v>
                </c:pt>
              </c:numCache>
            </c:numRef>
          </c:val>
        </c:ser>
        <c:ser>
          <c:idx val="6"/>
          <c:order val="6"/>
          <c:tx>
            <c:strRef>
              <c:f>SO2_NO2_O3_PM10!$I$5</c:f>
              <c:strCache>
                <c:ptCount val="1"/>
                <c:pt idx="0">
                  <c:v>2014</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1">
                  <c:v>33.81</c:v>
                </c:pt>
                <c:pt idx="2">
                  <c:v>21.6</c:v>
                </c:pt>
              </c:numCache>
            </c:numRef>
          </c:val>
        </c:ser>
        <c:dLbls>
          <c:showLegendKey val="0"/>
          <c:showVal val="0"/>
          <c:showCatName val="0"/>
          <c:showSerName val="0"/>
          <c:showPercent val="0"/>
          <c:showBubbleSize val="0"/>
        </c:dLbls>
        <c:gapWidth val="150"/>
        <c:axId val="38882304"/>
        <c:axId val="38888192"/>
      </c:barChart>
      <c:catAx>
        <c:axId val="3888230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8888192"/>
        <c:crosses val="autoZero"/>
        <c:auto val="1"/>
        <c:lblAlgn val="ctr"/>
        <c:lblOffset val="100"/>
        <c:tickLblSkip val="1"/>
        <c:tickMarkSkip val="1"/>
        <c:noMultiLvlLbl val="0"/>
      </c:catAx>
      <c:valAx>
        <c:axId val="38888192"/>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8882304"/>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a:t>Fig. I.7 CO - Evoluția mediilor anuale monitorizate la stațiile automate, în perioada 2008-2015</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SO2_NO2_O3_PM10!$C$6:$C$8</c:f>
              <c:numCache>
                <c:formatCode>General</c:formatCode>
                <c:ptCount val="3"/>
                <c:pt idx="0">
                  <c:v>0.32</c:v>
                </c:pt>
                <c:pt idx="1">
                  <c:v>0.34</c:v>
                </c:pt>
              </c:numCache>
            </c:numRef>
          </c:val>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SO2_NO2_O3_PM10!$D$6:$D$8</c:f>
              <c:numCache>
                <c:formatCode>General</c:formatCode>
                <c:ptCount val="3"/>
                <c:pt idx="0">
                  <c:v>0.31</c:v>
                </c:pt>
                <c:pt idx="1">
                  <c:v>0.35</c:v>
                </c:pt>
                <c:pt idx="2">
                  <c:v>0.53</c:v>
                </c:pt>
              </c:numCache>
            </c:numRef>
          </c:val>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SO2_NO2_O3_PM10!$E$6:$E$8</c:f>
              <c:numCache>
                <c:formatCode>General</c:formatCode>
                <c:ptCount val="3"/>
                <c:pt idx="0">
                  <c:v>0.48</c:v>
                </c:pt>
                <c:pt idx="1">
                  <c:v>0.36</c:v>
                </c:pt>
                <c:pt idx="2">
                  <c:v>0.42</c:v>
                </c:pt>
              </c:numCache>
            </c:numRef>
          </c:val>
        </c:ser>
        <c:ser>
          <c:idx val="3"/>
          <c:order val="3"/>
          <c:tx>
            <c:strRef>
              <c:f>SO2_NO2_O3_PM10!$F$5</c:f>
              <c:strCache>
                <c:ptCount val="1"/>
                <c:pt idx="0">
                  <c:v>2011</c:v>
                </c:pt>
              </c:strCache>
            </c:strRef>
          </c:tx>
          <c:spPr>
            <a:solidFill>
              <a:srgbClr val="00B0F0"/>
            </a:solidFill>
          </c:spPr>
          <c:invertIfNegative val="0"/>
          <c:cat>
            <c:multiLvlStrRef>
              <c:f>SO2_NO2_O3_PM10!$A$6:$B$8</c:f>
              <c:multiLvlStrCache>
                <c:ptCount val="3"/>
                <c:lvl>
                  <c:pt idx="0">
                    <c:v>GJ-1</c:v>
                  </c:pt>
                  <c:pt idx="1">
                    <c:v>GJ-2</c:v>
                  </c:pt>
                  <c:pt idx="2">
                    <c:v>GJ-3</c:v>
                  </c:pt>
                </c:lvl>
                <c:lvl>
                  <c:pt idx="0">
                    <c:v>CO</c:v>
                  </c:pt>
                </c:lvl>
              </c:multiLvlStrCache>
            </c:multiLvlStrRef>
          </c:cat>
          <c:val>
            <c:numRef>
              <c:f>SO2_NO2_O3_PM10!$F$6:$F$8</c:f>
              <c:numCache>
                <c:formatCode>General</c:formatCode>
                <c:ptCount val="3"/>
                <c:pt idx="0">
                  <c:v>0.51</c:v>
                </c:pt>
                <c:pt idx="1">
                  <c:v>0.52</c:v>
                </c:pt>
              </c:numCache>
            </c:numRef>
          </c:val>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SO2_NO2_O3_PM10!$G$6:$G$8</c:f>
              <c:numCache>
                <c:formatCode>General</c:formatCode>
                <c:ptCount val="3"/>
                <c:pt idx="0">
                  <c:v>0.4</c:v>
                </c:pt>
                <c:pt idx="1">
                  <c:v>0.42</c:v>
                </c:pt>
                <c:pt idx="2">
                  <c:v>0.68</c:v>
                </c:pt>
              </c:numCache>
            </c:numRef>
          </c:val>
        </c:ser>
        <c:ser>
          <c:idx val="5"/>
          <c:order val="5"/>
          <c:tx>
            <c:strRef>
              <c:f>SO2_NO2_O3_PM10!$H$5</c:f>
              <c:strCache>
                <c:ptCount val="1"/>
                <c:pt idx="0">
                  <c:v>2013</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SO2_NO2_O3_PM10!$H$6:$H$8</c:f>
              <c:numCache>
                <c:formatCode>General</c:formatCode>
                <c:ptCount val="3"/>
                <c:pt idx="0">
                  <c:v>0.49</c:v>
                </c:pt>
                <c:pt idx="1">
                  <c:v>0.28999999999999998</c:v>
                </c:pt>
              </c:numCache>
            </c:numRef>
          </c:val>
        </c:ser>
        <c:ser>
          <c:idx val="6"/>
          <c:order val="6"/>
          <c:tx>
            <c:strRef>
              <c:f>SO2_NO2_O3_PM10!$I$5</c:f>
              <c:strCache>
                <c:ptCount val="1"/>
                <c:pt idx="0">
                  <c:v>2014</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SO2_NO2_O3_PM10!$I$6:$I$8</c:f>
              <c:numCache>
                <c:formatCode>General</c:formatCode>
                <c:ptCount val="3"/>
                <c:pt idx="1">
                  <c:v>0.28000000000000003</c:v>
                </c:pt>
              </c:numCache>
            </c:numRef>
          </c:val>
        </c:ser>
        <c:ser>
          <c:idx val="7"/>
          <c:order val="7"/>
          <c:tx>
            <c:strRef>
              <c:f>SO2_NO2_O3_PM10!$J$5</c:f>
              <c:strCache>
                <c:ptCount val="1"/>
                <c:pt idx="0">
                  <c:v>2015</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SO2_NO2_O3_PM10!$J$6:$J$8</c:f>
              <c:numCache>
                <c:formatCode>General</c:formatCode>
                <c:ptCount val="3"/>
                <c:pt idx="0">
                  <c:v>0.48</c:v>
                </c:pt>
              </c:numCache>
            </c:numRef>
          </c:val>
        </c:ser>
        <c:dLbls>
          <c:showLegendKey val="0"/>
          <c:showVal val="0"/>
          <c:showCatName val="0"/>
          <c:showSerName val="0"/>
          <c:showPercent val="0"/>
          <c:showBubbleSize val="0"/>
        </c:dLbls>
        <c:gapWidth val="150"/>
        <c:axId val="38837248"/>
        <c:axId val="38851328"/>
      </c:barChart>
      <c:catAx>
        <c:axId val="38837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8851328"/>
        <c:crosses val="autoZero"/>
        <c:auto val="1"/>
        <c:lblAlgn val="ctr"/>
        <c:lblOffset val="100"/>
        <c:tickLblSkip val="1"/>
        <c:tickMarkSkip val="1"/>
        <c:noMultiLvlLbl val="0"/>
      </c:catAx>
      <c:valAx>
        <c:axId val="388513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ro-RO"/>
                  <a:t>microg/mc</a:t>
                </a:r>
              </a:p>
            </c:rich>
          </c:tx>
          <c:layout>
            <c:manualLayout>
              <c:xMode val="edge"/>
              <c:yMode val="edge"/>
              <c:x val="2.6800670016750419E-2"/>
              <c:y val="0.427616926503340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8837248"/>
        <c:crosses val="autoZero"/>
        <c:crossBetween val="between"/>
      </c:valAx>
      <c:spPr>
        <a:noFill/>
        <a:ln w="12700">
          <a:solidFill>
            <a:srgbClr val="808080"/>
          </a:solidFill>
          <a:prstDash val="solid"/>
        </a:ln>
      </c:spPr>
    </c:plotArea>
    <c:legend>
      <c:legendPos val="r"/>
      <c:layout>
        <c:manualLayout>
          <c:xMode val="edge"/>
          <c:yMode val="edge"/>
          <c:x val="0.9061976549413735"/>
          <c:y val="0.26775802154178119"/>
          <c:w val="7.9559184887782436E-2"/>
          <c:h val="0.509432725148569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I.8. O</a:t>
            </a:r>
            <a:r>
              <a:rPr lang="ro-RO" sz="1100" baseline="-25000"/>
              <a:t>3</a:t>
            </a:r>
            <a:r>
              <a:rPr lang="ro-RO" sz="1100" baseline="0"/>
              <a:t> - </a:t>
            </a:r>
            <a:r>
              <a:rPr lang="ro-RO" sz="1100"/>
              <a:t> Evoluția concentrațiilor medii anuale înregistrate la stațiile automate, în perioada 2008-2014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7.9581880149288201E-2"/>
          <c:y val="0.25253679467540963"/>
          <c:w val="0.80992909901749011"/>
          <c:h val="0.64455139494078451"/>
        </c:manualLayout>
      </c:layout>
      <c:barChart>
        <c:barDir val="col"/>
        <c:grouping val="clustered"/>
        <c:varyColors val="0"/>
        <c:ser>
          <c:idx val="0"/>
          <c:order val="0"/>
          <c:tx>
            <c:strRef>
              <c:f>SO2_NO2_O3_PM10!$C$5</c:f>
              <c:strCache>
                <c:ptCount val="1"/>
                <c:pt idx="0">
                  <c:v>2008</c:v>
                </c:pt>
              </c:strCache>
            </c:strRef>
          </c:tx>
          <c:spPr>
            <a:solidFill>
              <a:srgbClr val="9999FF"/>
            </a:solidFill>
            <a:ln w="12704">
              <a:solidFill>
                <a:srgbClr val="000000"/>
              </a:solidFill>
              <a:prstDash val="solid"/>
            </a:ln>
          </c:spPr>
          <c:invertIfNegative val="0"/>
          <c:cat>
            <c:strRef>
              <c:f>SO2_NO2_O3_PM10!$B$6:$B$7</c:f>
              <c:strCache>
                <c:ptCount val="2"/>
                <c:pt idx="0">
                  <c:v>GJ-1</c:v>
                </c:pt>
                <c:pt idx="1">
                  <c:v>GJ-2</c:v>
                </c:pt>
              </c:strCache>
            </c:strRef>
          </c:cat>
          <c:val>
            <c:numRef>
              <c:f>SO2_NO2_O3_PM10!$C$6:$C$7</c:f>
              <c:numCache>
                <c:formatCode>General</c:formatCode>
                <c:ptCount val="2"/>
                <c:pt idx="0">
                  <c:v>56.06</c:v>
                </c:pt>
                <c:pt idx="1">
                  <c:v>57.58</c:v>
                </c:pt>
              </c:numCache>
            </c:numRef>
          </c:val>
        </c:ser>
        <c:ser>
          <c:idx val="1"/>
          <c:order val="1"/>
          <c:tx>
            <c:strRef>
              <c:f>SO2_NO2_O3_PM10!$D$5</c:f>
              <c:strCache>
                <c:ptCount val="1"/>
                <c:pt idx="0">
                  <c:v>2009</c:v>
                </c:pt>
              </c:strCache>
            </c:strRef>
          </c:tx>
          <c:spPr>
            <a:solidFill>
              <a:srgbClr val="993366"/>
            </a:solidFill>
            <a:ln w="12704">
              <a:solidFill>
                <a:srgbClr val="000000"/>
              </a:solidFill>
              <a:prstDash val="solid"/>
            </a:ln>
          </c:spPr>
          <c:invertIfNegative val="0"/>
          <c:cat>
            <c:strRef>
              <c:f>SO2_NO2_O3_PM10!$B$6:$B$7</c:f>
              <c:strCache>
                <c:ptCount val="2"/>
                <c:pt idx="0">
                  <c:v>GJ-1</c:v>
                </c:pt>
                <c:pt idx="1">
                  <c:v>GJ-2</c:v>
                </c:pt>
              </c:strCache>
            </c:strRef>
          </c:cat>
          <c:val>
            <c:numRef>
              <c:f>SO2_NO2_O3_PM10!$D$6:$D$7</c:f>
              <c:numCache>
                <c:formatCode>General</c:formatCode>
                <c:ptCount val="2"/>
                <c:pt idx="0">
                  <c:v>38.49</c:v>
                </c:pt>
                <c:pt idx="1">
                  <c:v>40.68</c:v>
                </c:pt>
              </c:numCache>
            </c:numRef>
          </c:val>
        </c:ser>
        <c:ser>
          <c:idx val="2"/>
          <c:order val="2"/>
          <c:tx>
            <c:strRef>
              <c:f>SO2_NO2_O3_PM10!$E$5</c:f>
              <c:strCache>
                <c:ptCount val="1"/>
                <c:pt idx="0">
                  <c:v>2010</c:v>
                </c:pt>
              </c:strCache>
            </c:strRef>
          </c:tx>
          <c:spPr>
            <a:solidFill>
              <a:srgbClr val="FFFFCC"/>
            </a:solidFill>
            <a:ln w="12704">
              <a:solidFill>
                <a:srgbClr val="000000"/>
              </a:solidFill>
              <a:prstDash val="solid"/>
            </a:ln>
          </c:spPr>
          <c:invertIfNegative val="0"/>
          <c:cat>
            <c:strRef>
              <c:f>SO2_NO2_O3_PM10!$B$6:$B$7</c:f>
              <c:strCache>
                <c:ptCount val="2"/>
                <c:pt idx="0">
                  <c:v>GJ-1</c:v>
                </c:pt>
                <c:pt idx="1">
                  <c:v>GJ-2</c:v>
                </c:pt>
              </c:strCache>
            </c:strRef>
          </c:cat>
          <c:val>
            <c:numRef>
              <c:f>SO2_NO2_O3_PM10!$E$6:$E$7</c:f>
              <c:numCache>
                <c:formatCode>General</c:formatCode>
                <c:ptCount val="2"/>
                <c:pt idx="0">
                  <c:v>28.16</c:v>
                </c:pt>
                <c:pt idx="1">
                  <c:v>21.62</c:v>
                </c:pt>
              </c:numCache>
            </c:numRef>
          </c:val>
        </c:ser>
        <c:ser>
          <c:idx val="3"/>
          <c:order val="3"/>
          <c:tx>
            <c:strRef>
              <c:f>SO2_NO2_O3_PM10!$F$5</c:f>
              <c:strCache>
                <c:ptCount val="1"/>
                <c:pt idx="0">
                  <c:v>2011</c:v>
                </c:pt>
              </c:strCache>
            </c:strRef>
          </c:tx>
          <c:spPr>
            <a:solidFill>
              <a:srgbClr val="00B0F0"/>
            </a:solidFill>
          </c:spPr>
          <c:invertIfNegative val="0"/>
          <c:cat>
            <c:strRef>
              <c:f>SO2_NO2_O3_PM10!$B$6:$B$7</c:f>
              <c:strCache>
                <c:ptCount val="2"/>
                <c:pt idx="0">
                  <c:v>GJ-1</c:v>
                </c:pt>
                <c:pt idx="1">
                  <c:v>GJ-2</c:v>
                </c:pt>
              </c:strCache>
            </c:strRef>
          </c:cat>
          <c:val>
            <c:numRef>
              <c:f>SO2_NO2_O3_PM10!$F$6:$F$7</c:f>
              <c:numCache>
                <c:formatCode>General</c:formatCode>
                <c:ptCount val="2"/>
                <c:pt idx="0">
                  <c:v>23.83</c:v>
                </c:pt>
                <c:pt idx="1">
                  <c:v>24.51</c:v>
                </c:pt>
              </c:numCache>
            </c:numRef>
          </c:val>
        </c:ser>
        <c:ser>
          <c:idx val="4"/>
          <c:order val="4"/>
          <c:tx>
            <c:strRef>
              <c:f>SO2_NO2_O3_PM10!$G$5</c:f>
              <c:strCache>
                <c:ptCount val="1"/>
                <c:pt idx="0">
                  <c:v>2012</c:v>
                </c:pt>
              </c:strCache>
            </c:strRef>
          </c:tx>
          <c:spPr>
            <a:solidFill>
              <a:srgbClr val="FF00FF"/>
            </a:solidFill>
            <a:ln w="12704">
              <a:solidFill>
                <a:srgbClr val="FF00FF"/>
              </a:solidFill>
              <a:prstDash val="solid"/>
            </a:ln>
          </c:spPr>
          <c:invertIfNegative val="0"/>
          <c:cat>
            <c:strRef>
              <c:f>SO2_NO2_O3_PM10!$B$6:$B$7</c:f>
              <c:strCache>
                <c:ptCount val="2"/>
                <c:pt idx="0">
                  <c:v>GJ-1</c:v>
                </c:pt>
                <c:pt idx="1">
                  <c:v>GJ-2</c:v>
                </c:pt>
              </c:strCache>
            </c:strRef>
          </c:cat>
          <c:val>
            <c:numRef>
              <c:f>SO2_NO2_O3_PM10!$G$6:$G$7</c:f>
              <c:numCache>
                <c:formatCode>General</c:formatCode>
                <c:ptCount val="2"/>
                <c:pt idx="0">
                  <c:v>29.27</c:v>
                </c:pt>
                <c:pt idx="1">
                  <c:v>29.81</c:v>
                </c:pt>
              </c:numCache>
            </c:numRef>
          </c:val>
        </c:ser>
        <c:ser>
          <c:idx val="5"/>
          <c:order val="5"/>
          <c:tx>
            <c:strRef>
              <c:f>SO2_NO2_O3_PM10!$H$5</c:f>
              <c:strCache>
                <c:ptCount val="1"/>
                <c:pt idx="0">
                  <c:v>2013</c:v>
                </c:pt>
              </c:strCache>
            </c:strRef>
          </c:tx>
          <c:invertIfNegative val="0"/>
          <c:cat>
            <c:strRef>
              <c:f>SO2_NO2_O3_PM10!$B$6:$B$7</c:f>
              <c:strCache>
                <c:ptCount val="2"/>
                <c:pt idx="0">
                  <c:v>GJ-1</c:v>
                </c:pt>
                <c:pt idx="1">
                  <c:v>GJ-2</c:v>
                </c:pt>
              </c:strCache>
            </c:strRef>
          </c:cat>
          <c:val>
            <c:numRef>
              <c:f>SO2_NO2_O3_PM10!$H$6:$H$7</c:f>
              <c:numCache>
                <c:formatCode>General</c:formatCode>
                <c:ptCount val="2"/>
                <c:pt idx="0">
                  <c:v>27.27</c:v>
                </c:pt>
                <c:pt idx="1">
                  <c:v>18.38</c:v>
                </c:pt>
              </c:numCache>
            </c:numRef>
          </c:val>
        </c:ser>
        <c:ser>
          <c:idx val="6"/>
          <c:order val="6"/>
          <c:tx>
            <c:strRef>
              <c:f>SO2_NO2_O3_PM10!$I$5</c:f>
              <c:strCache>
                <c:ptCount val="1"/>
                <c:pt idx="0">
                  <c:v>2014</c:v>
                </c:pt>
              </c:strCache>
            </c:strRef>
          </c:tx>
          <c:invertIfNegative val="0"/>
          <c:cat>
            <c:strRef>
              <c:f>SO2_NO2_O3_PM10!$B$6:$B$7</c:f>
              <c:strCache>
                <c:ptCount val="2"/>
                <c:pt idx="0">
                  <c:v>GJ-1</c:v>
                </c:pt>
                <c:pt idx="1">
                  <c:v>GJ-2</c:v>
                </c:pt>
              </c:strCache>
            </c:strRef>
          </c:cat>
          <c:val>
            <c:numRef>
              <c:f>SO2_NO2_O3_PM10!$I$6:$I$7</c:f>
              <c:numCache>
                <c:formatCode>General</c:formatCode>
                <c:ptCount val="2"/>
                <c:pt idx="1">
                  <c:v>18.37</c:v>
                </c:pt>
              </c:numCache>
            </c:numRef>
          </c:val>
        </c:ser>
        <c:dLbls>
          <c:showLegendKey val="0"/>
          <c:showVal val="0"/>
          <c:showCatName val="0"/>
          <c:showSerName val="0"/>
          <c:showPercent val="0"/>
          <c:showBubbleSize val="0"/>
        </c:dLbls>
        <c:gapWidth val="150"/>
        <c:axId val="39028224"/>
        <c:axId val="39029760"/>
      </c:barChart>
      <c:catAx>
        <c:axId val="3902822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029760"/>
        <c:crosses val="autoZero"/>
        <c:auto val="1"/>
        <c:lblAlgn val="ctr"/>
        <c:lblOffset val="100"/>
        <c:tickLblSkip val="1"/>
        <c:tickMarkSkip val="1"/>
        <c:noMultiLvlLbl val="0"/>
      </c:catAx>
      <c:valAx>
        <c:axId val="39029760"/>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028224"/>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I.9. Pb</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7.0000000000000001E-3</c:v>
                </c:pt>
                <c:pt idx="1">
                  <c:v>5.0000000000000001E-3</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6.1000000000000004E-3</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5.5999999999999999E-3</c:v>
                </c:pt>
                <c:pt idx="2">
                  <c:v>4.4999999999999997E-3</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3.0999999999999999E-3</c:v>
                </c:pt>
                <c:pt idx="2">
                  <c:v>2.3999999999999998E-3</c:v>
                </c:pt>
              </c:numCache>
            </c:numRef>
          </c:val>
        </c:ser>
        <c:dLbls>
          <c:showLegendKey val="0"/>
          <c:showVal val="0"/>
          <c:showCatName val="0"/>
          <c:showSerName val="0"/>
          <c:showPercent val="0"/>
          <c:showBubbleSize val="0"/>
        </c:dLbls>
        <c:gapWidth val="150"/>
        <c:axId val="39643776"/>
        <c:axId val="39645568"/>
      </c:barChart>
      <c:catAx>
        <c:axId val="3964377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645568"/>
        <c:crosses val="autoZero"/>
        <c:auto val="1"/>
        <c:lblAlgn val="ctr"/>
        <c:lblOffset val="100"/>
        <c:tickLblSkip val="1"/>
        <c:tickMarkSkip val="1"/>
        <c:noMultiLvlLbl val="0"/>
      </c:catAx>
      <c:valAx>
        <c:axId val="39645568"/>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643776"/>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I.10. As</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2010-2014</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1.845</c:v>
                </c:pt>
                <c:pt idx="1">
                  <c:v>2.2639999999999998</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1.6689000000000001</c:v>
                </c:pt>
                <c:pt idx="1">
                  <c:v>2.3048000000000002</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0.53129999999999999</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1.6799999999999999E-2</c:v>
                </c:pt>
                <c:pt idx="2">
                  <c:v>1.1599999999999999E-2</c:v>
                </c:pt>
              </c:numCache>
            </c:numRef>
          </c:val>
        </c:ser>
        <c:dLbls>
          <c:showLegendKey val="0"/>
          <c:showVal val="0"/>
          <c:showCatName val="0"/>
          <c:showSerName val="0"/>
          <c:showPercent val="0"/>
          <c:showBubbleSize val="0"/>
        </c:dLbls>
        <c:gapWidth val="150"/>
        <c:axId val="41898368"/>
        <c:axId val="41899904"/>
      </c:barChart>
      <c:catAx>
        <c:axId val="4189836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1899904"/>
        <c:crosses val="autoZero"/>
        <c:auto val="1"/>
        <c:lblAlgn val="ctr"/>
        <c:lblOffset val="100"/>
        <c:tickLblSkip val="1"/>
        <c:tickMarkSkip val="1"/>
        <c:noMultiLvlLbl val="0"/>
      </c:catAx>
      <c:valAx>
        <c:axId val="41899904"/>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1898368"/>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E26C-5D1C-4BF1-91B8-40D5DA6A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23</Pages>
  <Words>5035</Words>
  <Characters>31951</Characters>
  <Application>Microsoft Office Word</Application>
  <DocSecurity>0</DocSecurity>
  <Lines>266</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36913</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I.P.M.</dc:creator>
  <cp:lastModifiedBy>Liliana Crac</cp:lastModifiedBy>
  <cp:revision>25</cp:revision>
  <cp:lastPrinted>2015-07-29T09:34:00Z</cp:lastPrinted>
  <dcterms:created xsi:type="dcterms:W3CDTF">2015-07-22T10:28:00Z</dcterms:created>
  <dcterms:modified xsi:type="dcterms:W3CDTF">2016-08-17T08:31:00Z</dcterms:modified>
</cp:coreProperties>
</file>