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B8" w:rsidRDefault="002A24B8" w:rsidP="002A24B8">
      <w:pPr>
        <w:rPr>
          <w:rFonts w:ascii="Arial" w:hAnsi="Arial" w:cs="Arial"/>
          <w:b/>
          <w:sz w:val="24"/>
          <w:szCs w:val="24"/>
        </w:rPr>
      </w:pPr>
      <w:r w:rsidRPr="00B53E3A">
        <w:rPr>
          <w:rFonts w:ascii="Arial" w:hAnsi="Arial" w:cs="Arial"/>
          <w:b/>
          <w:sz w:val="24"/>
          <w:szCs w:val="24"/>
        </w:rPr>
        <w:t>X</w:t>
      </w:r>
      <w:r>
        <w:rPr>
          <w:rFonts w:ascii="Arial" w:hAnsi="Arial" w:cs="Arial"/>
          <w:b/>
          <w:sz w:val="24"/>
          <w:szCs w:val="24"/>
        </w:rPr>
        <w:t xml:space="preserve">. </w:t>
      </w:r>
      <w:proofErr w:type="spellStart"/>
      <w:r>
        <w:rPr>
          <w:rFonts w:ascii="Arial" w:hAnsi="Arial" w:cs="Arial"/>
          <w:b/>
          <w:sz w:val="24"/>
          <w:szCs w:val="24"/>
        </w:rPr>
        <w:t>Consumul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mediul</w:t>
      </w:r>
      <w:proofErr w:type="spellEnd"/>
      <w:r>
        <w:rPr>
          <w:rFonts w:ascii="Arial" w:hAnsi="Arial" w:cs="Arial"/>
          <w:b/>
          <w:sz w:val="24"/>
          <w:szCs w:val="24"/>
        </w:rPr>
        <w:t xml:space="preserve"> </w:t>
      </w:r>
      <w:proofErr w:type="spellStart"/>
      <w:r>
        <w:rPr>
          <w:rFonts w:ascii="Arial" w:hAnsi="Arial" w:cs="Arial"/>
          <w:b/>
          <w:sz w:val="24"/>
          <w:szCs w:val="24"/>
        </w:rPr>
        <w:t>înconjurător</w:t>
      </w:r>
      <w:proofErr w:type="spellEnd"/>
    </w:p>
    <w:p w:rsidR="008A76C7" w:rsidRDefault="008A76C7" w:rsidP="002A24B8">
      <w:pPr>
        <w:rPr>
          <w:rFonts w:ascii="Arial" w:hAnsi="Arial" w:cs="Arial"/>
          <w:b/>
          <w:sz w:val="24"/>
          <w:szCs w:val="24"/>
        </w:rPr>
      </w:pPr>
    </w:p>
    <w:p w:rsidR="002A24B8" w:rsidRDefault="002A24B8" w:rsidP="002A24B8">
      <w:pPr>
        <w:rPr>
          <w:rFonts w:ascii="Arial" w:hAnsi="Arial" w:cs="Arial"/>
          <w:b/>
          <w:sz w:val="24"/>
          <w:szCs w:val="24"/>
        </w:rPr>
      </w:pPr>
      <w:r>
        <w:rPr>
          <w:rFonts w:ascii="Arial" w:hAnsi="Arial" w:cs="Arial"/>
          <w:b/>
          <w:sz w:val="24"/>
          <w:szCs w:val="24"/>
        </w:rPr>
        <w:t xml:space="preserve">   X.1.Tendințe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consum</w:t>
      </w:r>
      <w:proofErr w:type="spellEnd"/>
    </w:p>
    <w:p w:rsidR="002A24B8" w:rsidRPr="003C3DB0" w:rsidRDefault="002A24B8" w:rsidP="002A24B8">
      <w:pPr>
        <w:rPr>
          <w:rFonts w:ascii="Arial" w:hAnsi="Arial" w:cs="Arial"/>
          <w:b/>
          <w:sz w:val="24"/>
          <w:szCs w:val="24"/>
          <w:lang w:val="ro-RO"/>
        </w:rPr>
      </w:pPr>
    </w:p>
    <w:p w:rsidR="002A24B8" w:rsidRPr="003C3DB0" w:rsidRDefault="002A24B8" w:rsidP="00B605F2">
      <w:pPr>
        <w:ind w:firstLine="708"/>
        <w:jc w:val="both"/>
        <w:rPr>
          <w:rFonts w:ascii="Arial" w:hAnsi="Arial" w:cs="Arial"/>
          <w:sz w:val="24"/>
          <w:szCs w:val="24"/>
          <w:lang w:val="ro-RO"/>
        </w:rPr>
      </w:pPr>
      <w:r>
        <w:rPr>
          <w:rFonts w:ascii="Arial" w:hAnsi="Arial" w:cs="Arial"/>
          <w:sz w:val="24"/>
          <w:szCs w:val="24"/>
          <w:lang w:val="ro-RO"/>
        </w:rPr>
        <w:t>C</w:t>
      </w:r>
      <w:r w:rsidRPr="003C3DB0">
        <w:rPr>
          <w:rFonts w:ascii="Arial" w:hAnsi="Arial" w:cs="Arial"/>
          <w:sz w:val="24"/>
          <w:szCs w:val="24"/>
          <w:lang w:val="ro-RO"/>
        </w:rPr>
        <w:t>onsumul populaţiei presupune utilizarea bunurilor şi/sau serviciilor în scopul satisfacerii necesit</w:t>
      </w:r>
      <w:r>
        <w:rPr>
          <w:rFonts w:ascii="Arial" w:hAnsi="Arial" w:cs="Arial"/>
          <w:sz w:val="24"/>
          <w:szCs w:val="24"/>
          <w:lang w:val="ro-RO"/>
        </w:rPr>
        <w:t xml:space="preserve">ăţilor personale.  </w:t>
      </w:r>
    </w:p>
    <w:p w:rsidR="002A24B8" w:rsidRDefault="002A24B8" w:rsidP="00B605F2">
      <w:pPr>
        <w:jc w:val="both"/>
        <w:rPr>
          <w:rFonts w:ascii="Arial" w:hAnsi="Arial" w:cs="Arial"/>
          <w:sz w:val="24"/>
          <w:szCs w:val="24"/>
          <w:lang w:val="ro-RO"/>
        </w:rPr>
      </w:pPr>
      <w:r w:rsidRPr="003C3DB0">
        <w:rPr>
          <w:rFonts w:ascii="Arial" w:hAnsi="Arial" w:cs="Arial"/>
          <w:sz w:val="24"/>
          <w:szCs w:val="24"/>
          <w:lang w:val="ro-RO"/>
        </w:rPr>
        <w:t>Pe măsură</w:t>
      </w:r>
      <w:r>
        <w:rPr>
          <w:rFonts w:ascii="Arial" w:hAnsi="Arial" w:cs="Arial"/>
          <w:sz w:val="24"/>
          <w:szCs w:val="24"/>
          <w:lang w:val="ro-RO"/>
        </w:rPr>
        <w:t xml:space="preserve"> ce veniturile cresc, crește </w:t>
      </w:r>
      <w:r w:rsidRPr="003C3DB0">
        <w:rPr>
          <w:rFonts w:ascii="Arial" w:hAnsi="Arial" w:cs="Arial"/>
          <w:sz w:val="24"/>
          <w:szCs w:val="24"/>
          <w:lang w:val="ro-RO"/>
        </w:rPr>
        <w:t xml:space="preserve">consumul și cererea de mai multă hrană și </w:t>
      </w:r>
      <w:r>
        <w:rPr>
          <w:rFonts w:ascii="Arial" w:hAnsi="Arial" w:cs="Arial"/>
          <w:sz w:val="24"/>
          <w:szCs w:val="24"/>
          <w:lang w:val="ro-RO"/>
        </w:rPr>
        <w:t>energie</w:t>
      </w:r>
      <w:r w:rsidRPr="003C3DB0">
        <w:rPr>
          <w:rFonts w:ascii="Arial" w:hAnsi="Arial" w:cs="Arial"/>
          <w:sz w:val="24"/>
          <w:szCs w:val="24"/>
          <w:lang w:val="ro-RO"/>
        </w:rPr>
        <w:t>, de locuințe mai mari, de</w:t>
      </w:r>
      <w:r>
        <w:rPr>
          <w:rFonts w:ascii="Arial" w:hAnsi="Arial" w:cs="Arial"/>
          <w:sz w:val="24"/>
          <w:szCs w:val="24"/>
          <w:lang w:val="ro-RO"/>
        </w:rPr>
        <w:t xml:space="preserve"> bunuri ( e</w:t>
      </w:r>
      <w:r w:rsidRPr="003C3DB0">
        <w:rPr>
          <w:rFonts w:ascii="Arial" w:hAnsi="Arial" w:cs="Arial"/>
          <w:sz w:val="24"/>
          <w:szCs w:val="24"/>
          <w:lang w:val="ro-RO"/>
        </w:rPr>
        <w:t>lectrocasnice, mobilă</w:t>
      </w:r>
      <w:r>
        <w:rPr>
          <w:rFonts w:ascii="Arial" w:hAnsi="Arial" w:cs="Arial"/>
          <w:sz w:val="24"/>
          <w:szCs w:val="24"/>
          <w:lang w:val="ro-RO"/>
        </w:rPr>
        <w:t>, autovehicule), produse (detergenți, î</w:t>
      </w:r>
      <w:r w:rsidRPr="003C3DB0">
        <w:rPr>
          <w:rFonts w:ascii="Arial" w:hAnsi="Arial" w:cs="Arial"/>
          <w:sz w:val="24"/>
          <w:szCs w:val="24"/>
          <w:lang w:val="ro-RO"/>
        </w:rPr>
        <w:t>mbrăcăminte,</w:t>
      </w:r>
      <w:r>
        <w:rPr>
          <w:rFonts w:ascii="Arial" w:hAnsi="Arial" w:cs="Arial"/>
          <w:sz w:val="24"/>
          <w:szCs w:val="24"/>
          <w:lang w:val="ro-RO"/>
        </w:rPr>
        <w:t xml:space="preserve"> încălțăminte) și </w:t>
      </w:r>
      <w:r w:rsidRPr="003C3DB0">
        <w:rPr>
          <w:rFonts w:ascii="Arial" w:hAnsi="Arial" w:cs="Arial"/>
          <w:sz w:val="24"/>
          <w:szCs w:val="24"/>
          <w:lang w:val="ro-RO"/>
        </w:rPr>
        <w:t xml:space="preserve"> transporturi.</w:t>
      </w:r>
      <w:r>
        <w:rPr>
          <w:rFonts w:ascii="Arial" w:hAnsi="Arial" w:cs="Arial"/>
          <w:sz w:val="24"/>
          <w:szCs w:val="24"/>
          <w:lang w:val="ro-RO"/>
        </w:rPr>
        <w:t xml:space="preserve"> Un consum mai mare de bunuri și servicii aduce cu sine și un impact semnificativ asupra mediului înconjurător. </w:t>
      </w:r>
      <w:r w:rsidR="00B74F67">
        <w:rPr>
          <w:rFonts w:ascii="Arial" w:hAnsi="Arial" w:cs="Arial"/>
          <w:sz w:val="24"/>
          <w:szCs w:val="24"/>
          <w:lang w:val="ro-RO"/>
        </w:rPr>
        <w:t xml:space="preserve">Creștera veniturilor populației duce automat la creșterea consumului. </w:t>
      </w:r>
    </w:p>
    <w:p w:rsidR="00B74F67" w:rsidRDefault="00B74F67" w:rsidP="00205133">
      <w:pPr>
        <w:spacing w:line="360" w:lineRule="auto"/>
        <w:jc w:val="both"/>
        <w:rPr>
          <w:rFonts w:ascii="Arial" w:hAnsi="Arial" w:cs="Arial"/>
          <w:sz w:val="24"/>
          <w:szCs w:val="24"/>
          <w:lang w:val="ro-RO"/>
        </w:rPr>
      </w:pPr>
    </w:p>
    <w:p w:rsidR="00690CDE" w:rsidRPr="00690CDE" w:rsidRDefault="00690CDE" w:rsidP="00205133">
      <w:pPr>
        <w:spacing w:line="360" w:lineRule="auto"/>
        <w:jc w:val="both"/>
        <w:rPr>
          <w:rFonts w:ascii="Arial" w:hAnsi="Arial" w:cs="Arial"/>
          <w:lang w:val="ro-RO"/>
        </w:rPr>
      </w:pPr>
      <w:r>
        <w:rPr>
          <w:rFonts w:ascii="Arial" w:hAnsi="Arial" w:cs="Arial"/>
          <w:sz w:val="24"/>
          <w:szCs w:val="24"/>
          <w:lang w:val="ro-RO"/>
        </w:rPr>
        <w:t xml:space="preserve">Tabel IX.1. </w:t>
      </w:r>
      <w:r w:rsidRPr="00690CDE">
        <w:rPr>
          <w:rFonts w:ascii="Arial" w:hAnsi="Arial" w:cs="Arial"/>
          <w:lang w:val="ro-RO"/>
        </w:rPr>
        <w:t xml:space="preserve">Veniturile totale medii lunare pe o gospodarie, </w:t>
      </w:r>
      <w:r>
        <w:rPr>
          <w:rFonts w:ascii="Arial" w:hAnsi="Arial" w:cs="Arial"/>
          <w:lang w:val="ro-RO"/>
        </w:rPr>
        <w:t>pe regiunea</w:t>
      </w:r>
      <w:r w:rsidRPr="00690CDE">
        <w:rPr>
          <w:rFonts w:ascii="Arial" w:hAnsi="Arial" w:cs="Arial"/>
          <w:lang w:val="ro-RO"/>
        </w:rPr>
        <w:t xml:space="preserve"> de dezvoltare</w:t>
      </w:r>
      <w:r>
        <w:rPr>
          <w:rFonts w:ascii="Arial" w:hAnsi="Arial" w:cs="Arial"/>
          <w:lang w:val="ro-RO"/>
        </w:rPr>
        <w:t xml:space="preserve">  S–V Oltenia</w:t>
      </w:r>
    </w:p>
    <w:tbl>
      <w:tblPr>
        <w:tblW w:w="5000" w:type="pct"/>
        <w:tblCellMar>
          <w:top w:w="75" w:type="dxa"/>
          <w:left w:w="75" w:type="dxa"/>
          <w:bottom w:w="75" w:type="dxa"/>
          <w:right w:w="75" w:type="dxa"/>
        </w:tblCellMar>
        <w:tblLook w:val="04A0" w:firstRow="1" w:lastRow="0" w:firstColumn="1" w:lastColumn="0" w:noHBand="0" w:noVBand="1"/>
      </w:tblPr>
      <w:tblGrid>
        <w:gridCol w:w="2066"/>
        <w:gridCol w:w="1744"/>
        <w:gridCol w:w="1884"/>
        <w:gridCol w:w="867"/>
        <w:gridCol w:w="867"/>
        <w:gridCol w:w="867"/>
        <w:gridCol w:w="867"/>
      </w:tblGrid>
      <w:tr w:rsidR="00690CDE" w:rsidRPr="00FC0BB6" w:rsidTr="00690CDE">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ABF - Categorii de venituri, intrari de bani si in natura</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ABF - Principalele categorii sociale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Macroregiuni si regiuni de dezvoltare</w:t>
            </w: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Perioade</w:t>
            </w:r>
          </w:p>
        </w:tc>
      </w:tr>
      <w:tr w:rsidR="00690CDE" w:rsidRPr="00FC0BB6" w:rsidTr="00690CDE">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Anul 2015</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Anul 2016</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Anul 2017</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Anul 2018</w:t>
            </w:r>
          </w:p>
        </w:tc>
      </w:tr>
      <w:tr w:rsidR="00690CDE" w:rsidRPr="00FC0BB6" w:rsidTr="00690CDE">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UM: Lei, lei RON (incepand cu 2005)</w:t>
            </w:r>
          </w:p>
        </w:tc>
      </w:tr>
      <w:tr w:rsidR="00690CDE" w:rsidRPr="00FC0BB6" w:rsidTr="00690CDE">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690CDE" w:rsidRPr="00FC0BB6" w:rsidRDefault="00690CDE" w:rsidP="00690CDE">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Lei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Lei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Lei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Lei</w:t>
            </w:r>
          </w:p>
        </w:tc>
      </w:tr>
      <w:tr w:rsidR="00690CDE" w:rsidRPr="00FC0BB6" w:rsidTr="00690CDE">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Venituri totale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2686,77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2944,6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3391,67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4251,26</w:t>
            </w:r>
          </w:p>
        </w:tc>
      </w:tr>
      <w:tr w:rsidR="00690CDE" w:rsidRPr="00FC0BB6" w:rsidTr="00690CDE">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690CDE" w:rsidRPr="00FC0BB6" w:rsidRDefault="00690CDE" w:rsidP="00690CDE">
            <w:pPr>
              <w:spacing w:before="150" w:after="150"/>
              <w:rPr>
                <w:rFonts w:ascii="Arial" w:hAnsi="Arial" w:cs="Arial"/>
                <w:bCs/>
                <w:color w:val="000000"/>
                <w:lang w:val="ro-RO"/>
              </w:rPr>
            </w:pPr>
            <w:r w:rsidRPr="00FC0BB6">
              <w:rPr>
                <w:rFonts w:ascii="Arial" w:hAnsi="Arial" w:cs="Arial"/>
                <w:bCs/>
                <w:color w:val="000000"/>
                <w:lang w:val="ro-RO"/>
              </w:rPr>
              <w:t>Regiunea SUD-VEST OLTENIA</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2448,02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2631,88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2994,76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690CDE" w:rsidRPr="00FC0BB6" w:rsidRDefault="00690CDE" w:rsidP="00690CDE">
            <w:pPr>
              <w:spacing w:before="150" w:after="150"/>
              <w:jc w:val="right"/>
              <w:rPr>
                <w:rFonts w:ascii="Arial" w:hAnsi="Arial" w:cs="Arial"/>
                <w:color w:val="000000"/>
                <w:lang w:val="ro-RO"/>
              </w:rPr>
            </w:pPr>
            <w:r w:rsidRPr="00FC0BB6">
              <w:rPr>
                <w:rFonts w:ascii="Arial" w:hAnsi="Arial" w:cs="Arial"/>
                <w:color w:val="000000"/>
                <w:lang w:val="ro-RO"/>
              </w:rPr>
              <w:t>3637,77</w:t>
            </w:r>
          </w:p>
        </w:tc>
      </w:tr>
    </w:tbl>
    <w:p w:rsidR="00DE0D7D" w:rsidRPr="00FC0BB6" w:rsidRDefault="00DE0D7D" w:rsidP="002A24B8">
      <w:pPr>
        <w:jc w:val="both"/>
        <w:rPr>
          <w:rFonts w:ascii="Arial" w:hAnsi="Arial" w:cs="Arial"/>
          <w:lang w:val="ro-RO"/>
        </w:rPr>
      </w:pPr>
    </w:p>
    <w:p w:rsidR="00DE0D7D" w:rsidRPr="00FC0BB6" w:rsidRDefault="00DE0D7D" w:rsidP="002A24B8">
      <w:pPr>
        <w:jc w:val="both"/>
        <w:rPr>
          <w:rFonts w:ascii="Arial" w:hAnsi="Arial" w:cs="Arial"/>
          <w:lang w:val="ro-RO"/>
        </w:rPr>
      </w:pPr>
    </w:p>
    <w:p w:rsidR="00690CDE" w:rsidRPr="00A63ECA" w:rsidRDefault="00690CDE" w:rsidP="002A24B8">
      <w:pPr>
        <w:jc w:val="both"/>
        <w:rPr>
          <w:rFonts w:ascii="Arial" w:hAnsi="Arial" w:cs="Arial"/>
          <w:sz w:val="24"/>
          <w:szCs w:val="24"/>
          <w:lang w:val="ro-RO"/>
        </w:rPr>
      </w:pPr>
    </w:p>
    <w:p w:rsidR="00B13A56" w:rsidRPr="003C3DB0" w:rsidRDefault="00B13A56" w:rsidP="002A24B8">
      <w:pPr>
        <w:jc w:val="both"/>
        <w:rPr>
          <w:rFonts w:ascii="Arial" w:hAnsi="Arial" w:cs="Arial"/>
          <w:sz w:val="24"/>
          <w:szCs w:val="24"/>
        </w:rPr>
      </w:pPr>
    </w:p>
    <w:p w:rsidR="002A24B8" w:rsidRDefault="002A24B8" w:rsidP="002A24B8">
      <w:pPr>
        <w:rPr>
          <w:rFonts w:ascii="Arial" w:hAnsi="Arial" w:cs="Arial"/>
          <w:b/>
          <w:sz w:val="24"/>
          <w:szCs w:val="24"/>
        </w:rPr>
      </w:pPr>
      <w:r w:rsidRPr="00205133">
        <w:rPr>
          <w:rFonts w:ascii="Arial" w:hAnsi="Arial" w:cs="Arial"/>
          <w:b/>
          <w:sz w:val="24"/>
          <w:szCs w:val="24"/>
        </w:rPr>
        <w:t xml:space="preserve">   X.1.1. </w:t>
      </w:r>
      <w:proofErr w:type="spellStart"/>
      <w:r w:rsidRPr="00205133">
        <w:rPr>
          <w:rFonts w:ascii="Arial" w:hAnsi="Arial" w:cs="Arial"/>
          <w:b/>
          <w:sz w:val="24"/>
          <w:szCs w:val="24"/>
        </w:rPr>
        <w:t>Alimente</w:t>
      </w:r>
      <w:proofErr w:type="spellEnd"/>
      <w:r w:rsidRPr="00205133">
        <w:rPr>
          <w:rFonts w:ascii="Arial" w:hAnsi="Arial" w:cs="Arial"/>
          <w:b/>
          <w:sz w:val="24"/>
          <w:szCs w:val="24"/>
        </w:rPr>
        <w:t xml:space="preserve"> </w:t>
      </w:r>
      <w:proofErr w:type="spellStart"/>
      <w:r w:rsidRPr="00205133">
        <w:rPr>
          <w:rFonts w:ascii="Arial" w:hAnsi="Arial" w:cs="Arial"/>
          <w:b/>
          <w:sz w:val="24"/>
          <w:szCs w:val="24"/>
        </w:rPr>
        <w:t>și</w:t>
      </w:r>
      <w:proofErr w:type="spellEnd"/>
      <w:r w:rsidRPr="00205133">
        <w:rPr>
          <w:rFonts w:ascii="Arial" w:hAnsi="Arial" w:cs="Arial"/>
          <w:b/>
          <w:sz w:val="24"/>
          <w:szCs w:val="24"/>
        </w:rPr>
        <w:t xml:space="preserve"> </w:t>
      </w:r>
      <w:proofErr w:type="spellStart"/>
      <w:r w:rsidRPr="00205133">
        <w:rPr>
          <w:rFonts w:ascii="Arial" w:hAnsi="Arial" w:cs="Arial"/>
          <w:b/>
          <w:sz w:val="24"/>
          <w:szCs w:val="24"/>
        </w:rPr>
        <w:t>băuturi</w:t>
      </w:r>
      <w:proofErr w:type="spellEnd"/>
    </w:p>
    <w:p w:rsidR="00FC0BB6" w:rsidRPr="00205133" w:rsidRDefault="00FC0BB6" w:rsidP="002A24B8">
      <w:pPr>
        <w:rPr>
          <w:rFonts w:ascii="Arial" w:hAnsi="Arial" w:cs="Arial"/>
          <w:b/>
          <w:sz w:val="24"/>
          <w:szCs w:val="24"/>
        </w:rPr>
      </w:pPr>
    </w:p>
    <w:p w:rsidR="002A24B8" w:rsidRPr="00D46E54" w:rsidRDefault="002A24B8" w:rsidP="002A24B8">
      <w:pPr>
        <w:rPr>
          <w:rFonts w:ascii="Arial" w:hAnsi="Arial" w:cs="Arial"/>
          <w:sz w:val="24"/>
          <w:szCs w:val="24"/>
        </w:rPr>
      </w:pPr>
    </w:p>
    <w:p w:rsidR="002A24B8" w:rsidRPr="00D46E54" w:rsidRDefault="00825921" w:rsidP="002A24B8">
      <w:pPr>
        <w:rPr>
          <w:rFonts w:ascii="Arial" w:hAnsi="Arial" w:cs="Arial"/>
          <w:b/>
        </w:rPr>
      </w:pPr>
      <w:proofErr w:type="spellStart"/>
      <w:r>
        <w:rPr>
          <w:rFonts w:ascii="Arial" w:hAnsi="Arial" w:cs="Arial"/>
        </w:rPr>
        <w:t>Tabel</w:t>
      </w:r>
      <w:proofErr w:type="spellEnd"/>
      <w:r>
        <w:rPr>
          <w:rFonts w:ascii="Arial" w:hAnsi="Arial" w:cs="Arial"/>
        </w:rPr>
        <w:t xml:space="preserve"> X.1.1. </w:t>
      </w:r>
      <w:proofErr w:type="spellStart"/>
      <w:r w:rsidR="004A0CF8" w:rsidRPr="00D46E54">
        <w:rPr>
          <w:rFonts w:ascii="Arial" w:hAnsi="Arial" w:cs="Arial"/>
        </w:rPr>
        <w:t>Evoluția</w:t>
      </w:r>
      <w:proofErr w:type="spellEnd"/>
      <w:r w:rsidR="004A0CF8" w:rsidRPr="00D46E54">
        <w:rPr>
          <w:rFonts w:ascii="Arial" w:hAnsi="Arial" w:cs="Arial"/>
        </w:rPr>
        <w:t xml:space="preserve"> </w:t>
      </w:r>
      <w:proofErr w:type="spellStart"/>
      <w:r w:rsidR="004A0CF8" w:rsidRPr="00D46E54">
        <w:rPr>
          <w:rFonts w:ascii="Arial" w:hAnsi="Arial" w:cs="Arial"/>
        </w:rPr>
        <w:t>consumului</w:t>
      </w:r>
      <w:proofErr w:type="spellEnd"/>
      <w:r w:rsidR="004A0CF8" w:rsidRPr="00D46E54">
        <w:rPr>
          <w:rFonts w:ascii="Arial" w:hAnsi="Arial" w:cs="Arial"/>
        </w:rPr>
        <w:t xml:space="preserve"> </w:t>
      </w:r>
      <w:proofErr w:type="spellStart"/>
      <w:r w:rsidR="004A0CF8" w:rsidRPr="00D46E54">
        <w:rPr>
          <w:rFonts w:ascii="Arial" w:hAnsi="Arial" w:cs="Arial"/>
        </w:rPr>
        <w:t>mediu</w:t>
      </w:r>
      <w:proofErr w:type="spellEnd"/>
      <w:r w:rsidR="004A0CF8" w:rsidRPr="00D46E54">
        <w:rPr>
          <w:rFonts w:ascii="Arial" w:hAnsi="Arial" w:cs="Arial"/>
        </w:rPr>
        <w:t xml:space="preserve"> </w:t>
      </w:r>
      <w:proofErr w:type="spellStart"/>
      <w:r w:rsidR="004A0CF8" w:rsidRPr="00D46E54">
        <w:rPr>
          <w:rFonts w:ascii="Arial" w:hAnsi="Arial" w:cs="Arial"/>
        </w:rPr>
        <w:t>an</w:t>
      </w:r>
      <w:r w:rsidR="002A24B8" w:rsidRPr="00D46E54">
        <w:rPr>
          <w:rFonts w:ascii="Arial" w:hAnsi="Arial" w:cs="Arial"/>
        </w:rPr>
        <w:t>ual</w:t>
      </w:r>
      <w:proofErr w:type="spellEnd"/>
      <w:r w:rsidR="002A24B8" w:rsidRPr="00D46E54">
        <w:rPr>
          <w:rFonts w:ascii="Arial" w:hAnsi="Arial" w:cs="Arial"/>
        </w:rPr>
        <w:t xml:space="preserve"> </w:t>
      </w:r>
      <w:proofErr w:type="spellStart"/>
      <w:r w:rsidR="002A24B8" w:rsidRPr="00D46E54">
        <w:rPr>
          <w:rFonts w:ascii="Arial" w:hAnsi="Arial" w:cs="Arial"/>
        </w:rPr>
        <w:t>pe</w:t>
      </w:r>
      <w:proofErr w:type="spellEnd"/>
      <w:r w:rsidR="002A24B8" w:rsidRPr="00D46E54">
        <w:rPr>
          <w:rFonts w:ascii="Arial" w:hAnsi="Arial" w:cs="Arial"/>
        </w:rPr>
        <w:t xml:space="preserve"> </w:t>
      </w:r>
      <w:proofErr w:type="spellStart"/>
      <w:r w:rsidR="002A24B8" w:rsidRPr="00D46E54">
        <w:rPr>
          <w:rFonts w:ascii="Arial" w:hAnsi="Arial" w:cs="Arial"/>
        </w:rPr>
        <w:t>locuitor</w:t>
      </w:r>
      <w:proofErr w:type="spellEnd"/>
      <w:r w:rsidR="002A24B8" w:rsidRPr="00D46E54">
        <w:rPr>
          <w:rFonts w:ascii="Arial" w:hAnsi="Arial" w:cs="Arial"/>
        </w:rPr>
        <w:t xml:space="preserve">, la </w:t>
      </w:r>
      <w:proofErr w:type="spellStart"/>
      <w:r w:rsidR="002A24B8" w:rsidRPr="00D46E54">
        <w:rPr>
          <w:rFonts w:ascii="Arial" w:hAnsi="Arial" w:cs="Arial"/>
        </w:rPr>
        <w:t>principalele</w:t>
      </w:r>
      <w:proofErr w:type="spellEnd"/>
      <w:r w:rsidR="002A24B8" w:rsidRPr="00D46E54">
        <w:rPr>
          <w:rFonts w:ascii="Arial" w:hAnsi="Arial" w:cs="Arial"/>
        </w:rPr>
        <w:t xml:space="preserve"> </w:t>
      </w:r>
      <w:proofErr w:type="spellStart"/>
      <w:r w:rsidR="002A24B8" w:rsidRPr="00D46E54">
        <w:rPr>
          <w:rFonts w:ascii="Arial" w:hAnsi="Arial" w:cs="Arial"/>
        </w:rPr>
        <w:t>alimente</w:t>
      </w:r>
      <w:proofErr w:type="spellEnd"/>
      <w:r w:rsidR="002A24B8" w:rsidRPr="00D46E54">
        <w:rPr>
          <w:rFonts w:ascii="Arial" w:hAnsi="Arial" w:cs="Arial"/>
        </w:rPr>
        <w:t xml:space="preserve"> </w:t>
      </w:r>
      <w:proofErr w:type="spellStart"/>
      <w:r w:rsidR="002A24B8" w:rsidRPr="00D46E54">
        <w:rPr>
          <w:rFonts w:ascii="Arial" w:hAnsi="Arial" w:cs="Arial"/>
        </w:rPr>
        <w:t>și</w:t>
      </w:r>
      <w:proofErr w:type="spellEnd"/>
      <w:r w:rsidR="002A24B8" w:rsidRPr="00D46E54">
        <w:rPr>
          <w:rFonts w:ascii="Arial" w:hAnsi="Arial" w:cs="Arial"/>
        </w:rPr>
        <w:t xml:space="preserve"> </w:t>
      </w:r>
      <w:proofErr w:type="spellStart"/>
      <w:r w:rsidR="002A24B8" w:rsidRPr="00D46E54">
        <w:rPr>
          <w:rFonts w:ascii="Arial" w:hAnsi="Arial" w:cs="Arial"/>
        </w:rPr>
        <w:t>băuturi</w:t>
      </w:r>
      <w:proofErr w:type="spellEnd"/>
      <w:r w:rsidR="002A24B8" w:rsidRPr="00D46E54">
        <w:rPr>
          <w:rFonts w:ascii="Arial" w:hAnsi="Arial" w:cs="Arial"/>
        </w:rPr>
        <w:t xml:space="preserve">, </w:t>
      </w:r>
      <w:r w:rsidR="002A24B8" w:rsidRPr="00D46E54">
        <w:rPr>
          <w:rFonts w:ascii="Arial" w:hAnsi="Arial" w:cs="Arial"/>
          <w:b/>
        </w:rPr>
        <w:t xml:space="preserve">la </w:t>
      </w:r>
      <w:proofErr w:type="spellStart"/>
      <w:r w:rsidR="002A24B8" w:rsidRPr="00D46E54">
        <w:rPr>
          <w:rFonts w:ascii="Arial" w:hAnsi="Arial" w:cs="Arial"/>
          <w:b/>
        </w:rPr>
        <w:t>nivel</w:t>
      </w:r>
      <w:proofErr w:type="spellEnd"/>
      <w:r w:rsidR="002A24B8" w:rsidRPr="00D46E54">
        <w:rPr>
          <w:rFonts w:ascii="Arial" w:hAnsi="Arial" w:cs="Arial"/>
          <w:b/>
        </w:rPr>
        <w:t xml:space="preserve"> national</w:t>
      </w:r>
    </w:p>
    <w:tbl>
      <w:tblPr>
        <w:tblW w:w="5000" w:type="pct"/>
        <w:tblCellMar>
          <w:top w:w="75" w:type="dxa"/>
          <w:left w:w="75" w:type="dxa"/>
          <w:bottom w:w="75" w:type="dxa"/>
          <w:right w:w="75" w:type="dxa"/>
        </w:tblCellMar>
        <w:tblLook w:val="04A0" w:firstRow="1" w:lastRow="0" w:firstColumn="1" w:lastColumn="0" w:noHBand="0" w:noVBand="1"/>
      </w:tblPr>
      <w:tblGrid>
        <w:gridCol w:w="4420"/>
        <w:gridCol w:w="2276"/>
        <w:gridCol w:w="822"/>
        <w:gridCol w:w="822"/>
        <w:gridCol w:w="822"/>
      </w:tblGrid>
      <w:tr w:rsidR="00755C84" w:rsidRPr="00755C84" w:rsidTr="00755C84">
        <w:tc>
          <w:tcPr>
            <w:tcW w:w="0" w:type="auto"/>
            <w:gridSpan w:val="5"/>
            <w:tcBorders>
              <w:top w:val="single" w:sz="6" w:space="0" w:color="CCCCCC"/>
              <w:left w:val="single" w:sz="6" w:space="0" w:color="CCCCCC"/>
              <w:bottom w:val="single" w:sz="12" w:space="0" w:color="CCCCCC"/>
              <w:right w:val="single" w:sz="6" w:space="0" w:color="CCCCCC"/>
            </w:tcBorders>
            <w:shd w:val="clear" w:color="auto" w:fill="9DBAE8"/>
            <w:tcMar>
              <w:top w:w="45" w:type="dxa"/>
              <w:left w:w="45" w:type="dxa"/>
              <w:bottom w:w="45" w:type="dxa"/>
              <w:right w:w="45" w:type="dxa"/>
            </w:tcMar>
            <w:vAlign w:val="center"/>
            <w:hideMark/>
          </w:tcPr>
          <w:p w:rsidR="00755C84" w:rsidRPr="00755C84" w:rsidRDefault="00755C84" w:rsidP="00755C84">
            <w:pPr>
              <w:spacing w:before="150" w:after="150"/>
              <w:rPr>
                <w:rFonts w:ascii="Arial" w:hAnsi="Arial" w:cs="Arial"/>
                <w:b/>
                <w:bCs/>
                <w:color w:val="000000"/>
                <w:lang w:val="ro-RO"/>
              </w:rPr>
            </w:pPr>
          </w:p>
        </w:tc>
      </w:tr>
      <w:tr w:rsidR="00755C84" w:rsidRPr="00755C84" w:rsidTr="00755C84">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Principalele produse alimentare si bauturi</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Unitati de masura</w:t>
            </w:r>
          </w:p>
        </w:tc>
        <w:tc>
          <w:tcPr>
            <w:tcW w:w="0" w:type="auto"/>
            <w:gridSpan w:val="3"/>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Ani</w:t>
            </w:r>
          </w:p>
        </w:tc>
      </w:tr>
      <w:tr w:rsidR="00755C84" w:rsidRPr="00755C84" w:rsidTr="00755C84">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755C84" w:rsidRPr="00FC0BB6" w:rsidRDefault="00755C84" w:rsidP="00755C84">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vAlign w:val="center"/>
            <w:hideMark/>
          </w:tcPr>
          <w:p w:rsidR="00755C84" w:rsidRPr="00FC0BB6" w:rsidRDefault="00755C84" w:rsidP="00755C84">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Anul 2015</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Anul 2016</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Anul 2017</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Cereale si produse din cereale in echivalent boabe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211,2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208,4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208,2</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Cartofi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98,3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95,5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96,6</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lastRenderedPageBreak/>
              <w:t>Leguminoase boabe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3,2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2,4</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Legume si produse din legume in echivalent legume proaspete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158,5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155,8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162,1</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Fructe si produse din fructe in echivalent fructe proaspete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87,8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96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96,1</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Fructe meridionale si exotice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29,8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34,4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34,7</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Alte fructe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9,5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10,5</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Pepeni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20,9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20,4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23,3</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Zahar si produse din zahar in echivalent zahar (inclusiv miere)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25,6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25,3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25,7</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Carne si produse din carne in echivalent carne proaspata</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63,4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65,5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68,4</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Ulei comestibil (greutate bruta)</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14,6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14,3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14,5</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Unt (greutate bruta)</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1,2</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Margarina (greutate bruta)</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3,6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3,9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4,1</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Grasimi vegetale si animale (100% grasimi)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 echivalent 100% grasimi</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19,3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19,6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19,9</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Lapte si produse din lapte in echivalent lapte 3,5% grasime (exclusiv unt)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250,7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253,6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251,4</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Lapte si produse din lapte in echivalent lapte 3,5% grasime (exclusiv untul)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Litri</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243,4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246,2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244,1</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Oua</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Bucati</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262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267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255</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Peste si produse din peste in echivalent peste proaspat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Kilograme</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5,5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5,9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6,3</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Vin si produse din vin</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Litri</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21,8</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Bere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Litri</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88,3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88,9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89,5</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Bauturi alcoolice distilate (alcool 100%)</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Litri alcool pur (100%)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1,5</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lastRenderedPageBreak/>
              <w:t>Bauturi nealcoolice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Litri</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179,3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188,6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213,2</w:t>
            </w:r>
          </w:p>
        </w:tc>
      </w:tr>
      <w:tr w:rsidR="00755C84" w:rsidRPr="00755C84" w:rsidTr="00755C84">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Consum total de alcool (alcool 100%)</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755C84" w:rsidRPr="00FC0BB6" w:rsidRDefault="00755C84" w:rsidP="00755C84">
            <w:pPr>
              <w:spacing w:before="150" w:after="150"/>
              <w:rPr>
                <w:rFonts w:ascii="Arial" w:hAnsi="Arial" w:cs="Arial"/>
                <w:bCs/>
                <w:color w:val="000000"/>
                <w:lang w:val="ro-RO"/>
              </w:rPr>
            </w:pPr>
            <w:r w:rsidRPr="00FC0BB6">
              <w:rPr>
                <w:rFonts w:ascii="Arial" w:hAnsi="Arial" w:cs="Arial"/>
                <w:bCs/>
                <w:color w:val="000000"/>
                <w:lang w:val="ro-RO"/>
              </w:rPr>
              <w:t>Litri alcool pur (100%)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7,9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lang w:val="ro-RO"/>
              </w:rPr>
              <w:t>8,1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755C84" w:rsidRPr="00FC0BB6" w:rsidRDefault="00755C84" w:rsidP="00755C84">
            <w:pPr>
              <w:spacing w:before="150" w:after="150"/>
              <w:jc w:val="right"/>
              <w:rPr>
                <w:rFonts w:ascii="Arial" w:hAnsi="Arial" w:cs="Arial"/>
                <w:color w:val="000000"/>
                <w:lang w:val="ro-RO"/>
              </w:rPr>
            </w:pPr>
            <w:r w:rsidRPr="00FC0BB6">
              <w:rPr>
                <w:rFonts w:ascii="Arial" w:hAnsi="Arial" w:cs="Arial"/>
                <w:color w:val="000000"/>
                <w:u w:val="single"/>
                <w:lang w:val="ro-RO"/>
              </w:rPr>
              <w:t>8,6</w:t>
            </w:r>
          </w:p>
        </w:tc>
      </w:tr>
    </w:tbl>
    <w:p w:rsidR="00755C84" w:rsidRDefault="00755C84" w:rsidP="002A24B8">
      <w:pPr>
        <w:rPr>
          <w:rFonts w:ascii="Arial" w:hAnsi="Arial" w:cs="Arial"/>
          <w:sz w:val="24"/>
          <w:szCs w:val="24"/>
        </w:rPr>
      </w:pPr>
    </w:p>
    <w:p w:rsidR="00755C84" w:rsidRPr="00205133" w:rsidRDefault="00755C84" w:rsidP="002A24B8">
      <w:pPr>
        <w:rPr>
          <w:rFonts w:ascii="Arial" w:hAnsi="Arial" w:cs="Arial"/>
        </w:rPr>
      </w:pPr>
      <w:proofErr w:type="spellStart"/>
      <w:proofErr w:type="gramStart"/>
      <w:r w:rsidRPr="00205133">
        <w:rPr>
          <w:rFonts w:ascii="Arial" w:hAnsi="Arial" w:cs="Arial"/>
        </w:rPr>
        <w:t>Sursa</w:t>
      </w:r>
      <w:proofErr w:type="spellEnd"/>
      <w:r w:rsidRPr="00205133">
        <w:rPr>
          <w:rFonts w:ascii="Arial" w:hAnsi="Arial" w:cs="Arial"/>
        </w:rPr>
        <w:t xml:space="preserve"> :</w:t>
      </w:r>
      <w:proofErr w:type="gramEnd"/>
      <w:r w:rsidRPr="00205133">
        <w:rPr>
          <w:rFonts w:ascii="Arial" w:hAnsi="Arial" w:cs="Arial"/>
        </w:rPr>
        <w:t xml:space="preserve"> </w:t>
      </w:r>
      <w:proofErr w:type="spellStart"/>
      <w:r w:rsidRPr="00205133">
        <w:rPr>
          <w:rFonts w:ascii="Arial" w:hAnsi="Arial" w:cs="Arial"/>
        </w:rPr>
        <w:t>Baza</w:t>
      </w:r>
      <w:proofErr w:type="spellEnd"/>
      <w:r w:rsidRPr="00205133">
        <w:rPr>
          <w:rFonts w:ascii="Arial" w:hAnsi="Arial" w:cs="Arial"/>
        </w:rPr>
        <w:t xml:space="preserve"> de date </w:t>
      </w:r>
      <w:proofErr w:type="spellStart"/>
      <w:r w:rsidRPr="00205133">
        <w:rPr>
          <w:rFonts w:ascii="Arial" w:hAnsi="Arial" w:cs="Arial"/>
        </w:rPr>
        <w:t>a</w:t>
      </w:r>
      <w:proofErr w:type="spellEnd"/>
      <w:r w:rsidRPr="00205133">
        <w:rPr>
          <w:rFonts w:ascii="Arial" w:hAnsi="Arial" w:cs="Arial"/>
        </w:rPr>
        <w:t xml:space="preserve"> INS</w:t>
      </w:r>
    </w:p>
    <w:p w:rsidR="00755C84" w:rsidRDefault="00755C84" w:rsidP="002A24B8">
      <w:pPr>
        <w:rPr>
          <w:rFonts w:ascii="Arial" w:hAnsi="Arial" w:cs="Arial"/>
          <w:sz w:val="24"/>
          <w:szCs w:val="24"/>
        </w:rPr>
      </w:pPr>
    </w:p>
    <w:p w:rsidR="00755C84" w:rsidRDefault="00755C84" w:rsidP="002A24B8">
      <w:pPr>
        <w:rPr>
          <w:rFonts w:ascii="Arial" w:hAnsi="Arial" w:cs="Arial"/>
          <w:sz w:val="24"/>
          <w:szCs w:val="24"/>
        </w:rPr>
      </w:pPr>
    </w:p>
    <w:p w:rsidR="002A24B8" w:rsidRPr="00205133" w:rsidRDefault="002A24B8" w:rsidP="002A24B8">
      <w:pPr>
        <w:rPr>
          <w:rFonts w:ascii="Arial" w:hAnsi="Arial" w:cs="Arial"/>
          <w:b/>
          <w:sz w:val="24"/>
          <w:szCs w:val="24"/>
        </w:rPr>
      </w:pPr>
      <w:r w:rsidRPr="00205133">
        <w:rPr>
          <w:rFonts w:ascii="Arial" w:hAnsi="Arial" w:cs="Arial"/>
          <w:b/>
          <w:sz w:val="24"/>
          <w:szCs w:val="24"/>
        </w:rPr>
        <w:t xml:space="preserve">   X.1.2. </w:t>
      </w:r>
      <w:proofErr w:type="spellStart"/>
      <w:r w:rsidRPr="00205133">
        <w:rPr>
          <w:rFonts w:ascii="Arial" w:hAnsi="Arial" w:cs="Arial"/>
          <w:b/>
          <w:sz w:val="24"/>
          <w:szCs w:val="24"/>
        </w:rPr>
        <w:t>Locuințe</w:t>
      </w:r>
      <w:proofErr w:type="spellEnd"/>
      <w:r w:rsidRPr="00205133">
        <w:rPr>
          <w:rFonts w:ascii="Arial" w:hAnsi="Arial" w:cs="Arial"/>
          <w:b/>
          <w:sz w:val="24"/>
          <w:szCs w:val="24"/>
        </w:rPr>
        <w:t xml:space="preserve"> </w:t>
      </w:r>
    </w:p>
    <w:p w:rsidR="002A24B8" w:rsidRDefault="002A24B8" w:rsidP="002A24B8">
      <w:pPr>
        <w:rPr>
          <w:rFonts w:ascii="Arial" w:hAnsi="Arial" w:cs="Arial"/>
          <w:sz w:val="24"/>
          <w:szCs w:val="24"/>
        </w:rPr>
      </w:pPr>
    </w:p>
    <w:p w:rsidR="002A24B8" w:rsidRDefault="002A24B8" w:rsidP="00B605F2">
      <w:pPr>
        <w:ind w:firstLine="708"/>
        <w:jc w:val="both"/>
        <w:rPr>
          <w:rFonts w:ascii="Arial" w:hAnsi="Arial" w:cs="Arial"/>
          <w:sz w:val="24"/>
          <w:szCs w:val="24"/>
          <w:lang w:val="ro-RO"/>
        </w:rPr>
      </w:pPr>
      <w:r w:rsidRPr="001D4A1B">
        <w:rPr>
          <w:rFonts w:ascii="Arial" w:hAnsi="Arial" w:cs="Arial"/>
          <w:sz w:val="24"/>
          <w:szCs w:val="24"/>
          <w:lang w:val="ro-RO"/>
        </w:rPr>
        <w:t>Condițiile de locuit reprezintă un indice importan</w:t>
      </w:r>
      <w:r w:rsidR="00E377AB">
        <w:rPr>
          <w:rFonts w:ascii="Arial" w:hAnsi="Arial" w:cs="Arial"/>
          <w:sz w:val="24"/>
          <w:szCs w:val="24"/>
          <w:lang w:val="ro-RO"/>
        </w:rPr>
        <w:t>t în bunăstarea populației</w:t>
      </w:r>
      <w:r w:rsidRPr="001D4A1B">
        <w:rPr>
          <w:rFonts w:ascii="Arial" w:hAnsi="Arial" w:cs="Arial"/>
          <w:sz w:val="24"/>
          <w:szCs w:val="24"/>
          <w:lang w:val="ro-RO"/>
        </w:rPr>
        <w:t>, acestea oferind satisfacerea necesităților de ordin biologic, psihologic, social și familial.</w:t>
      </w:r>
    </w:p>
    <w:p w:rsidR="00CB0CCB" w:rsidRDefault="00CB0CCB" w:rsidP="00B605F2">
      <w:pPr>
        <w:ind w:firstLine="708"/>
        <w:jc w:val="both"/>
        <w:rPr>
          <w:rFonts w:ascii="Arial" w:hAnsi="Arial" w:cs="Arial"/>
          <w:sz w:val="24"/>
          <w:szCs w:val="24"/>
          <w:lang w:val="ro-RO"/>
        </w:rPr>
      </w:pPr>
      <w:r w:rsidRPr="00CB0CCB">
        <w:rPr>
          <w:rFonts w:ascii="Arial" w:hAnsi="Arial" w:cs="Arial"/>
          <w:sz w:val="24"/>
          <w:szCs w:val="24"/>
          <w:lang w:val="ro-RO"/>
        </w:rPr>
        <w:t>Autorizaţiile de construire eliberate pentru clădiri rezidenţiale în judeţul Gorj</w:t>
      </w:r>
      <w:r w:rsidR="00E377AB">
        <w:rPr>
          <w:rFonts w:ascii="Arial" w:hAnsi="Arial" w:cs="Arial"/>
          <w:sz w:val="24"/>
          <w:szCs w:val="24"/>
          <w:lang w:val="ro-RO"/>
        </w:rPr>
        <w:t xml:space="preserve"> </w:t>
      </w:r>
      <w:r w:rsidRPr="00CB0CCB">
        <w:rPr>
          <w:rFonts w:ascii="Arial" w:hAnsi="Arial" w:cs="Arial"/>
          <w:sz w:val="24"/>
          <w:szCs w:val="24"/>
          <w:lang w:val="ro-RO"/>
        </w:rPr>
        <w:t>au crescut în luna decembrie 2018 cu 5,9% faţă de luna decembrie 2017</w:t>
      </w:r>
      <w:r w:rsidR="00E377AB">
        <w:rPr>
          <w:rFonts w:ascii="Arial" w:hAnsi="Arial" w:cs="Arial"/>
          <w:sz w:val="24"/>
          <w:szCs w:val="24"/>
          <w:lang w:val="ro-RO"/>
        </w:rPr>
        <w:t xml:space="preserve">. </w:t>
      </w:r>
      <w:r w:rsidRPr="00CB0CCB">
        <w:rPr>
          <w:rFonts w:ascii="Arial" w:hAnsi="Arial" w:cs="Arial"/>
          <w:sz w:val="24"/>
          <w:szCs w:val="24"/>
          <w:lang w:val="ro-RO"/>
        </w:rPr>
        <w:t>În judeţul Gorj, în luna decembrie 2018, s-au eliberat 36 autorizaţii de construire pentru</w:t>
      </w:r>
      <w:r w:rsidR="00205133">
        <w:rPr>
          <w:rFonts w:ascii="Arial" w:hAnsi="Arial" w:cs="Arial"/>
          <w:sz w:val="24"/>
          <w:szCs w:val="24"/>
          <w:lang w:val="ro-RO"/>
        </w:rPr>
        <w:t xml:space="preserve"> </w:t>
      </w:r>
      <w:r w:rsidRPr="00CB0CCB">
        <w:rPr>
          <w:rFonts w:ascii="Arial" w:hAnsi="Arial" w:cs="Arial"/>
          <w:sz w:val="24"/>
          <w:szCs w:val="24"/>
          <w:lang w:val="ro-RO"/>
        </w:rPr>
        <w:t>clădiri rezidenţiale, în creştere cu 5,9% faţă de luna noiembrie 2018.Numărul autorizaţiilor de construire pentru clădiri rezidenţiale eliberate în luna decembrie</w:t>
      </w:r>
      <w:r w:rsidR="00205133">
        <w:rPr>
          <w:rFonts w:ascii="Arial" w:hAnsi="Arial" w:cs="Arial"/>
          <w:sz w:val="24"/>
          <w:szCs w:val="24"/>
          <w:lang w:val="ro-RO"/>
        </w:rPr>
        <w:t xml:space="preserve"> </w:t>
      </w:r>
      <w:r w:rsidRPr="00CB0CCB">
        <w:rPr>
          <w:rFonts w:ascii="Arial" w:hAnsi="Arial" w:cs="Arial"/>
          <w:sz w:val="24"/>
          <w:szCs w:val="24"/>
          <w:lang w:val="ro-RO"/>
        </w:rPr>
        <w:t>2018 a vrescut cu 5,9% faţă de luna decembrie 2017.</w:t>
      </w:r>
    </w:p>
    <w:p w:rsidR="00CB0CCB" w:rsidRDefault="00CB0CCB" w:rsidP="00B605F2">
      <w:pPr>
        <w:ind w:firstLine="708"/>
        <w:jc w:val="both"/>
        <w:rPr>
          <w:rFonts w:ascii="Arial" w:hAnsi="Arial" w:cs="Arial"/>
          <w:sz w:val="24"/>
          <w:szCs w:val="24"/>
        </w:rPr>
      </w:pPr>
      <w:proofErr w:type="spellStart"/>
      <w:r w:rsidRPr="00CB0CCB">
        <w:rPr>
          <w:rFonts w:ascii="Arial" w:hAnsi="Arial" w:cs="Arial"/>
          <w:sz w:val="24"/>
          <w:szCs w:val="24"/>
        </w:rPr>
        <w:t>În</w:t>
      </w:r>
      <w:proofErr w:type="spellEnd"/>
      <w:r w:rsidRPr="00CB0CCB">
        <w:rPr>
          <w:rFonts w:ascii="Arial" w:hAnsi="Arial" w:cs="Arial"/>
          <w:sz w:val="24"/>
          <w:szCs w:val="24"/>
        </w:rPr>
        <w:t xml:space="preserve"> </w:t>
      </w:r>
      <w:proofErr w:type="spellStart"/>
      <w:r w:rsidRPr="00CB0CCB">
        <w:rPr>
          <w:rFonts w:ascii="Arial" w:hAnsi="Arial" w:cs="Arial"/>
          <w:sz w:val="24"/>
          <w:szCs w:val="24"/>
        </w:rPr>
        <w:t>perioada</w:t>
      </w:r>
      <w:proofErr w:type="spellEnd"/>
      <w:r w:rsidRPr="00CB0CCB">
        <w:rPr>
          <w:rFonts w:ascii="Arial" w:hAnsi="Arial" w:cs="Arial"/>
          <w:sz w:val="24"/>
          <w:szCs w:val="24"/>
        </w:rPr>
        <w:t xml:space="preserve"> 1.I-31.XII.2018 s-au </w:t>
      </w:r>
      <w:proofErr w:type="spellStart"/>
      <w:r w:rsidRPr="00CB0CCB">
        <w:rPr>
          <w:rFonts w:ascii="Arial" w:hAnsi="Arial" w:cs="Arial"/>
          <w:sz w:val="24"/>
          <w:szCs w:val="24"/>
        </w:rPr>
        <w:t>eliberat</w:t>
      </w:r>
      <w:proofErr w:type="spellEnd"/>
      <w:r w:rsidRPr="00CB0CCB">
        <w:rPr>
          <w:rFonts w:ascii="Arial" w:hAnsi="Arial" w:cs="Arial"/>
          <w:sz w:val="24"/>
          <w:szCs w:val="24"/>
        </w:rPr>
        <w:t xml:space="preserve"> 519 </w:t>
      </w:r>
      <w:proofErr w:type="spellStart"/>
      <w:r w:rsidRPr="00CB0CCB">
        <w:rPr>
          <w:rFonts w:ascii="Arial" w:hAnsi="Arial" w:cs="Arial"/>
          <w:sz w:val="24"/>
          <w:szCs w:val="24"/>
        </w:rPr>
        <w:t>autorizaţii</w:t>
      </w:r>
      <w:proofErr w:type="spellEnd"/>
      <w:r w:rsidRPr="00CB0CCB">
        <w:rPr>
          <w:rFonts w:ascii="Arial" w:hAnsi="Arial" w:cs="Arial"/>
          <w:sz w:val="24"/>
          <w:szCs w:val="24"/>
        </w:rPr>
        <w:t xml:space="preserve"> de </w:t>
      </w:r>
      <w:proofErr w:type="spellStart"/>
      <w:r w:rsidRPr="00CB0CCB">
        <w:rPr>
          <w:rFonts w:ascii="Arial" w:hAnsi="Arial" w:cs="Arial"/>
          <w:sz w:val="24"/>
          <w:szCs w:val="24"/>
        </w:rPr>
        <w:t>construire</w:t>
      </w:r>
      <w:proofErr w:type="spellEnd"/>
      <w:r w:rsidRPr="00CB0CCB">
        <w:rPr>
          <w:rFonts w:ascii="Arial" w:hAnsi="Arial" w:cs="Arial"/>
          <w:sz w:val="24"/>
          <w:szCs w:val="24"/>
        </w:rPr>
        <w:t xml:space="preserve"> </w:t>
      </w:r>
      <w:proofErr w:type="spellStart"/>
      <w:r w:rsidRPr="00CB0CCB">
        <w:rPr>
          <w:rFonts w:ascii="Arial" w:hAnsi="Arial" w:cs="Arial"/>
          <w:sz w:val="24"/>
          <w:szCs w:val="24"/>
        </w:rPr>
        <w:t>pentru</w:t>
      </w:r>
      <w:proofErr w:type="spellEnd"/>
      <w:r w:rsidRPr="00CB0CCB">
        <w:rPr>
          <w:rFonts w:ascii="Arial" w:hAnsi="Arial" w:cs="Arial"/>
          <w:sz w:val="24"/>
          <w:szCs w:val="24"/>
        </w:rPr>
        <w:t xml:space="preserve"> </w:t>
      </w:r>
      <w:proofErr w:type="spellStart"/>
      <w:r w:rsidRPr="00CB0CCB">
        <w:rPr>
          <w:rFonts w:ascii="Arial" w:hAnsi="Arial" w:cs="Arial"/>
          <w:sz w:val="24"/>
          <w:szCs w:val="24"/>
        </w:rPr>
        <w:t>clădiri</w:t>
      </w:r>
      <w:proofErr w:type="spellEnd"/>
      <w:r w:rsidRPr="00CB0CCB">
        <w:rPr>
          <w:rFonts w:ascii="Arial" w:hAnsi="Arial" w:cs="Arial"/>
          <w:sz w:val="24"/>
          <w:szCs w:val="24"/>
        </w:rPr>
        <w:t xml:space="preserve"> </w:t>
      </w:r>
      <w:proofErr w:type="spellStart"/>
      <w:r w:rsidRPr="00CB0CCB">
        <w:rPr>
          <w:rFonts w:ascii="Arial" w:hAnsi="Arial" w:cs="Arial"/>
          <w:sz w:val="24"/>
          <w:szCs w:val="24"/>
        </w:rPr>
        <w:t>rezidenţiale</w:t>
      </w:r>
      <w:proofErr w:type="spellEnd"/>
      <w:r w:rsidRPr="00CB0CCB">
        <w:rPr>
          <w:rFonts w:ascii="Arial" w:hAnsi="Arial" w:cs="Arial"/>
          <w:sz w:val="24"/>
          <w:szCs w:val="24"/>
        </w:rPr>
        <w:t xml:space="preserve">, </w:t>
      </w:r>
      <w:proofErr w:type="spellStart"/>
      <w:r w:rsidRPr="00CB0CCB">
        <w:rPr>
          <w:rFonts w:ascii="Arial" w:hAnsi="Arial" w:cs="Arial"/>
          <w:sz w:val="24"/>
          <w:szCs w:val="24"/>
        </w:rPr>
        <w:t>în</w:t>
      </w:r>
      <w:proofErr w:type="spellEnd"/>
      <w:r w:rsidRPr="00CB0CCB">
        <w:rPr>
          <w:rFonts w:ascii="Arial" w:hAnsi="Arial" w:cs="Arial"/>
          <w:sz w:val="24"/>
          <w:szCs w:val="24"/>
        </w:rPr>
        <w:t xml:space="preserve"> </w:t>
      </w:r>
      <w:proofErr w:type="spellStart"/>
      <w:r w:rsidRPr="00CB0CCB">
        <w:rPr>
          <w:rFonts w:ascii="Arial" w:hAnsi="Arial" w:cs="Arial"/>
          <w:sz w:val="24"/>
          <w:szCs w:val="24"/>
        </w:rPr>
        <w:t>creştere</w:t>
      </w:r>
      <w:proofErr w:type="spellEnd"/>
      <w:r w:rsidRPr="00CB0CCB">
        <w:rPr>
          <w:rFonts w:ascii="Arial" w:hAnsi="Arial" w:cs="Arial"/>
          <w:sz w:val="24"/>
          <w:szCs w:val="24"/>
        </w:rPr>
        <w:t xml:space="preserve"> cu 11,6% </w:t>
      </w:r>
      <w:proofErr w:type="spellStart"/>
      <w:r w:rsidRPr="00CB0CCB">
        <w:rPr>
          <w:rFonts w:ascii="Arial" w:hAnsi="Arial" w:cs="Arial"/>
          <w:sz w:val="24"/>
          <w:szCs w:val="24"/>
        </w:rPr>
        <w:t>faţă</w:t>
      </w:r>
      <w:proofErr w:type="spellEnd"/>
      <w:r w:rsidRPr="00CB0CCB">
        <w:rPr>
          <w:rFonts w:ascii="Arial" w:hAnsi="Arial" w:cs="Arial"/>
          <w:sz w:val="24"/>
          <w:szCs w:val="24"/>
        </w:rPr>
        <w:t xml:space="preserve"> de </w:t>
      </w:r>
      <w:proofErr w:type="spellStart"/>
      <w:r w:rsidRPr="00CB0CCB">
        <w:rPr>
          <w:rFonts w:ascii="Arial" w:hAnsi="Arial" w:cs="Arial"/>
          <w:sz w:val="24"/>
          <w:szCs w:val="24"/>
        </w:rPr>
        <w:t>aceeaşi</w:t>
      </w:r>
      <w:proofErr w:type="spellEnd"/>
      <w:r w:rsidRPr="00CB0CCB">
        <w:rPr>
          <w:rFonts w:ascii="Arial" w:hAnsi="Arial" w:cs="Arial"/>
          <w:sz w:val="24"/>
          <w:szCs w:val="24"/>
        </w:rPr>
        <w:t xml:space="preserve"> </w:t>
      </w:r>
      <w:proofErr w:type="spellStart"/>
      <w:r w:rsidRPr="00CB0CCB">
        <w:rPr>
          <w:rFonts w:ascii="Arial" w:hAnsi="Arial" w:cs="Arial"/>
          <w:sz w:val="24"/>
          <w:szCs w:val="24"/>
        </w:rPr>
        <w:t>perioadă</w:t>
      </w:r>
      <w:proofErr w:type="spellEnd"/>
      <w:r w:rsidRPr="00CB0CCB">
        <w:rPr>
          <w:rFonts w:ascii="Arial" w:hAnsi="Arial" w:cs="Arial"/>
          <w:sz w:val="24"/>
          <w:szCs w:val="24"/>
        </w:rPr>
        <w:t xml:space="preserve"> a </w:t>
      </w:r>
      <w:proofErr w:type="spellStart"/>
      <w:r w:rsidRPr="00CB0CCB">
        <w:rPr>
          <w:rFonts w:ascii="Arial" w:hAnsi="Arial" w:cs="Arial"/>
          <w:sz w:val="24"/>
          <w:szCs w:val="24"/>
        </w:rPr>
        <w:t>anului</w:t>
      </w:r>
      <w:proofErr w:type="spellEnd"/>
      <w:r w:rsidRPr="00CB0CCB">
        <w:rPr>
          <w:rFonts w:ascii="Arial" w:hAnsi="Arial" w:cs="Arial"/>
          <w:sz w:val="24"/>
          <w:szCs w:val="24"/>
        </w:rPr>
        <w:t xml:space="preserve"> 2017. </w:t>
      </w:r>
      <w:proofErr w:type="spellStart"/>
      <w:proofErr w:type="gramStart"/>
      <w:r w:rsidRPr="00CB0CCB">
        <w:rPr>
          <w:rFonts w:ascii="Arial" w:hAnsi="Arial" w:cs="Arial"/>
          <w:sz w:val="24"/>
          <w:szCs w:val="24"/>
        </w:rPr>
        <w:t>Numărul</w:t>
      </w:r>
      <w:proofErr w:type="spellEnd"/>
      <w:r w:rsidRPr="00CB0CCB">
        <w:rPr>
          <w:rFonts w:ascii="Arial" w:hAnsi="Arial" w:cs="Arial"/>
          <w:sz w:val="24"/>
          <w:szCs w:val="24"/>
        </w:rPr>
        <w:t xml:space="preserve"> </w:t>
      </w:r>
      <w:proofErr w:type="spellStart"/>
      <w:r w:rsidRPr="00CB0CCB">
        <w:rPr>
          <w:rFonts w:ascii="Arial" w:hAnsi="Arial" w:cs="Arial"/>
          <w:sz w:val="24"/>
          <w:szCs w:val="24"/>
        </w:rPr>
        <w:t>autorizaţiilor</w:t>
      </w:r>
      <w:proofErr w:type="spellEnd"/>
      <w:r w:rsidRPr="00CB0CCB">
        <w:rPr>
          <w:rFonts w:ascii="Arial" w:hAnsi="Arial" w:cs="Arial"/>
          <w:sz w:val="24"/>
          <w:szCs w:val="24"/>
        </w:rPr>
        <w:t xml:space="preserve"> de </w:t>
      </w:r>
      <w:proofErr w:type="spellStart"/>
      <w:r w:rsidRPr="00CB0CCB">
        <w:rPr>
          <w:rFonts w:ascii="Arial" w:hAnsi="Arial" w:cs="Arial"/>
          <w:sz w:val="24"/>
          <w:szCs w:val="24"/>
        </w:rPr>
        <w:t>construire</w:t>
      </w:r>
      <w:proofErr w:type="spellEnd"/>
      <w:r w:rsidRPr="00CB0CCB">
        <w:rPr>
          <w:rFonts w:ascii="Arial" w:hAnsi="Arial" w:cs="Arial"/>
          <w:sz w:val="24"/>
          <w:szCs w:val="24"/>
        </w:rPr>
        <w:t xml:space="preserve"> </w:t>
      </w:r>
      <w:proofErr w:type="spellStart"/>
      <w:r w:rsidRPr="00CB0CCB">
        <w:rPr>
          <w:rFonts w:ascii="Arial" w:hAnsi="Arial" w:cs="Arial"/>
          <w:sz w:val="24"/>
          <w:szCs w:val="24"/>
        </w:rPr>
        <w:t>pentru</w:t>
      </w:r>
      <w:proofErr w:type="spellEnd"/>
      <w:r w:rsidRPr="00CB0CCB">
        <w:rPr>
          <w:rFonts w:ascii="Arial" w:hAnsi="Arial" w:cs="Arial"/>
          <w:sz w:val="24"/>
          <w:szCs w:val="24"/>
        </w:rPr>
        <w:t xml:space="preserve"> </w:t>
      </w:r>
      <w:proofErr w:type="spellStart"/>
      <w:r w:rsidRPr="00CB0CCB">
        <w:rPr>
          <w:rFonts w:ascii="Arial" w:hAnsi="Arial" w:cs="Arial"/>
          <w:sz w:val="24"/>
          <w:szCs w:val="24"/>
        </w:rPr>
        <w:t>clădiri</w:t>
      </w:r>
      <w:proofErr w:type="spellEnd"/>
      <w:r w:rsidRPr="00CB0CCB">
        <w:rPr>
          <w:rFonts w:ascii="Arial" w:hAnsi="Arial" w:cs="Arial"/>
          <w:sz w:val="24"/>
          <w:szCs w:val="24"/>
        </w:rPr>
        <w:t xml:space="preserve"> </w:t>
      </w:r>
      <w:proofErr w:type="spellStart"/>
      <w:r w:rsidRPr="00CB0CCB">
        <w:rPr>
          <w:rFonts w:ascii="Arial" w:hAnsi="Arial" w:cs="Arial"/>
          <w:sz w:val="24"/>
          <w:szCs w:val="24"/>
        </w:rPr>
        <w:t>rezidenţiale</w:t>
      </w:r>
      <w:proofErr w:type="spellEnd"/>
      <w:r w:rsidRPr="00CB0CCB">
        <w:rPr>
          <w:rFonts w:ascii="Arial" w:hAnsi="Arial" w:cs="Arial"/>
          <w:sz w:val="24"/>
          <w:szCs w:val="24"/>
        </w:rPr>
        <w:t xml:space="preserve"> </w:t>
      </w:r>
      <w:proofErr w:type="spellStart"/>
      <w:r w:rsidRPr="00CB0CCB">
        <w:rPr>
          <w:rFonts w:ascii="Arial" w:hAnsi="Arial" w:cs="Arial"/>
          <w:sz w:val="24"/>
          <w:szCs w:val="24"/>
        </w:rPr>
        <w:t>eliberate</w:t>
      </w:r>
      <w:proofErr w:type="spellEnd"/>
      <w:r w:rsidRPr="00CB0CCB">
        <w:rPr>
          <w:rFonts w:ascii="Arial" w:hAnsi="Arial" w:cs="Arial"/>
          <w:sz w:val="24"/>
          <w:szCs w:val="24"/>
        </w:rPr>
        <w:t xml:space="preserve"> </w:t>
      </w:r>
      <w:proofErr w:type="spellStart"/>
      <w:r w:rsidRPr="00CB0CCB">
        <w:rPr>
          <w:rFonts w:ascii="Arial" w:hAnsi="Arial" w:cs="Arial"/>
          <w:sz w:val="24"/>
          <w:szCs w:val="24"/>
        </w:rPr>
        <w:t>pentru</w:t>
      </w:r>
      <w:proofErr w:type="spellEnd"/>
      <w:r w:rsidRPr="00CB0CCB">
        <w:rPr>
          <w:rFonts w:ascii="Arial" w:hAnsi="Arial" w:cs="Arial"/>
          <w:sz w:val="24"/>
          <w:szCs w:val="24"/>
        </w:rPr>
        <w:t xml:space="preserve"> </w:t>
      </w:r>
      <w:proofErr w:type="spellStart"/>
      <w:r w:rsidRPr="00CB0CCB">
        <w:rPr>
          <w:rFonts w:ascii="Arial" w:hAnsi="Arial" w:cs="Arial"/>
          <w:sz w:val="24"/>
          <w:szCs w:val="24"/>
        </w:rPr>
        <w:t>mediul</w:t>
      </w:r>
      <w:proofErr w:type="spellEnd"/>
      <w:r w:rsidRPr="00CB0CCB">
        <w:rPr>
          <w:rFonts w:ascii="Arial" w:hAnsi="Arial" w:cs="Arial"/>
          <w:sz w:val="24"/>
          <w:szCs w:val="24"/>
        </w:rPr>
        <w:t xml:space="preserve"> rural, </w:t>
      </w:r>
      <w:proofErr w:type="spellStart"/>
      <w:r w:rsidRPr="00CB0CCB">
        <w:rPr>
          <w:rFonts w:ascii="Arial" w:hAnsi="Arial" w:cs="Arial"/>
          <w:sz w:val="24"/>
          <w:szCs w:val="24"/>
        </w:rPr>
        <w:t>în</w:t>
      </w:r>
      <w:proofErr w:type="spellEnd"/>
      <w:r w:rsidRPr="00CB0CCB">
        <w:rPr>
          <w:rFonts w:ascii="Arial" w:hAnsi="Arial" w:cs="Arial"/>
          <w:sz w:val="24"/>
          <w:szCs w:val="24"/>
        </w:rPr>
        <w:t xml:space="preserve"> </w:t>
      </w:r>
      <w:proofErr w:type="spellStart"/>
      <w:r w:rsidRPr="00CB0CCB">
        <w:rPr>
          <w:rFonts w:ascii="Arial" w:hAnsi="Arial" w:cs="Arial"/>
          <w:sz w:val="24"/>
          <w:szCs w:val="24"/>
        </w:rPr>
        <w:t>perioada</w:t>
      </w:r>
      <w:proofErr w:type="spellEnd"/>
      <w:r w:rsidRPr="00CB0CCB">
        <w:rPr>
          <w:rFonts w:ascii="Arial" w:hAnsi="Arial" w:cs="Arial"/>
          <w:sz w:val="24"/>
          <w:szCs w:val="24"/>
        </w:rPr>
        <w:t xml:space="preserve"> 1.I-31.XII.</w:t>
      </w:r>
      <w:proofErr w:type="gramEnd"/>
      <w:r w:rsidRPr="00CB0CCB">
        <w:rPr>
          <w:rFonts w:ascii="Arial" w:hAnsi="Arial" w:cs="Arial"/>
          <w:sz w:val="24"/>
          <w:szCs w:val="24"/>
        </w:rPr>
        <w:t xml:space="preserve"> 2018 a </w:t>
      </w:r>
      <w:proofErr w:type="spellStart"/>
      <w:r w:rsidRPr="00CB0CCB">
        <w:rPr>
          <w:rFonts w:ascii="Arial" w:hAnsi="Arial" w:cs="Arial"/>
          <w:sz w:val="24"/>
          <w:szCs w:val="24"/>
        </w:rPr>
        <w:t>reprezentat</w:t>
      </w:r>
      <w:proofErr w:type="spellEnd"/>
      <w:r w:rsidRPr="00CB0CCB">
        <w:rPr>
          <w:rFonts w:ascii="Arial" w:hAnsi="Arial" w:cs="Arial"/>
          <w:sz w:val="24"/>
          <w:szCs w:val="24"/>
        </w:rPr>
        <w:t xml:space="preserve"> 54</w:t>
      </w:r>
      <w:proofErr w:type="gramStart"/>
      <w:r w:rsidRPr="00CB0CCB">
        <w:rPr>
          <w:rFonts w:ascii="Arial" w:hAnsi="Arial" w:cs="Arial"/>
          <w:sz w:val="24"/>
          <w:szCs w:val="24"/>
        </w:rPr>
        <w:t>,7</w:t>
      </w:r>
      <w:proofErr w:type="gramEnd"/>
      <w:r w:rsidRPr="00CB0CCB">
        <w:rPr>
          <w:rFonts w:ascii="Arial" w:hAnsi="Arial" w:cs="Arial"/>
          <w:sz w:val="24"/>
          <w:szCs w:val="24"/>
        </w:rPr>
        <w:t xml:space="preserve">% din </w:t>
      </w:r>
      <w:proofErr w:type="spellStart"/>
      <w:r w:rsidRPr="00CB0CCB">
        <w:rPr>
          <w:rFonts w:ascii="Arial" w:hAnsi="Arial" w:cs="Arial"/>
          <w:sz w:val="24"/>
          <w:szCs w:val="24"/>
        </w:rPr>
        <w:t>totalul</w:t>
      </w:r>
      <w:proofErr w:type="spellEnd"/>
      <w:r w:rsidRPr="00CB0CCB">
        <w:rPr>
          <w:rFonts w:ascii="Arial" w:hAnsi="Arial" w:cs="Arial"/>
          <w:sz w:val="24"/>
          <w:szCs w:val="24"/>
        </w:rPr>
        <w:t xml:space="preserve"> </w:t>
      </w:r>
      <w:proofErr w:type="spellStart"/>
      <w:r w:rsidRPr="00CB0CCB">
        <w:rPr>
          <w:rFonts w:ascii="Arial" w:hAnsi="Arial" w:cs="Arial"/>
          <w:sz w:val="24"/>
          <w:szCs w:val="24"/>
        </w:rPr>
        <w:t>autorizaţiilor</w:t>
      </w:r>
      <w:proofErr w:type="spellEnd"/>
      <w:r w:rsidRPr="00CB0CCB">
        <w:rPr>
          <w:rFonts w:ascii="Arial" w:hAnsi="Arial" w:cs="Arial"/>
          <w:sz w:val="24"/>
          <w:szCs w:val="24"/>
        </w:rPr>
        <w:t xml:space="preserve">, </w:t>
      </w:r>
      <w:proofErr w:type="spellStart"/>
      <w:r w:rsidRPr="00CB0CCB">
        <w:rPr>
          <w:rFonts w:ascii="Arial" w:hAnsi="Arial" w:cs="Arial"/>
          <w:sz w:val="24"/>
          <w:szCs w:val="24"/>
        </w:rPr>
        <w:t>fiind</w:t>
      </w:r>
      <w:proofErr w:type="spellEnd"/>
      <w:r w:rsidRPr="00CB0CCB">
        <w:rPr>
          <w:rFonts w:ascii="Arial" w:hAnsi="Arial" w:cs="Arial"/>
          <w:sz w:val="24"/>
          <w:szCs w:val="24"/>
        </w:rPr>
        <w:t xml:space="preserve"> </w:t>
      </w:r>
      <w:proofErr w:type="spellStart"/>
      <w:r w:rsidRPr="00CB0CCB">
        <w:rPr>
          <w:rFonts w:ascii="Arial" w:hAnsi="Arial" w:cs="Arial"/>
          <w:sz w:val="24"/>
          <w:szCs w:val="24"/>
        </w:rPr>
        <w:t>în</w:t>
      </w:r>
      <w:proofErr w:type="spellEnd"/>
      <w:r w:rsidRPr="00CB0CCB">
        <w:rPr>
          <w:rFonts w:ascii="Arial" w:hAnsi="Arial" w:cs="Arial"/>
          <w:sz w:val="24"/>
          <w:szCs w:val="24"/>
        </w:rPr>
        <w:t xml:space="preserve"> </w:t>
      </w:r>
      <w:proofErr w:type="spellStart"/>
      <w:r w:rsidRPr="00CB0CCB">
        <w:rPr>
          <w:rFonts w:ascii="Arial" w:hAnsi="Arial" w:cs="Arial"/>
          <w:sz w:val="24"/>
          <w:szCs w:val="24"/>
        </w:rPr>
        <w:t>creştere</w:t>
      </w:r>
      <w:proofErr w:type="spellEnd"/>
      <w:r w:rsidRPr="00CB0CCB">
        <w:rPr>
          <w:rFonts w:ascii="Arial" w:hAnsi="Arial" w:cs="Arial"/>
          <w:sz w:val="24"/>
          <w:szCs w:val="24"/>
        </w:rPr>
        <w:t xml:space="preserve"> cu 0,7% </w:t>
      </w:r>
      <w:proofErr w:type="spellStart"/>
      <w:r w:rsidRPr="00CB0CCB">
        <w:rPr>
          <w:rFonts w:ascii="Arial" w:hAnsi="Arial" w:cs="Arial"/>
          <w:sz w:val="24"/>
          <w:szCs w:val="24"/>
        </w:rPr>
        <w:t>faţă</w:t>
      </w:r>
      <w:proofErr w:type="spellEnd"/>
      <w:r w:rsidRPr="00CB0CCB">
        <w:rPr>
          <w:rFonts w:ascii="Arial" w:hAnsi="Arial" w:cs="Arial"/>
          <w:sz w:val="24"/>
          <w:szCs w:val="24"/>
        </w:rPr>
        <w:t xml:space="preserve"> de </w:t>
      </w:r>
      <w:proofErr w:type="spellStart"/>
      <w:r w:rsidRPr="00CB0CCB">
        <w:rPr>
          <w:rFonts w:ascii="Arial" w:hAnsi="Arial" w:cs="Arial"/>
          <w:sz w:val="24"/>
          <w:szCs w:val="24"/>
        </w:rPr>
        <w:t>perioada</w:t>
      </w:r>
      <w:proofErr w:type="spellEnd"/>
      <w:r w:rsidRPr="00CB0CCB">
        <w:rPr>
          <w:rFonts w:ascii="Arial" w:hAnsi="Arial" w:cs="Arial"/>
          <w:sz w:val="24"/>
          <w:szCs w:val="24"/>
        </w:rPr>
        <w:t xml:space="preserve"> 1.I-31.XII. 2017</w:t>
      </w:r>
      <w:r w:rsidR="00085DD6">
        <w:rPr>
          <w:rFonts w:ascii="Arial" w:hAnsi="Arial" w:cs="Arial"/>
          <w:sz w:val="24"/>
          <w:szCs w:val="24"/>
        </w:rPr>
        <w:t>.</w:t>
      </w:r>
    </w:p>
    <w:p w:rsidR="000056D1" w:rsidRDefault="000056D1" w:rsidP="00B605F2">
      <w:pPr>
        <w:jc w:val="both"/>
        <w:rPr>
          <w:rFonts w:ascii="Arial" w:hAnsi="Arial" w:cs="Arial"/>
          <w:sz w:val="24"/>
          <w:szCs w:val="24"/>
        </w:rPr>
      </w:pPr>
    </w:p>
    <w:p w:rsidR="00B74F67" w:rsidRDefault="00B74F67" w:rsidP="00BB02CC">
      <w:pPr>
        <w:jc w:val="both"/>
        <w:rPr>
          <w:rFonts w:ascii="Arial" w:hAnsi="Arial" w:cs="Arial"/>
          <w:sz w:val="24"/>
          <w:szCs w:val="24"/>
        </w:rPr>
      </w:pPr>
    </w:p>
    <w:p w:rsidR="008249BA" w:rsidRPr="000056D1" w:rsidRDefault="00791582" w:rsidP="00BB02CC">
      <w:pPr>
        <w:jc w:val="both"/>
        <w:rPr>
          <w:rFonts w:ascii="Arial" w:hAnsi="Arial" w:cs="Arial"/>
        </w:rPr>
      </w:pPr>
      <w:r>
        <w:rPr>
          <w:rFonts w:ascii="Arial" w:hAnsi="Arial" w:cs="Arial"/>
          <w:bCs/>
          <w:color w:val="000000"/>
          <w:lang w:val="ro-RO"/>
        </w:rPr>
        <w:t xml:space="preserve">Tabel </w:t>
      </w:r>
      <w:r w:rsidR="000056D1">
        <w:rPr>
          <w:rFonts w:ascii="Arial" w:hAnsi="Arial" w:cs="Arial"/>
          <w:bCs/>
          <w:color w:val="000000"/>
          <w:lang w:val="ro-RO"/>
        </w:rPr>
        <w:t>X.1.2.</w:t>
      </w:r>
      <w:r w:rsidR="000056D1" w:rsidRPr="000056D1">
        <w:rPr>
          <w:rFonts w:ascii="Arial" w:hAnsi="Arial" w:cs="Arial"/>
          <w:bCs/>
          <w:color w:val="000000"/>
          <w:lang w:val="ro-RO"/>
        </w:rPr>
        <w:t>Locuinte existente la sfarsitul anului pe forme de p</w:t>
      </w:r>
      <w:r w:rsidR="000056D1">
        <w:rPr>
          <w:rFonts w:ascii="Arial" w:hAnsi="Arial" w:cs="Arial"/>
          <w:bCs/>
          <w:color w:val="000000"/>
          <w:lang w:val="ro-RO"/>
        </w:rPr>
        <w:t>roprietate, în județul Gorj</w:t>
      </w:r>
    </w:p>
    <w:p w:rsidR="008249BA" w:rsidRDefault="008249BA" w:rsidP="00BB02CC">
      <w:pPr>
        <w:jc w:val="both"/>
        <w:rPr>
          <w:rFonts w:ascii="Arial" w:hAnsi="Arial" w:cs="Arial"/>
          <w:sz w:val="24"/>
          <w:szCs w:val="24"/>
        </w:rPr>
      </w:pPr>
    </w:p>
    <w:tbl>
      <w:tblPr>
        <w:tblW w:w="5000" w:type="pct"/>
        <w:shd w:val="clear" w:color="auto" w:fill="EBEFF5"/>
        <w:tblCellMar>
          <w:top w:w="75" w:type="dxa"/>
          <w:left w:w="75" w:type="dxa"/>
          <w:bottom w:w="75" w:type="dxa"/>
          <w:right w:w="75" w:type="dxa"/>
        </w:tblCellMar>
        <w:tblLook w:val="04A0" w:firstRow="1" w:lastRow="0" w:firstColumn="1" w:lastColumn="0" w:noHBand="0" w:noVBand="1"/>
      </w:tblPr>
      <w:tblGrid>
        <w:gridCol w:w="2379"/>
        <w:gridCol w:w="893"/>
        <w:gridCol w:w="1070"/>
        <w:gridCol w:w="1205"/>
        <w:gridCol w:w="1205"/>
        <w:gridCol w:w="1205"/>
        <w:gridCol w:w="1205"/>
      </w:tblGrid>
      <w:tr w:rsidR="008249BA" w:rsidRPr="008249BA" w:rsidTr="008249BA">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Forme de proprietate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Judete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Localitati</w:t>
            </w: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Ani</w:t>
            </w:r>
          </w:p>
        </w:tc>
      </w:tr>
      <w:tr w:rsidR="008249BA" w:rsidRPr="008249BA" w:rsidTr="008249B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2015</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2016</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2017</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2018</w:t>
            </w:r>
          </w:p>
        </w:tc>
      </w:tr>
      <w:tr w:rsidR="008249BA" w:rsidRPr="008249BA" w:rsidTr="008249B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UM: Numar</w:t>
            </w:r>
          </w:p>
        </w:tc>
      </w:tr>
      <w:tr w:rsidR="008249BA" w:rsidRPr="008249BA" w:rsidTr="008249B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r>
      <w:tr w:rsidR="008249BA" w:rsidRPr="008249BA"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8882090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8929167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8976794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9031317</w:t>
            </w:r>
          </w:p>
        </w:tc>
      </w:tr>
      <w:tr w:rsidR="008249BA" w:rsidRPr="008249BA"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160778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160920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161041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161189</w:t>
            </w:r>
          </w:p>
        </w:tc>
      </w:tr>
    </w:tbl>
    <w:p w:rsidR="008249BA" w:rsidRPr="00205133" w:rsidRDefault="008249BA" w:rsidP="00BB02CC">
      <w:pPr>
        <w:jc w:val="both"/>
        <w:rPr>
          <w:rFonts w:ascii="Arial" w:hAnsi="Arial" w:cs="Arial"/>
        </w:rPr>
      </w:pPr>
    </w:p>
    <w:p w:rsidR="00DB3A8D" w:rsidRPr="00205133" w:rsidRDefault="00DB3A8D" w:rsidP="00BB02CC">
      <w:pPr>
        <w:jc w:val="both"/>
        <w:rPr>
          <w:rFonts w:ascii="Arial" w:hAnsi="Arial" w:cs="Arial"/>
        </w:rPr>
      </w:pPr>
      <w:proofErr w:type="spellStart"/>
      <w:r w:rsidRPr="00205133">
        <w:rPr>
          <w:rFonts w:ascii="Arial" w:hAnsi="Arial" w:cs="Arial"/>
        </w:rPr>
        <w:t>Sursa</w:t>
      </w:r>
      <w:proofErr w:type="spellEnd"/>
      <w:r w:rsidRPr="00205133">
        <w:rPr>
          <w:rFonts w:ascii="Arial" w:hAnsi="Arial" w:cs="Arial"/>
        </w:rPr>
        <w:t>:</w:t>
      </w:r>
      <w:r w:rsidR="00AA3174" w:rsidRPr="00205133">
        <w:rPr>
          <w:rFonts w:ascii="Arial" w:hAnsi="Arial" w:cs="Arial"/>
        </w:rPr>
        <w:t xml:space="preserve"> </w:t>
      </w:r>
      <w:proofErr w:type="spellStart"/>
      <w:r w:rsidR="00AA3174" w:rsidRPr="00205133">
        <w:rPr>
          <w:rFonts w:ascii="Arial" w:hAnsi="Arial" w:cs="Arial"/>
        </w:rPr>
        <w:t>Baza</w:t>
      </w:r>
      <w:proofErr w:type="spellEnd"/>
      <w:r w:rsidR="00AA3174" w:rsidRPr="00205133">
        <w:rPr>
          <w:rFonts w:ascii="Arial" w:hAnsi="Arial" w:cs="Arial"/>
        </w:rPr>
        <w:t xml:space="preserve"> de date </w:t>
      </w:r>
      <w:proofErr w:type="spellStart"/>
      <w:proofErr w:type="gramStart"/>
      <w:r w:rsidR="00AA3174" w:rsidRPr="00205133">
        <w:rPr>
          <w:rFonts w:ascii="Arial" w:hAnsi="Arial" w:cs="Arial"/>
        </w:rPr>
        <w:t>a</w:t>
      </w:r>
      <w:proofErr w:type="spellEnd"/>
      <w:proofErr w:type="gramEnd"/>
      <w:r w:rsidR="00AA3174" w:rsidRPr="00205133">
        <w:rPr>
          <w:rFonts w:ascii="Arial" w:hAnsi="Arial" w:cs="Arial"/>
        </w:rPr>
        <w:t xml:space="preserve"> </w:t>
      </w:r>
      <w:r w:rsidR="00853CAE" w:rsidRPr="00205133">
        <w:rPr>
          <w:rFonts w:ascii="Arial" w:hAnsi="Arial" w:cs="Arial"/>
        </w:rPr>
        <w:t xml:space="preserve">INS </w:t>
      </w:r>
    </w:p>
    <w:p w:rsidR="00085DD6" w:rsidRDefault="00085DD6" w:rsidP="00BB02CC">
      <w:pPr>
        <w:jc w:val="both"/>
        <w:rPr>
          <w:rFonts w:ascii="Arial" w:hAnsi="Arial" w:cs="Arial"/>
          <w:sz w:val="24"/>
          <w:szCs w:val="24"/>
          <w:lang w:val="ro-RO"/>
        </w:rPr>
      </w:pPr>
    </w:p>
    <w:p w:rsidR="00D46E54" w:rsidRPr="00205133" w:rsidRDefault="00D46E54" w:rsidP="002A24B8">
      <w:pPr>
        <w:jc w:val="center"/>
        <w:rPr>
          <w:rFonts w:ascii="Arial" w:hAnsi="Arial" w:cs="Arial"/>
          <w:b/>
        </w:rPr>
      </w:pPr>
    </w:p>
    <w:p w:rsidR="002A24B8" w:rsidRPr="00205133" w:rsidRDefault="002A24B8" w:rsidP="002A24B8">
      <w:pPr>
        <w:rPr>
          <w:rFonts w:ascii="Arial" w:hAnsi="Arial" w:cs="Arial"/>
          <w:b/>
          <w:sz w:val="24"/>
          <w:szCs w:val="24"/>
        </w:rPr>
      </w:pPr>
      <w:r w:rsidRPr="00205133">
        <w:rPr>
          <w:rFonts w:ascii="Arial" w:hAnsi="Arial" w:cs="Arial"/>
          <w:b/>
          <w:sz w:val="24"/>
          <w:szCs w:val="24"/>
        </w:rPr>
        <w:t xml:space="preserve">   X.1.3. </w:t>
      </w:r>
      <w:proofErr w:type="spellStart"/>
      <w:r w:rsidRPr="00205133">
        <w:rPr>
          <w:rFonts w:ascii="Arial" w:hAnsi="Arial" w:cs="Arial"/>
          <w:b/>
          <w:sz w:val="24"/>
          <w:szCs w:val="24"/>
        </w:rPr>
        <w:t>Mobilitate</w:t>
      </w:r>
      <w:proofErr w:type="spellEnd"/>
      <w:r w:rsidRPr="00205133">
        <w:rPr>
          <w:rFonts w:ascii="Arial" w:hAnsi="Arial" w:cs="Arial"/>
          <w:b/>
          <w:sz w:val="24"/>
          <w:szCs w:val="24"/>
        </w:rPr>
        <w:t xml:space="preserve"> </w:t>
      </w:r>
    </w:p>
    <w:p w:rsidR="002A24B8" w:rsidRPr="00B53E3A" w:rsidRDefault="002A24B8" w:rsidP="002A24B8">
      <w:pPr>
        <w:rPr>
          <w:rFonts w:ascii="Arial" w:hAnsi="Arial" w:cs="Arial"/>
          <w:sz w:val="24"/>
          <w:szCs w:val="24"/>
        </w:rPr>
      </w:pPr>
    </w:p>
    <w:p w:rsidR="002A24B8" w:rsidRDefault="00E377AB" w:rsidP="00B605F2">
      <w:pPr>
        <w:rPr>
          <w:rFonts w:ascii="Arial" w:hAnsi="Arial" w:cs="Arial"/>
          <w:sz w:val="24"/>
          <w:szCs w:val="24"/>
        </w:rPr>
      </w:pPr>
      <w:r>
        <w:rPr>
          <w:rFonts w:ascii="Arial" w:hAnsi="Arial" w:cs="Arial"/>
          <w:sz w:val="24"/>
          <w:szCs w:val="24"/>
        </w:rPr>
        <w:t xml:space="preserve">      X.1.3.1</w:t>
      </w:r>
      <w:proofErr w:type="gramStart"/>
      <w:r>
        <w:rPr>
          <w:rFonts w:ascii="Arial" w:hAnsi="Arial" w:cs="Arial"/>
          <w:sz w:val="24"/>
          <w:szCs w:val="24"/>
        </w:rPr>
        <w:t>.</w:t>
      </w:r>
      <w:r w:rsidR="002A24B8" w:rsidRPr="00B53E3A">
        <w:rPr>
          <w:rFonts w:ascii="Arial" w:hAnsi="Arial" w:cs="Arial"/>
          <w:sz w:val="24"/>
          <w:szCs w:val="24"/>
        </w:rPr>
        <w:t xml:space="preserve">  </w:t>
      </w:r>
      <w:proofErr w:type="spellStart"/>
      <w:r w:rsidR="002A24B8" w:rsidRPr="00B53E3A">
        <w:rPr>
          <w:rFonts w:ascii="Arial" w:hAnsi="Arial" w:cs="Arial"/>
          <w:sz w:val="24"/>
          <w:szCs w:val="24"/>
        </w:rPr>
        <w:t>Transportul</w:t>
      </w:r>
      <w:proofErr w:type="spellEnd"/>
      <w:proofErr w:type="gramEnd"/>
      <w:r w:rsidR="002A24B8" w:rsidRPr="00B53E3A">
        <w:rPr>
          <w:rFonts w:ascii="Arial" w:hAnsi="Arial" w:cs="Arial"/>
          <w:sz w:val="24"/>
          <w:szCs w:val="24"/>
        </w:rPr>
        <w:t xml:space="preserve"> de </w:t>
      </w:r>
      <w:proofErr w:type="spellStart"/>
      <w:r w:rsidR="002A24B8" w:rsidRPr="00B53E3A">
        <w:rPr>
          <w:rFonts w:ascii="Arial" w:hAnsi="Arial" w:cs="Arial"/>
          <w:sz w:val="24"/>
          <w:szCs w:val="24"/>
        </w:rPr>
        <w:t>pasageri</w:t>
      </w:r>
      <w:proofErr w:type="spellEnd"/>
    </w:p>
    <w:p w:rsidR="002A24B8" w:rsidRDefault="002A24B8" w:rsidP="00B605F2">
      <w:pPr>
        <w:rPr>
          <w:rFonts w:ascii="Arial" w:hAnsi="Arial" w:cs="Arial"/>
          <w:sz w:val="24"/>
          <w:szCs w:val="24"/>
        </w:rPr>
      </w:pPr>
    </w:p>
    <w:p w:rsidR="002A24B8" w:rsidRDefault="002A24B8" w:rsidP="00B605F2">
      <w:pPr>
        <w:rPr>
          <w:rFonts w:ascii="Arial" w:hAnsi="Arial" w:cs="Arial"/>
          <w:sz w:val="24"/>
          <w:szCs w:val="24"/>
          <w:lang w:val="ro-RO"/>
        </w:rPr>
      </w:pPr>
      <w:r>
        <w:rPr>
          <w:rFonts w:ascii="Arial" w:hAnsi="Arial" w:cs="Arial"/>
          <w:sz w:val="24"/>
          <w:szCs w:val="24"/>
          <w:lang w:val="ro-RO"/>
        </w:rPr>
        <w:lastRenderedPageBreak/>
        <w:t xml:space="preserve">Transportul de pasageri </w:t>
      </w:r>
      <w:r w:rsidRPr="001425B2">
        <w:rPr>
          <w:rFonts w:ascii="Arial" w:hAnsi="Arial" w:cs="Arial"/>
          <w:sz w:val="24"/>
          <w:szCs w:val="24"/>
          <w:lang w:val="ro-RO"/>
        </w:rPr>
        <w:t>este una dintre sursele relevante de emisii de gaze cu efect de seră, are un aport important la poluarea aerului precum şi la zgomotul ambiental, având efect asupra sănătăţii populaţiei şi ecosistemelor.</w:t>
      </w:r>
    </w:p>
    <w:p w:rsidR="008249BA" w:rsidRDefault="008249BA" w:rsidP="00205133">
      <w:pPr>
        <w:spacing w:line="360" w:lineRule="auto"/>
        <w:rPr>
          <w:rFonts w:ascii="Arial" w:hAnsi="Arial" w:cs="Arial"/>
          <w:sz w:val="24"/>
          <w:szCs w:val="24"/>
          <w:lang w:val="ro-RO"/>
        </w:rPr>
      </w:pPr>
    </w:p>
    <w:p w:rsidR="008249BA" w:rsidRPr="000056D1" w:rsidRDefault="00791582" w:rsidP="008249BA">
      <w:pPr>
        <w:rPr>
          <w:rFonts w:ascii="Arial" w:hAnsi="Arial" w:cs="Arial"/>
          <w:lang w:val="ro-RO"/>
        </w:rPr>
      </w:pPr>
      <w:r>
        <w:rPr>
          <w:rFonts w:ascii="Arial" w:hAnsi="Arial" w:cs="Arial"/>
          <w:lang w:val="it-IT"/>
        </w:rPr>
        <w:t xml:space="preserve">Tabel </w:t>
      </w:r>
      <w:r w:rsidR="008249BA" w:rsidRPr="000056D1">
        <w:rPr>
          <w:rFonts w:ascii="Arial" w:hAnsi="Arial" w:cs="Arial"/>
          <w:lang w:val="it-IT"/>
        </w:rPr>
        <w:t xml:space="preserve">X.1.3.1  </w:t>
      </w:r>
      <w:r w:rsidR="008249BA" w:rsidRPr="000056D1">
        <w:rPr>
          <w:rFonts w:ascii="Arial" w:hAnsi="Arial" w:cs="Arial"/>
          <w:lang w:val="ro-RO"/>
        </w:rPr>
        <w:t>Inmatriculari noi de vehicule rutiere pentru transportul pasagerilor, în județul Gorj</w:t>
      </w:r>
    </w:p>
    <w:p w:rsidR="008249BA" w:rsidRDefault="008249BA" w:rsidP="002A24B8">
      <w:pPr>
        <w:rPr>
          <w:rFonts w:ascii="Arial" w:hAnsi="Arial" w:cs="Arial"/>
          <w:sz w:val="24"/>
          <w:szCs w:val="24"/>
          <w:lang w:val="ro-RO"/>
        </w:rPr>
      </w:pPr>
    </w:p>
    <w:tbl>
      <w:tblPr>
        <w:tblW w:w="5000" w:type="pct"/>
        <w:shd w:val="clear" w:color="auto" w:fill="EBEFF5"/>
        <w:tblCellMar>
          <w:top w:w="75" w:type="dxa"/>
          <w:left w:w="75" w:type="dxa"/>
          <w:bottom w:w="75" w:type="dxa"/>
          <w:right w:w="75" w:type="dxa"/>
        </w:tblCellMar>
        <w:tblLook w:val="04A0" w:firstRow="1" w:lastRow="0" w:firstColumn="1" w:lastColumn="0" w:noHBand="0" w:noVBand="1"/>
      </w:tblPr>
      <w:tblGrid>
        <w:gridCol w:w="1449"/>
        <w:gridCol w:w="2280"/>
        <w:gridCol w:w="2121"/>
        <w:gridCol w:w="828"/>
        <w:gridCol w:w="828"/>
        <w:gridCol w:w="828"/>
        <w:gridCol w:w="828"/>
      </w:tblGrid>
      <w:tr w:rsidR="008249BA" w:rsidRPr="008249BA" w:rsidTr="008249BA">
        <w:tc>
          <w:tcPr>
            <w:tcW w:w="0" w:type="auto"/>
            <w:gridSpan w:val="7"/>
            <w:tcBorders>
              <w:top w:val="single" w:sz="6" w:space="0" w:color="CCCCCC"/>
              <w:left w:val="single" w:sz="6" w:space="0" w:color="CCCCCC"/>
              <w:bottom w:val="single" w:sz="12" w:space="0" w:color="CCCCCC"/>
              <w:right w:val="single" w:sz="6" w:space="0" w:color="CCCCCC"/>
            </w:tcBorders>
            <w:shd w:val="clear" w:color="auto" w:fill="9DBAE8"/>
            <w:tcMar>
              <w:top w:w="45" w:type="dxa"/>
              <w:left w:w="45" w:type="dxa"/>
              <w:bottom w:w="45" w:type="dxa"/>
              <w:right w:w="45" w:type="dxa"/>
            </w:tcMar>
            <w:vAlign w:val="center"/>
            <w:hideMark/>
          </w:tcPr>
          <w:p w:rsidR="008249BA" w:rsidRPr="008249BA" w:rsidRDefault="008249BA" w:rsidP="008249BA">
            <w:pPr>
              <w:spacing w:before="150" w:after="150"/>
              <w:rPr>
                <w:rFonts w:ascii="Verdana" w:hAnsi="Verdana"/>
                <w:b/>
                <w:bCs/>
                <w:color w:val="000000"/>
                <w:sz w:val="21"/>
                <w:szCs w:val="21"/>
                <w:lang w:val="ro-RO"/>
              </w:rPr>
            </w:pPr>
          </w:p>
        </w:tc>
      </w:tr>
      <w:tr w:rsidR="008249BA" w:rsidRPr="00FC0BB6" w:rsidTr="008249BA">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Categorii de vehicule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Categorii de vehicule rutiere pentru transport pasageri</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Macroregiuni, regiuni de dezvoltare si judete</w:t>
            </w: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Ani</w:t>
            </w:r>
          </w:p>
        </w:tc>
      </w:tr>
      <w:tr w:rsidR="008249BA" w:rsidRPr="00FC0BB6" w:rsidTr="008249B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2015</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2016</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2017</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Anul 2018</w:t>
            </w:r>
          </w:p>
        </w:tc>
      </w:tr>
      <w:tr w:rsidR="008249BA" w:rsidRPr="00FC0BB6" w:rsidTr="008249B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UM: Numar</w:t>
            </w:r>
          </w:p>
        </w:tc>
      </w:tr>
      <w:tr w:rsidR="008249BA" w:rsidRPr="00FC0BB6" w:rsidTr="008249B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8249BA" w:rsidRPr="00FC0BB6" w:rsidRDefault="008249BA" w:rsidP="008249BA">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Numar</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Vehicule noi</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Motorete si motociclete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1358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1986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2125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2721</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23</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Autoturisme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81175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95181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106873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130921</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331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443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452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714</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Vehicule importate de ocazie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Motorete si motociclete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4700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5107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6071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7149</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49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37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56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71</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Autoturisme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251048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301357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520870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473565</w:t>
            </w:r>
          </w:p>
        </w:tc>
      </w:tr>
      <w:tr w:rsidR="008249BA" w:rsidRPr="00FC0BB6" w:rsidTr="008249B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8249BA" w:rsidRPr="00FC0BB6" w:rsidRDefault="008249BA" w:rsidP="008249B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4644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5269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9870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8249BA" w:rsidRPr="00FC0BB6" w:rsidRDefault="008249BA" w:rsidP="008249BA">
            <w:pPr>
              <w:spacing w:before="150" w:after="150"/>
              <w:jc w:val="right"/>
              <w:rPr>
                <w:rFonts w:ascii="Arial" w:hAnsi="Arial" w:cs="Arial"/>
                <w:color w:val="000000"/>
                <w:lang w:val="ro-RO"/>
              </w:rPr>
            </w:pPr>
            <w:r w:rsidRPr="00FC0BB6">
              <w:rPr>
                <w:rFonts w:ascii="Arial" w:hAnsi="Arial" w:cs="Arial"/>
                <w:color w:val="000000"/>
                <w:lang w:val="ro-RO"/>
              </w:rPr>
              <w:t>9194</w:t>
            </w:r>
          </w:p>
        </w:tc>
      </w:tr>
    </w:tbl>
    <w:p w:rsidR="008249BA" w:rsidRPr="00205133" w:rsidRDefault="008249BA" w:rsidP="002A24B8">
      <w:pPr>
        <w:rPr>
          <w:rFonts w:ascii="Arial" w:hAnsi="Arial" w:cs="Arial"/>
          <w:lang w:val="ro-RO"/>
        </w:rPr>
      </w:pPr>
      <w:r w:rsidRPr="00205133">
        <w:rPr>
          <w:rFonts w:ascii="Arial" w:hAnsi="Arial" w:cs="Arial"/>
          <w:lang w:val="ro-RO"/>
        </w:rPr>
        <w:t>Sursa: Baza de date a INS</w:t>
      </w:r>
    </w:p>
    <w:p w:rsidR="008249BA" w:rsidRDefault="008249BA" w:rsidP="002A24B8">
      <w:pPr>
        <w:rPr>
          <w:rFonts w:ascii="Arial" w:hAnsi="Arial" w:cs="Arial"/>
          <w:sz w:val="24"/>
          <w:szCs w:val="24"/>
          <w:lang w:val="ro-RO"/>
        </w:rPr>
      </w:pPr>
    </w:p>
    <w:p w:rsidR="008249BA" w:rsidRDefault="008249BA" w:rsidP="002A24B8">
      <w:pPr>
        <w:rPr>
          <w:rFonts w:ascii="Arial" w:hAnsi="Arial" w:cs="Arial"/>
          <w:sz w:val="24"/>
          <w:szCs w:val="24"/>
          <w:lang w:val="ro-RO"/>
        </w:rPr>
      </w:pPr>
    </w:p>
    <w:p w:rsidR="008249BA" w:rsidRDefault="008249BA" w:rsidP="00B605F2">
      <w:pPr>
        <w:rPr>
          <w:rFonts w:ascii="Arial" w:hAnsi="Arial" w:cs="Arial"/>
          <w:sz w:val="24"/>
          <w:szCs w:val="24"/>
          <w:lang w:val="ro-RO"/>
        </w:rPr>
      </w:pPr>
    </w:p>
    <w:p w:rsidR="002A24B8" w:rsidRDefault="00E377AB" w:rsidP="00B605F2">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X. 1.3.2.</w:t>
      </w:r>
      <w:proofErr w:type="gramEnd"/>
      <w:r>
        <w:rPr>
          <w:rFonts w:ascii="Arial" w:hAnsi="Arial" w:cs="Arial"/>
          <w:sz w:val="24"/>
          <w:szCs w:val="24"/>
        </w:rPr>
        <w:t xml:space="preserve"> </w:t>
      </w:r>
      <w:proofErr w:type="spellStart"/>
      <w:r w:rsidR="002A24B8" w:rsidRPr="00252284">
        <w:rPr>
          <w:rFonts w:ascii="Arial" w:hAnsi="Arial" w:cs="Arial"/>
          <w:sz w:val="24"/>
          <w:szCs w:val="24"/>
        </w:rPr>
        <w:t>Transportul</w:t>
      </w:r>
      <w:proofErr w:type="spellEnd"/>
      <w:r w:rsidR="002A24B8" w:rsidRPr="00252284">
        <w:rPr>
          <w:rFonts w:ascii="Arial" w:hAnsi="Arial" w:cs="Arial"/>
          <w:sz w:val="24"/>
          <w:szCs w:val="24"/>
        </w:rPr>
        <w:t xml:space="preserve"> de </w:t>
      </w:r>
      <w:proofErr w:type="spellStart"/>
      <w:r w:rsidR="002A24B8" w:rsidRPr="00252284">
        <w:rPr>
          <w:rFonts w:ascii="Arial" w:hAnsi="Arial" w:cs="Arial"/>
          <w:sz w:val="24"/>
          <w:szCs w:val="24"/>
        </w:rPr>
        <w:t>mărfuri</w:t>
      </w:r>
      <w:proofErr w:type="spellEnd"/>
    </w:p>
    <w:p w:rsidR="00955E27" w:rsidRDefault="00955E27" w:rsidP="00B605F2">
      <w:pPr>
        <w:rPr>
          <w:rFonts w:ascii="Arial" w:hAnsi="Arial" w:cs="Arial"/>
          <w:sz w:val="24"/>
          <w:szCs w:val="24"/>
        </w:rPr>
      </w:pPr>
    </w:p>
    <w:p w:rsidR="00955E27" w:rsidRPr="00252284" w:rsidRDefault="00955E27" w:rsidP="00B605F2">
      <w:pPr>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252284" w:rsidRDefault="002A24B8" w:rsidP="00B605F2">
      <w:pPr>
        <w:rPr>
          <w:rFonts w:ascii="Arial" w:hAnsi="Arial" w:cs="Arial"/>
          <w:sz w:val="24"/>
          <w:szCs w:val="24"/>
        </w:rPr>
      </w:pPr>
    </w:p>
    <w:p w:rsidR="00EF19DC" w:rsidRDefault="00EF19DC" w:rsidP="00B605F2">
      <w:pPr>
        <w:jc w:val="center"/>
        <w:rPr>
          <w:rFonts w:ascii="Arial" w:hAnsi="Arial" w:cs="Arial"/>
          <w:b/>
          <w:sz w:val="24"/>
          <w:szCs w:val="24"/>
          <w:u w:val="single"/>
          <w:lang w:val="fr-FR"/>
        </w:rPr>
      </w:pPr>
    </w:p>
    <w:p w:rsidR="00C07F6B" w:rsidRDefault="00C07F6B" w:rsidP="00B605F2">
      <w:pPr>
        <w:rPr>
          <w:rFonts w:ascii="Arial" w:hAnsi="Arial" w:cs="Arial"/>
          <w:b/>
          <w:sz w:val="24"/>
          <w:szCs w:val="24"/>
        </w:rPr>
      </w:pPr>
    </w:p>
    <w:p w:rsidR="002A24B8" w:rsidRPr="00EF19DC" w:rsidRDefault="002A24B8" w:rsidP="00B605F2">
      <w:pPr>
        <w:rPr>
          <w:rFonts w:ascii="Arial" w:hAnsi="Arial" w:cs="Arial"/>
          <w:b/>
          <w:sz w:val="24"/>
          <w:szCs w:val="24"/>
        </w:rPr>
      </w:pPr>
      <w:r w:rsidRPr="00EF19DC">
        <w:rPr>
          <w:rFonts w:ascii="Arial" w:hAnsi="Arial" w:cs="Arial"/>
          <w:b/>
          <w:sz w:val="24"/>
          <w:szCs w:val="24"/>
        </w:rPr>
        <w:t xml:space="preserve"> X.2.Factori care </w:t>
      </w:r>
      <w:proofErr w:type="spellStart"/>
      <w:r w:rsidRPr="00EF19DC">
        <w:rPr>
          <w:rFonts w:ascii="Arial" w:hAnsi="Arial" w:cs="Arial"/>
          <w:b/>
          <w:sz w:val="24"/>
          <w:szCs w:val="24"/>
        </w:rPr>
        <w:t>influențează</w:t>
      </w:r>
      <w:proofErr w:type="spellEnd"/>
      <w:r w:rsidRPr="00EF19DC">
        <w:rPr>
          <w:rFonts w:ascii="Arial" w:hAnsi="Arial" w:cs="Arial"/>
          <w:b/>
          <w:sz w:val="24"/>
          <w:szCs w:val="24"/>
        </w:rPr>
        <w:t xml:space="preserve"> </w:t>
      </w:r>
      <w:proofErr w:type="spellStart"/>
      <w:r w:rsidRPr="00EF19DC">
        <w:rPr>
          <w:rFonts w:ascii="Arial" w:hAnsi="Arial" w:cs="Arial"/>
          <w:b/>
          <w:sz w:val="24"/>
          <w:szCs w:val="24"/>
        </w:rPr>
        <w:t>consumul</w:t>
      </w:r>
      <w:proofErr w:type="spellEnd"/>
    </w:p>
    <w:p w:rsidR="002A24B8" w:rsidRPr="00EF19DC" w:rsidRDefault="002A24B8" w:rsidP="00B605F2">
      <w:pPr>
        <w:rPr>
          <w:rFonts w:ascii="Arial" w:hAnsi="Arial" w:cs="Arial"/>
          <w:b/>
          <w:sz w:val="24"/>
          <w:szCs w:val="24"/>
        </w:rPr>
      </w:pPr>
    </w:p>
    <w:p w:rsidR="002A24B8" w:rsidRPr="00E377AB" w:rsidRDefault="002A24B8" w:rsidP="00B605F2">
      <w:pPr>
        <w:rPr>
          <w:rFonts w:ascii="Arial" w:hAnsi="Arial" w:cs="Arial"/>
          <w:sz w:val="24"/>
          <w:szCs w:val="24"/>
        </w:rPr>
      </w:pPr>
      <w:proofErr w:type="spellStart"/>
      <w:r w:rsidRPr="00E377AB">
        <w:rPr>
          <w:rFonts w:ascii="Arial" w:hAnsi="Arial" w:cs="Arial"/>
          <w:sz w:val="24"/>
          <w:szCs w:val="24"/>
        </w:rPr>
        <w:t>Principalii</w:t>
      </w:r>
      <w:proofErr w:type="spellEnd"/>
      <w:r w:rsidRPr="00E377AB">
        <w:rPr>
          <w:rFonts w:ascii="Arial" w:hAnsi="Arial" w:cs="Arial"/>
          <w:sz w:val="24"/>
          <w:szCs w:val="24"/>
        </w:rPr>
        <w:t xml:space="preserve"> </w:t>
      </w:r>
      <w:proofErr w:type="spellStart"/>
      <w:r w:rsidRPr="00E377AB">
        <w:rPr>
          <w:rFonts w:ascii="Arial" w:hAnsi="Arial" w:cs="Arial"/>
          <w:sz w:val="24"/>
          <w:szCs w:val="24"/>
        </w:rPr>
        <w:t>factori</w:t>
      </w:r>
      <w:proofErr w:type="spellEnd"/>
      <w:r w:rsidRPr="00E377AB">
        <w:rPr>
          <w:rFonts w:ascii="Arial" w:hAnsi="Arial" w:cs="Arial"/>
          <w:sz w:val="24"/>
          <w:szCs w:val="24"/>
        </w:rPr>
        <w:t xml:space="preserve"> care pot </w:t>
      </w:r>
      <w:proofErr w:type="spellStart"/>
      <w:r w:rsidRPr="00E377AB">
        <w:rPr>
          <w:rFonts w:ascii="Arial" w:hAnsi="Arial" w:cs="Arial"/>
          <w:sz w:val="24"/>
          <w:szCs w:val="24"/>
        </w:rPr>
        <w:t>influența</w:t>
      </w:r>
      <w:proofErr w:type="spellEnd"/>
      <w:r w:rsidRPr="00E377AB">
        <w:rPr>
          <w:rFonts w:ascii="Arial" w:hAnsi="Arial" w:cs="Arial"/>
          <w:sz w:val="24"/>
          <w:szCs w:val="24"/>
        </w:rPr>
        <w:t xml:space="preserve"> </w:t>
      </w:r>
      <w:proofErr w:type="spellStart"/>
      <w:r w:rsidRPr="00E377AB">
        <w:rPr>
          <w:rFonts w:ascii="Arial" w:hAnsi="Arial" w:cs="Arial"/>
          <w:sz w:val="24"/>
          <w:szCs w:val="24"/>
        </w:rPr>
        <w:t>consumul</w:t>
      </w:r>
      <w:proofErr w:type="spellEnd"/>
      <w:r w:rsidRPr="00E377AB">
        <w:rPr>
          <w:rFonts w:ascii="Arial" w:hAnsi="Arial" w:cs="Arial"/>
          <w:sz w:val="24"/>
          <w:szCs w:val="24"/>
        </w:rPr>
        <w:t xml:space="preserve"> la </w:t>
      </w:r>
      <w:proofErr w:type="spellStart"/>
      <w:r w:rsidRPr="00E377AB">
        <w:rPr>
          <w:rFonts w:ascii="Arial" w:hAnsi="Arial" w:cs="Arial"/>
          <w:sz w:val="24"/>
          <w:szCs w:val="24"/>
        </w:rPr>
        <w:t>nivelul</w:t>
      </w:r>
      <w:proofErr w:type="spellEnd"/>
      <w:r w:rsidRPr="00E377AB">
        <w:rPr>
          <w:rFonts w:ascii="Arial" w:hAnsi="Arial" w:cs="Arial"/>
          <w:sz w:val="24"/>
          <w:szCs w:val="24"/>
        </w:rPr>
        <w:t xml:space="preserve"> </w:t>
      </w:r>
      <w:proofErr w:type="spellStart"/>
      <w:r w:rsidRPr="00E377AB">
        <w:rPr>
          <w:rFonts w:ascii="Arial" w:hAnsi="Arial" w:cs="Arial"/>
          <w:sz w:val="24"/>
          <w:szCs w:val="24"/>
        </w:rPr>
        <w:t>județului</w:t>
      </w:r>
      <w:proofErr w:type="spellEnd"/>
      <w:r w:rsidRPr="00E377AB">
        <w:rPr>
          <w:rFonts w:ascii="Arial" w:hAnsi="Arial" w:cs="Arial"/>
          <w:sz w:val="24"/>
          <w:szCs w:val="24"/>
        </w:rPr>
        <w:t xml:space="preserve"> </w:t>
      </w:r>
      <w:proofErr w:type="spellStart"/>
      <w:r w:rsidRPr="00E377AB">
        <w:rPr>
          <w:rFonts w:ascii="Arial" w:hAnsi="Arial" w:cs="Arial"/>
          <w:sz w:val="24"/>
          <w:szCs w:val="24"/>
        </w:rPr>
        <w:t>Gorj</w:t>
      </w:r>
      <w:proofErr w:type="spellEnd"/>
      <w:r w:rsidRPr="00E377AB">
        <w:rPr>
          <w:rFonts w:ascii="Arial" w:hAnsi="Arial" w:cs="Arial"/>
          <w:sz w:val="24"/>
          <w:szCs w:val="24"/>
        </w:rPr>
        <w:t xml:space="preserve"> </w:t>
      </w:r>
      <w:proofErr w:type="spellStart"/>
      <w:proofErr w:type="gramStart"/>
      <w:r w:rsidRPr="00E377AB">
        <w:rPr>
          <w:rFonts w:ascii="Arial" w:hAnsi="Arial" w:cs="Arial"/>
          <w:sz w:val="24"/>
          <w:szCs w:val="24"/>
        </w:rPr>
        <w:t>sunt</w:t>
      </w:r>
      <w:proofErr w:type="spellEnd"/>
      <w:r w:rsidRPr="00E377AB">
        <w:rPr>
          <w:rFonts w:ascii="Arial" w:hAnsi="Arial" w:cs="Arial"/>
          <w:sz w:val="24"/>
          <w:szCs w:val="24"/>
        </w:rPr>
        <w:t xml:space="preserve"> :</w:t>
      </w:r>
      <w:proofErr w:type="gramEnd"/>
    </w:p>
    <w:p w:rsidR="002A24B8" w:rsidRPr="00EF19DC" w:rsidRDefault="002A24B8" w:rsidP="00B605F2">
      <w:pPr>
        <w:rPr>
          <w:rFonts w:ascii="Arial" w:hAnsi="Arial" w:cs="Arial"/>
          <w:b/>
          <w:sz w:val="24"/>
          <w:szCs w:val="24"/>
        </w:rPr>
      </w:pPr>
    </w:p>
    <w:p w:rsidR="002A24B8" w:rsidRPr="004D0903" w:rsidRDefault="002A24B8" w:rsidP="00B605F2">
      <w:pPr>
        <w:pStyle w:val="ListParagraph"/>
        <w:numPr>
          <w:ilvl w:val="0"/>
          <w:numId w:val="15"/>
        </w:numPr>
        <w:ind w:left="0" w:firstLine="0"/>
        <w:jc w:val="both"/>
        <w:rPr>
          <w:rFonts w:ascii="Arial" w:hAnsi="Arial" w:cs="Arial"/>
          <w:sz w:val="24"/>
          <w:szCs w:val="24"/>
        </w:rPr>
      </w:pPr>
      <w:proofErr w:type="spellStart"/>
      <w:r w:rsidRPr="00E377AB">
        <w:rPr>
          <w:rFonts w:ascii="Arial" w:hAnsi="Arial" w:cs="Arial"/>
          <w:i/>
          <w:sz w:val="24"/>
          <w:szCs w:val="24"/>
        </w:rPr>
        <w:lastRenderedPageBreak/>
        <w:t>Factorii</w:t>
      </w:r>
      <w:proofErr w:type="spellEnd"/>
      <w:r w:rsidRPr="00E377AB">
        <w:rPr>
          <w:rFonts w:ascii="Arial" w:hAnsi="Arial" w:cs="Arial"/>
          <w:i/>
          <w:sz w:val="24"/>
          <w:szCs w:val="24"/>
        </w:rPr>
        <w:t xml:space="preserve"> </w:t>
      </w:r>
      <w:proofErr w:type="spellStart"/>
      <w:r w:rsidRPr="00E377AB">
        <w:rPr>
          <w:rFonts w:ascii="Arial" w:hAnsi="Arial" w:cs="Arial"/>
          <w:i/>
          <w:sz w:val="24"/>
          <w:szCs w:val="24"/>
        </w:rPr>
        <w:t>economici</w:t>
      </w:r>
      <w:proofErr w:type="spellEnd"/>
      <w:r w:rsidRPr="004D0903">
        <w:rPr>
          <w:rFonts w:ascii="Arial" w:hAnsi="Arial" w:cs="Arial"/>
          <w:b/>
          <w:sz w:val="24"/>
          <w:szCs w:val="24"/>
        </w:rPr>
        <w:t xml:space="preserve"> – </w:t>
      </w:r>
      <w:r w:rsidRPr="004D0903">
        <w:rPr>
          <w:rFonts w:ascii="Arial" w:hAnsi="Arial" w:cs="Arial"/>
          <w:sz w:val="24"/>
          <w:szCs w:val="24"/>
        </w:rPr>
        <w:t xml:space="preserve">cu </w:t>
      </w:r>
      <w:proofErr w:type="spellStart"/>
      <w:r w:rsidRPr="004D0903">
        <w:rPr>
          <w:rFonts w:ascii="Arial" w:hAnsi="Arial" w:cs="Arial"/>
          <w:sz w:val="24"/>
          <w:szCs w:val="24"/>
        </w:rPr>
        <w:t>cât</w:t>
      </w:r>
      <w:proofErr w:type="spellEnd"/>
      <w:r w:rsidRPr="004D0903">
        <w:rPr>
          <w:rFonts w:ascii="Arial" w:hAnsi="Arial" w:cs="Arial"/>
          <w:sz w:val="24"/>
          <w:szCs w:val="24"/>
        </w:rPr>
        <w:t xml:space="preserve"> </w:t>
      </w:r>
      <w:proofErr w:type="spellStart"/>
      <w:r w:rsidRPr="004D0903">
        <w:rPr>
          <w:rFonts w:ascii="Arial" w:hAnsi="Arial" w:cs="Arial"/>
          <w:sz w:val="24"/>
          <w:szCs w:val="24"/>
        </w:rPr>
        <w:t>veniturile</w:t>
      </w:r>
      <w:proofErr w:type="spellEnd"/>
      <w:r w:rsidRPr="004D0903">
        <w:rPr>
          <w:rFonts w:ascii="Arial" w:hAnsi="Arial" w:cs="Arial"/>
          <w:sz w:val="24"/>
          <w:szCs w:val="24"/>
        </w:rPr>
        <w:t xml:space="preserve"> </w:t>
      </w:r>
      <w:proofErr w:type="spellStart"/>
      <w:r w:rsidRPr="004D0903">
        <w:rPr>
          <w:rFonts w:ascii="Arial" w:hAnsi="Arial" w:cs="Arial"/>
          <w:sz w:val="24"/>
          <w:szCs w:val="24"/>
        </w:rPr>
        <w:t>populației</w:t>
      </w:r>
      <w:proofErr w:type="spellEnd"/>
      <w:r w:rsidRPr="004D0903">
        <w:rPr>
          <w:rFonts w:ascii="Arial" w:hAnsi="Arial" w:cs="Arial"/>
          <w:sz w:val="24"/>
          <w:szCs w:val="24"/>
        </w:rPr>
        <w:t xml:space="preserve"> </w:t>
      </w:r>
      <w:proofErr w:type="spellStart"/>
      <w:r w:rsidRPr="004D0903">
        <w:rPr>
          <w:rFonts w:ascii="Arial" w:hAnsi="Arial" w:cs="Arial"/>
          <w:sz w:val="24"/>
          <w:szCs w:val="24"/>
        </w:rPr>
        <w:t>sunt</w:t>
      </w:r>
      <w:proofErr w:type="spellEnd"/>
      <w:r w:rsidRPr="004D0903">
        <w:rPr>
          <w:rFonts w:ascii="Arial" w:hAnsi="Arial" w:cs="Arial"/>
          <w:sz w:val="24"/>
          <w:szCs w:val="24"/>
        </w:rPr>
        <w:t xml:space="preserve"> </w:t>
      </w:r>
      <w:proofErr w:type="spellStart"/>
      <w:r w:rsidRPr="004D0903">
        <w:rPr>
          <w:rFonts w:ascii="Arial" w:hAnsi="Arial" w:cs="Arial"/>
          <w:sz w:val="24"/>
          <w:szCs w:val="24"/>
        </w:rPr>
        <w:t>mai</w:t>
      </w:r>
      <w:proofErr w:type="spellEnd"/>
      <w:r w:rsidRPr="004D0903">
        <w:rPr>
          <w:rFonts w:ascii="Arial" w:hAnsi="Arial" w:cs="Arial"/>
          <w:sz w:val="24"/>
          <w:szCs w:val="24"/>
        </w:rPr>
        <w:t xml:space="preserve"> </w:t>
      </w:r>
      <w:proofErr w:type="spellStart"/>
      <w:r w:rsidRPr="004D0903">
        <w:rPr>
          <w:rFonts w:ascii="Arial" w:hAnsi="Arial" w:cs="Arial"/>
          <w:sz w:val="24"/>
          <w:szCs w:val="24"/>
        </w:rPr>
        <w:t>mari</w:t>
      </w:r>
      <w:proofErr w:type="spellEnd"/>
      <w:r w:rsidRPr="004D0903">
        <w:rPr>
          <w:rFonts w:ascii="Arial" w:hAnsi="Arial" w:cs="Arial"/>
          <w:sz w:val="24"/>
          <w:szCs w:val="24"/>
        </w:rPr>
        <w:t xml:space="preserve">, cu </w:t>
      </w:r>
      <w:proofErr w:type="spellStart"/>
      <w:r w:rsidRPr="004D0903">
        <w:rPr>
          <w:rFonts w:ascii="Arial" w:hAnsi="Arial" w:cs="Arial"/>
          <w:sz w:val="24"/>
          <w:szCs w:val="24"/>
        </w:rPr>
        <w:t>atât</w:t>
      </w:r>
      <w:proofErr w:type="spellEnd"/>
      <w:r w:rsidRPr="004D0903">
        <w:rPr>
          <w:rFonts w:ascii="Arial" w:hAnsi="Arial" w:cs="Arial"/>
          <w:sz w:val="24"/>
          <w:szCs w:val="24"/>
        </w:rPr>
        <w:t xml:space="preserve"> </w:t>
      </w:r>
      <w:proofErr w:type="spellStart"/>
      <w:r w:rsidRPr="004D0903">
        <w:rPr>
          <w:rFonts w:ascii="Arial" w:hAnsi="Arial" w:cs="Arial"/>
          <w:sz w:val="24"/>
          <w:szCs w:val="24"/>
        </w:rPr>
        <w:t>consumul</w:t>
      </w:r>
      <w:proofErr w:type="spellEnd"/>
      <w:r w:rsidRPr="004D0903">
        <w:rPr>
          <w:rFonts w:ascii="Arial" w:hAnsi="Arial" w:cs="Arial"/>
          <w:sz w:val="24"/>
          <w:szCs w:val="24"/>
        </w:rPr>
        <w:t xml:space="preserve"> </w:t>
      </w:r>
      <w:proofErr w:type="spellStart"/>
      <w:r w:rsidRPr="004D0903">
        <w:rPr>
          <w:rFonts w:ascii="Arial" w:hAnsi="Arial" w:cs="Arial"/>
          <w:sz w:val="24"/>
          <w:szCs w:val="24"/>
        </w:rPr>
        <w:t>și</w:t>
      </w:r>
      <w:proofErr w:type="spellEnd"/>
      <w:r w:rsidRPr="004D0903">
        <w:rPr>
          <w:rFonts w:ascii="Arial" w:hAnsi="Arial" w:cs="Arial"/>
          <w:sz w:val="24"/>
          <w:szCs w:val="24"/>
        </w:rPr>
        <w:t xml:space="preserve"> implicit </w:t>
      </w:r>
      <w:proofErr w:type="spellStart"/>
      <w:r w:rsidRPr="004D0903">
        <w:rPr>
          <w:rFonts w:ascii="Arial" w:hAnsi="Arial" w:cs="Arial"/>
          <w:sz w:val="24"/>
          <w:szCs w:val="24"/>
        </w:rPr>
        <w:t>impactul</w:t>
      </w:r>
      <w:proofErr w:type="spellEnd"/>
      <w:r w:rsidRPr="004D0903">
        <w:rPr>
          <w:rFonts w:ascii="Arial" w:hAnsi="Arial" w:cs="Arial"/>
          <w:sz w:val="24"/>
          <w:szCs w:val="24"/>
        </w:rPr>
        <w:t xml:space="preserve"> </w:t>
      </w:r>
      <w:proofErr w:type="spellStart"/>
      <w:r w:rsidRPr="004D0903">
        <w:rPr>
          <w:rFonts w:ascii="Arial" w:hAnsi="Arial" w:cs="Arial"/>
          <w:sz w:val="24"/>
          <w:szCs w:val="24"/>
        </w:rPr>
        <w:t>asupra</w:t>
      </w:r>
      <w:proofErr w:type="spellEnd"/>
      <w:r w:rsidRPr="004D0903">
        <w:rPr>
          <w:rFonts w:ascii="Arial" w:hAnsi="Arial" w:cs="Arial"/>
          <w:sz w:val="24"/>
          <w:szCs w:val="24"/>
        </w:rPr>
        <w:t xml:space="preserve"> </w:t>
      </w:r>
      <w:proofErr w:type="spellStart"/>
      <w:r w:rsidRPr="004D0903">
        <w:rPr>
          <w:rFonts w:ascii="Arial" w:hAnsi="Arial" w:cs="Arial"/>
          <w:sz w:val="24"/>
          <w:szCs w:val="24"/>
        </w:rPr>
        <w:t>mediului</w:t>
      </w:r>
      <w:proofErr w:type="spellEnd"/>
      <w:r w:rsidRPr="004D0903">
        <w:rPr>
          <w:rFonts w:ascii="Arial" w:hAnsi="Arial" w:cs="Arial"/>
          <w:sz w:val="24"/>
          <w:szCs w:val="24"/>
        </w:rPr>
        <w:t xml:space="preserve"> </w:t>
      </w:r>
      <w:proofErr w:type="spellStart"/>
      <w:r w:rsidRPr="004D0903">
        <w:rPr>
          <w:rFonts w:ascii="Arial" w:hAnsi="Arial" w:cs="Arial"/>
          <w:sz w:val="24"/>
          <w:szCs w:val="24"/>
        </w:rPr>
        <w:t>vor</w:t>
      </w:r>
      <w:proofErr w:type="spellEnd"/>
      <w:r w:rsidRPr="004D0903">
        <w:rPr>
          <w:rFonts w:ascii="Arial" w:hAnsi="Arial" w:cs="Arial"/>
          <w:sz w:val="24"/>
          <w:szCs w:val="24"/>
        </w:rPr>
        <w:t xml:space="preserve"> </w:t>
      </w:r>
      <w:proofErr w:type="spellStart"/>
      <w:r w:rsidRPr="004D0903">
        <w:rPr>
          <w:rFonts w:ascii="Arial" w:hAnsi="Arial" w:cs="Arial"/>
          <w:sz w:val="24"/>
          <w:szCs w:val="24"/>
        </w:rPr>
        <w:t>înregistra</w:t>
      </w:r>
      <w:proofErr w:type="spellEnd"/>
      <w:r w:rsidRPr="004D0903">
        <w:rPr>
          <w:rFonts w:ascii="Arial" w:hAnsi="Arial" w:cs="Arial"/>
          <w:sz w:val="24"/>
          <w:szCs w:val="24"/>
        </w:rPr>
        <w:t xml:space="preserve"> la </w:t>
      </w:r>
      <w:proofErr w:type="spellStart"/>
      <w:r w:rsidRPr="004D0903">
        <w:rPr>
          <w:rFonts w:ascii="Arial" w:hAnsi="Arial" w:cs="Arial"/>
          <w:sz w:val="24"/>
          <w:szCs w:val="24"/>
        </w:rPr>
        <w:t>rândul</w:t>
      </w:r>
      <w:proofErr w:type="spellEnd"/>
      <w:r w:rsidRPr="004D0903">
        <w:rPr>
          <w:rFonts w:ascii="Arial" w:hAnsi="Arial" w:cs="Arial"/>
          <w:sz w:val="24"/>
          <w:szCs w:val="24"/>
        </w:rPr>
        <w:t xml:space="preserve"> </w:t>
      </w:r>
      <w:proofErr w:type="spellStart"/>
      <w:r w:rsidRPr="004D0903">
        <w:rPr>
          <w:rFonts w:ascii="Arial" w:hAnsi="Arial" w:cs="Arial"/>
          <w:sz w:val="24"/>
          <w:szCs w:val="24"/>
        </w:rPr>
        <w:t>lor</w:t>
      </w:r>
      <w:proofErr w:type="spellEnd"/>
      <w:r w:rsidRPr="004D0903">
        <w:rPr>
          <w:rFonts w:ascii="Arial" w:hAnsi="Arial" w:cs="Arial"/>
          <w:sz w:val="24"/>
          <w:szCs w:val="24"/>
        </w:rPr>
        <w:t xml:space="preserve"> o </w:t>
      </w:r>
      <w:proofErr w:type="spellStart"/>
      <w:r w:rsidRPr="004D0903">
        <w:rPr>
          <w:rFonts w:ascii="Arial" w:hAnsi="Arial" w:cs="Arial"/>
          <w:sz w:val="24"/>
          <w:szCs w:val="24"/>
        </w:rPr>
        <w:t>tendința</w:t>
      </w:r>
      <w:proofErr w:type="spellEnd"/>
      <w:r w:rsidRPr="004D0903">
        <w:rPr>
          <w:rFonts w:ascii="Arial" w:hAnsi="Arial" w:cs="Arial"/>
          <w:sz w:val="24"/>
          <w:szCs w:val="24"/>
        </w:rPr>
        <w:t xml:space="preserve"> </w:t>
      </w:r>
      <w:proofErr w:type="spellStart"/>
      <w:r w:rsidRPr="004D0903">
        <w:rPr>
          <w:rFonts w:ascii="Arial" w:hAnsi="Arial" w:cs="Arial"/>
          <w:sz w:val="24"/>
          <w:szCs w:val="24"/>
        </w:rPr>
        <w:t>ascendentă</w:t>
      </w:r>
      <w:proofErr w:type="spellEnd"/>
      <w:proofErr w:type="gramStart"/>
      <w:r w:rsidRPr="004D0903">
        <w:rPr>
          <w:rFonts w:ascii="Arial" w:hAnsi="Arial" w:cs="Arial"/>
          <w:sz w:val="24"/>
          <w:szCs w:val="24"/>
        </w:rPr>
        <w:t>.</w:t>
      </w:r>
      <w:r w:rsidR="004D0903">
        <w:rPr>
          <w:rFonts w:ascii="Arial" w:hAnsi="Arial" w:cs="Arial"/>
          <w:sz w:val="24"/>
          <w:szCs w:val="24"/>
        </w:rPr>
        <w:t>.</w:t>
      </w:r>
      <w:proofErr w:type="gramEnd"/>
      <w:r w:rsidRPr="004D0903">
        <w:rPr>
          <w:rFonts w:ascii="Arial" w:hAnsi="Arial" w:cs="Arial"/>
          <w:sz w:val="24"/>
          <w:szCs w:val="24"/>
        </w:rPr>
        <w:t xml:space="preserve"> </w:t>
      </w:r>
    </w:p>
    <w:p w:rsidR="00F35691" w:rsidRPr="00A63ECA" w:rsidRDefault="00DE0D7D" w:rsidP="00B605F2">
      <w:pPr>
        <w:pStyle w:val="BodyTextIndent2"/>
        <w:ind w:firstLine="708"/>
        <w:rPr>
          <w:rFonts w:ascii="Arial" w:hAnsi="Arial" w:cs="Arial"/>
          <w:bCs/>
          <w:szCs w:val="24"/>
        </w:rPr>
      </w:pPr>
      <w:r>
        <w:rPr>
          <w:rFonts w:ascii="Arial" w:hAnsi="Arial" w:cs="Arial"/>
          <w:bCs/>
          <w:szCs w:val="24"/>
        </w:rPr>
        <w:t xml:space="preserve">Efectivul salariaților </w:t>
      </w:r>
      <w:r w:rsidR="00F35691" w:rsidRPr="00A63ECA">
        <w:rPr>
          <w:rFonts w:ascii="Arial" w:hAnsi="Arial" w:cs="Arial"/>
          <w:bCs/>
          <w:szCs w:val="24"/>
        </w:rPr>
        <w:t>din economia</w:t>
      </w:r>
      <w:r w:rsidR="00F35691" w:rsidRPr="00A63ECA">
        <w:rPr>
          <w:rFonts w:ascii="Arial" w:hAnsi="Arial" w:cs="Arial"/>
          <w:b/>
          <w:bCs/>
          <w:szCs w:val="24"/>
        </w:rPr>
        <w:t xml:space="preserve"> </w:t>
      </w:r>
      <w:r w:rsidR="00F35691" w:rsidRPr="00A63ECA">
        <w:rPr>
          <w:rFonts w:ascii="Arial" w:hAnsi="Arial" w:cs="Arial"/>
          <w:bCs/>
          <w:szCs w:val="24"/>
        </w:rPr>
        <w:t xml:space="preserve">judeţului Gorj, la </w:t>
      </w:r>
      <w:bookmarkStart w:id="0" w:name="OLE_LINK7"/>
      <w:bookmarkStart w:id="1" w:name="OLE_LINK8"/>
      <w:r w:rsidR="00F35691" w:rsidRPr="00A63ECA">
        <w:rPr>
          <w:rFonts w:ascii="Arial" w:hAnsi="Arial" w:cs="Arial"/>
          <w:bCs/>
          <w:szCs w:val="24"/>
        </w:rPr>
        <w:t>sfârşitul lunii decembrie 2018, a fost de 74120 persoane, în scădere cu 267 persoane faţă de luna precedentă. Din totalul salariaţilor înregistrat la nivel naţional, efectivul judeţului Gorj reprezintă o pondere de 1,39%, ocupând astfel locul 26 în clasamentul judeţelor ordonate descrescător.</w:t>
      </w:r>
    </w:p>
    <w:p w:rsidR="00F35691" w:rsidRPr="00810E6C" w:rsidRDefault="00080869" w:rsidP="00B605F2">
      <w:pPr>
        <w:ind w:firstLine="708"/>
        <w:jc w:val="both"/>
        <w:rPr>
          <w:rFonts w:ascii="Arial" w:hAnsi="Arial" w:cs="Arial"/>
          <w:sz w:val="24"/>
          <w:szCs w:val="24"/>
        </w:rPr>
      </w:pPr>
      <w:proofErr w:type="spellStart"/>
      <w:r>
        <w:rPr>
          <w:rFonts w:ascii="Arial" w:hAnsi="Arial" w:cs="Arial"/>
          <w:bCs/>
          <w:sz w:val="24"/>
          <w:szCs w:val="24"/>
        </w:rPr>
        <w:t>Câștigul</w:t>
      </w:r>
      <w:proofErr w:type="spellEnd"/>
      <w:r>
        <w:rPr>
          <w:rFonts w:ascii="Arial" w:hAnsi="Arial" w:cs="Arial"/>
          <w:bCs/>
          <w:sz w:val="24"/>
          <w:szCs w:val="24"/>
        </w:rPr>
        <w:t xml:space="preserve"> </w:t>
      </w:r>
      <w:proofErr w:type="spellStart"/>
      <w:r>
        <w:rPr>
          <w:rFonts w:ascii="Arial" w:hAnsi="Arial" w:cs="Arial"/>
          <w:bCs/>
          <w:sz w:val="24"/>
          <w:szCs w:val="24"/>
        </w:rPr>
        <w:t>salarial</w:t>
      </w:r>
      <w:proofErr w:type="spellEnd"/>
      <w:r>
        <w:rPr>
          <w:rFonts w:ascii="Arial" w:hAnsi="Arial" w:cs="Arial"/>
          <w:bCs/>
          <w:sz w:val="24"/>
          <w:szCs w:val="24"/>
        </w:rPr>
        <w:t xml:space="preserve"> </w:t>
      </w:r>
      <w:proofErr w:type="spellStart"/>
      <w:r>
        <w:rPr>
          <w:rFonts w:ascii="Arial" w:hAnsi="Arial" w:cs="Arial"/>
          <w:bCs/>
          <w:sz w:val="24"/>
          <w:szCs w:val="24"/>
        </w:rPr>
        <w:t>mediu</w:t>
      </w:r>
      <w:proofErr w:type="spellEnd"/>
      <w:r>
        <w:rPr>
          <w:rFonts w:ascii="Arial" w:hAnsi="Arial" w:cs="Arial"/>
          <w:bCs/>
          <w:sz w:val="24"/>
          <w:szCs w:val="24"/>
        </w:rPr>
        <w:t xml:space="preserve"> nominal brut</w:t>
      </w:r>
      <w:r w:rsidR="00F35691" w:rsidRPr="00DE0D7D">
        <w:rPr>
          <w:rFonts w:ascii="Arial" w:hAnsi="Arial" w:cs="Arial"/>
          <w:bCs/>
          <w:sz w:val="24"/>
          <w:szCs w:val="24"/>
        </w:rPr>
        <w:t xml:space="preserve"> </w:t>
      </w:r>
      <w:proofErr w:type="spellStart"/>
      <w:r w:rsidR="00F35691" w:rsidRPr="00DE0D7D">
        <w:rPr>
          <w:rFonts w:ascii="Arial" w:hAnsi="Arial" w:cs="Arial"/>
          <w:bCs/>
          <w:sz w:val="24"/>
          <w:szCs w:val="24"/>
        </w:rPr>
        <w:t>pe</w:t>
      </w:r>
      <w:proofErr w:type="spellEnd"/>
      <w:r w:rsidR="00F35691" w:rsidRPr="00DE0D7D">
        <w:rPr>
          <w:rFonts w:ascii="Arial" w:hAnsi="Arial" w:cs="Arial"/>
          <w:bCs/>
          <w:sz w:val="24"/>
          <w:szCs w:val="24"/>
        </w:rPr>
        <w:t xml:space="preserve"> </w:t>
      </w:r>
      <w:proofErr w:type="spellStart"/>
      <w:r w:rsidR="00F35691" w:rsidRPr="00DE0D7D">
        <w:rPr>
          <w:rFonts w:ascii="Arial" w:hAnsi="Arial" w:cs="Arial"/>
          <w:bCs/>
          <w:sz w:val="24"/>
          <w:szCs w:val="24"/>
        </w:rPr>
        <w:t>economie</w:t>
      </w:r>
      <w:proofErr w:type="spellEnd"/>
      <w:r w:rsidR="00F35691" w:rsidRPr="00DE0D7D">
        <w:rPr>
          <w:rFonts w:ascii="Arial" w:hAnsi="Arial" w:cs="Arial"/>
          <w:bCs/>
          <w:sz w:val="24"/>
          <w:szCs w:val="24"/>
        </w:rPr>
        <w:t xml:space="preserve"> </w:t>
      </w:r>
      <w:proofErr w:type="spellStart"/>
      <w:r w:rsidR="00F35691" w:rsidRPr="00DE0D7D">
        <w:rPr>
          <w:rFonts w:ascii="Arial" w:hAnsi="Arial" w:cs="Arial"/>
          <w:bCs/>
          <w:sz w:val="24"/>
          <w:szCs w:val="24"/>
        </w:rPr>
        <w:t>în</w:t>
      </w:r>
      <w:proofErr w:type="spellEnd"/>
      <w:r w:rsidR="00F35691" w:rsidRPr="00DE0D7D">
        <w:rPr>
          <w:rFonts w:ascii="Arial" w:hAnsi="Arial" w:cs="Arial"/>
          <w:bCs/>
          <w:sz w:val="24"/>
          <w:szCs w:val="24"/>
        </w:rPr>
        <w:t xml:space="preserve"> </w:t>
      </w:r>
      <w:proofErr w:type="spellStart"/>
      <w:r w:rsidR="00F35691" w:rsidRPr="00DE0D7D">
        <w:rPr>
          <w:rFonts w:ascii="Arial" w:hAnsi="Arial" w:cs="Arial"/>
          <w:bCs/>
          <w:sz w:val="24"/>
          <w:szCs w:val="24"/>
        </w:rPr>
        <w:t>luna</w:t>
      </w:r>
      <w:proofErr w:type="spellEnd"/>
      <w:r w:rsidR="00F35691" w:rsidRPr="00DE0D7D">
        <w:rPr>
          <w:rFonts w:ascii="Arial" w:hAnsi="Arial" w:cs="Arial"/>
          <w:bCs/>
          <w:sz w:val="24"/>
          <w:szCs w:val="24"/>
        </w:rPr>
        <w:t xml:space="preserve"> </w:t>
      </w:r>
      <w:proofErr w:type="spellStart"/>
      <w:r w:rsidR="00F35691" w:rsidRPr="00DE0D7D">
        <w:rPr>
          <w:rFonts w:ascii="Arial" w:hAnsi="Arial" w:cs="Arial"/>
          <w:bCs/>
          <w:sz w:val="24"/>
          <w:szCs w:val="24"/>
        </w:rPr>
        <w:t>decembrie</w:t>
      </w:r>
      <w:proofErr w:type="spellEnd"/>
      <w:r w:rsidR="00F35691" w:rsidRPr="00DE0D7D">
        <w:rPr>
          <w:rFonts w:ascii="Arial" w:hAnsi="Arial" w:cs="Arial"/>
          <w:bCs/>
          <w:sz w:val="24"/>
          <w:szCs w:val="24"/>
        </w:rPr>
        <w:t xml:space="preserve"> 2018</w:t>
      </w:r>
      <w:r w:rsidR="00F35691" w:rsidRPr="00DE0D7D">
        <w:rPr>
          <w:rFonts w:ascii="Arial" w:hAnsi="Arial" w:cs="Arial"/>
          <w:sz w:val="24"/>
          <w:szCs w:val="24"/>
        </w:rPr>
        <w:t xml:space="preserve">, a </w:t>
      </w:r>
      <w:proofErr w:type="spellStart"/>
      <w:r w:rsidR="00F35691" w:rsidRPr="00DE0D7D">
        <w:rPr>
          <w:rFonts w:ascii="Arial" w:hAnsi="Arial" w:cs="Arial"/>
          <w:sz w:val="24"/>
          <w:szCs w:val="24"/>
        </w:rPr>
        <w:t>fost</w:t>
      </w:r>
      <w:proofErr w:type="spellEnd"/>
      <w:r w:rsidR="00F35691" w:rsidRPr="00DE0D7D">
        <w:rPr>
          <w:rFonts w:ascii="Arial" w:hAnsi="Arial" w:cs="Arial"/>
          <w:sz w:val="24"/>
          <w:szCs w:val="24"/>
        </w:rPr>
        <w:t xml:space="preserve"> </w:t>
      </w:r>
      <w:proofErr w:type="gramStart"/>
      <w:r w:rsidR="00F35691" w:rsidRPr="00DE0D7D">
        <w:rPr>
          <w:rFonts w:ascii="Arial" w:hAnsi="Arial" w:cs="Arial"/>
          <w:sz w:val="24"/>
          <w:szCs w:val="24"/>
        </w:rPr>
        <w:t xml:space="preserve">de  </w:t>
      </w:r>
      <w:r w:rsidR="00F35691" w:rsidRPr="00DE0D7D">
        <w:rPr>
          <w:rFonts w:ascii="Arial" w:hAnsi="Arial" w:cs="Arial"/>
          <w:spacing w:val="-2"/>
          <w:sz w:val="24"/>
          <w:szCs w:val="24"/>
        </w:rPr>
        <w:t>4938</w:t>
      </w:r>
      <w:proofErr w:type="gramEnd"/>
      <w:r w:rsidR="00F35691" w:rsidRPr="00DE0D7D">
        <w:rPr>
          <w:rFonts w:ascii="Arial" w:hAnsi="Arial" w:cs="Arial"/>
          <w:spacing w:val="-2"/>
          <w:sz w:val="24"/>
          <w:szCs w:val="24"/>
        </w:rPr>
        <w:t xml:space="preserve"> lei, cu 6,0% </w:t>
      </w:r>
      <w:proofErr w:type="spellStart"/>
      <w:r w:rsidR="00F35691" w:rsidRPr="00DE0D7D">
        <w:rPr>
          <w:rFonts w:ascii="Arial" w:hAnsi="Arial" w:cs="Arial"/>
          <w:spacing w:val="-2"/>
          <w:sz w:val="24"/>
          <w:szCs w:val="24"/>
        </w:rPr>
        <w:t>mai</w:t>
      </w:r>
      <w:proofErr w:type="spellEnd"/>
      <w:r w:rsidR="00F35691" w:rsidRPr="00DE0D7D">
        <w:rPr>
          <w:rFonts w:ascii="Arial" w:hAnsi="Arial" w:cs="Arial"/>
          <w:spacing w:val="-2"/>
          <w:sz w:val="24"/>
          <w:szCs w:val="24"/>
        </w:rPr>
        <w:t xml:space="preserve"> mare </w:t>
      </w:r>
      <w:proofErr w:type="spellStart"/>
      <w:r w:rsidR="00F35691" w:rsidRPr="00DE0D7D">
        <w:rPr>
          <w:rFonts w:ascii="Arial" w:hAnsi="Arial" w:cs="Arial"/>
          <w:spacing w:val="-2"/>
          <w:sz w:val="24"/>
          <w:szCs w:val="24"/>
        </w:rPr>
        <w:t>decât</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în</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luna</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noiembrie</w:t>
      </w:r>
      <w:proofErr w:type="spellEnd"/>
      <w:r w:rsidR="00F35691" w:rsidRPr="00DE0D7D">
        <w:rPr>
          <w:rFonts w:ascii="Arial" w:hAnsi="Arial" w:cs="Arial"/>
          <w:spacing w:val="-2"/>
          <w:sz w:val="24"/>
          <w:szCs w:val="24"/>
        </w:rPr>
        <w:t xml:space="preserve"> 2018. </w:t>
      </w:r>
      <w:proofErr w:type="spellStart"/>
      <w:r w:rsidR="00F35691" w:rsidRPr="00DE0D7D">
        <w:rPr>
          <w:rFonts w:ascii="Arial" w:hAnsi="Arial" w:cs="Arial"/>
          <w:spacing w:val="-2"/>
          <w:sz w:val="24"/>
          <w:szCs w:val="24"/>
        </w:rPr>
        <w:t>Câştigul</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salarial</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mediu</w:t>
      </w:r>
      <w:proofErr w:type="spellEnd"/>
      <w:r w:rsidR="00F35691" w:rsidRPr="00DE0D7D">
        <w:rPr>
          <w:rFonts w:ascii="Arial" w:hAnsi="Arial" w:cs="Arial"/>
          <w:spacing w:val="-2"/>
          <w:sz w:val="24"/>
          <w:szCs w:val="24"/>
        </w:rPr>
        <w:t xml:space="preserve"> nominal net a </w:t>
      </w:r>
      <w:proofErr w:type="spellStart"/>
      <w:r w:rsidR="00F35691" w:rsidRPr="00DE0D7D">
        <w:rPr>
          <w:rFonts w:ascii="Arial" w:hAnsi="Arial" w:cs="Arial"/>
          <w:spacing w:val="-2"/>
          <w:sz w:val="24"/>
          <w:szCs w:val="24"/>
        </w:rPr>
        <w:t>fost</w:t>
      </w:r>
      <w:proofErr w:type="spellEnd"/>
      <w:r w:rsidR="00F35691" w:rsidRPr="00DE0D7D">
        <w:rPr>
          <w:rFonts w:ascii="Arial" w:hAnsi="Arial" w:cs="Arial"/>
          <w:spacing w:val="-2"/>
          <w:sz w:val="24"/>
          <w:szCs w:val="24"/>
        </w:rPr>
        <w:t xml:space="preserve"> </w:t>
      </w:r>
      <w:r w:rsidR="00DE0D7D">
        <w:rPr>
          <w:rFonts w:ascii="Arial" w:hAnsi="Arial" w:cs="Arial"/>
          <w:spacing w:val="-2"/>
          <w:sz w:val="24"/>
          <w:szCs w:val="24"/>
        </w:rPr>
        <w:t xml:space="preserve">de </w:t>
      </w:r>
      <w:r w:rsidR="00F35691" w:rsidRPr="00DE0D7D">
        <w:rPr>
          <w:rFonts w:ascii="Arial" w:hAnsi="Arial" w:cs="Arial"/>
          <w:spacing w:val="-2"/>
          <w:sz w:val="24"/>
          <w:szCs w:val="24"/>
        </w:rPr>
        <w:t xml:space="preserve">2957 lei, </w:t>
      </w:r>
      <w:proofErr w:type="spellStart"/>
      <w:r w:rsidR="00F35691" w:rsidRPr="00DE0D7D">
        <w:rPr>
          <w:rFonts w:ascii="Arial" w:hAnsi="Arial" w:cs="Arial"/>
          <w:spacing w:val="-2"/>
          <w:sz w:val="24"/>
          <w:szCs w:val="24"/>
        </w:rPr>
        <w:t>în</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creştere</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faţă</w:t>
      </w:r>
      <w:proofErr w:type="spellEnd"/>
      <w:r w:rsidR="00F35691" w:rsidRPr="00DE0D7D">
        <w:rPr>
          <w:rFonts w:ascii="Arial" w:hAnsi="Arial" w:cs="Arial"/>
          <w:spacing w:val="-2"/>
          <w:sz w:val="24"/>
          <w:szCs w:val="24"/>
        </w:rPr>
        <w:t xml:space="preserve"> de </w:t>
      </w:r>
      <w:proofErr w:type="spellStart"/>
      <w:r w:rsidR="00F35691" w:rsidRPr="00DE0D7D">
        <w:rPr>
          <w:rFonts w:ascii="Arial" w:hAnsi="Arial" w:cs="Arial"/>
          <w:spacing w:val="-2"/>
          <w:sz w:val="24"/>
          <w:szCs w:val="24"/>
        </w:rPr>
        <w:t>luna</w:t>
      </w:r>
      <w:proofErr w:type="spellEnd"/>
      <w:r w:rsidR="00F35691" w:rsidRPr="00DE0D7D">
        <w:rPr>
          <w:rFonts w:ascii="Arial" w:hAnsi="Arial" w:cs="Arial"/>
          <w:spacing w:val="-2"/>
          <w:sz w:val="24"/>
          <w:szCs w:val="24"/>
        </w:rPr>
        <w:t xml:space="preserve"> </w:t>
      </w:r>
      <w:proofErr w:type="spellStart"/>
      <w:r w:rsidR="00F35691" w:rsidRPr="00DE0D7D">
        <w:rPr>
          <w:rFonts w:ascii="Arial" w:hAnsi="Arial" w:cs="Arial"/>
          <w:spacing w:val="-2"/>
          <w:sz w:val="24"/>
          <w:szCs w:val="24"/>
        </w:rPr>
        <w:t>precedentă</w:t>
      </w:r>
      <w:proofErr w:type="spellEnd"/>
      <w:r w:rsidR="00F35691" w:rsidRPr="00DE0D7D">
        <w:rPr>
          <w:rFonts w:ascii="Arial" w:hAnsi="Arial" w:cs="Arial"/>
          <w:spacing w:val="-2"/>
          <w:sz w:val="24"/>
          <w:szCs w:val="24"/>
        </w:rPr>
        <w:t xml:space="preserve"> cu 165 lei (+5</w:t>
      </w:r>
      <w:proofErr w:type="gramStart"/>
      <w:r w:rsidR="00F35691" w:rsidRPr="00DE0D7D">
        <w:rPr>
          <w:rFonts w:ascii="Arial" w:hAnsi="Arial" w:cs="Arial"/>
          <w:spacing w:val="-2"/>
          <w:sz w:val="24"/>
          <w:szCs w:val="24"/>
        </w:rPr>
        <w:t>,9</w:t>
      </w:r>
      <w:proofErr w:type="gramEnd"/>
      <w:r w:rsidR="00F35691" w:rsidRPr="00DE0D7D">
        <w:rPr>
          <w:rFonts w:ascii="Arial" w:hAnsi="Arial" w:cs="Arial"/>
          <w:spacing w:val="-2"/>
          <w:sz w:val="24"/>
          <w:szCs w:val="24"/>
        </w:rPr>
        <w:t xml:space="preserve">%). </w:t>
      </w:r>
      <w:proofErr w:type="spellStart"/>
      <w:r w:rsidR="00F35691" w:rsidRPr="00810E6C">
        <w:rPr>
          <w:rFonts w:ascii="Arial" w:hAnsi="Arial" w:cs="Arial"/>
          <w:spacing w:val="-2"/>
          <w:sz w:val="24"/>
          <w:szCs w:val="24"/>
        </w:rPr>
        <w:t>Valorile</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cele</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mai</w:t>
      </w:r>
      <w:proofErr w:type="spellEnd"/>
      <w:r w:rsidR="00F35691" w:rsidRPr="00810E6C">
        <w:rPr>
          <w:rFonts w:ascii="Arial" w:hAnsi="Arial" w:cs="Arial"/>
          <w:spacing w:val="-2"/>
          <w:sz w:val="24"/>
          <w:szCs w:val="24"/>
        </w:rPr>
        <w:t xml:space="preserve"> </w:t>
      </w:r>
      <w:proofErr w:type="spellStart"/>
      <w:proofErr w:type="gramStart"/>
      <w:r w:rsidR="00F35691" w:rsidRPr="00810E6C">
        <w:rPr>
          <w:rFonts w:ascii="Arial" w:hAnsi="Arial" w:cs="Arial"/>
          <w:spacing w:val="-2"/>
          <w:sz w:val="24"/>
          <w:szCs w:val="24"/>
        </w:rPr>
        <w:t>mari</w:t>
      </w:r>
      <w:proofErr w:type="spellEnd"/>
      <w:proofErr w:type="gramEnd"/>
      <w:r w:rsidR="00F35691" w:rsidRPr="00810E6C">
        <w:rPr>
          <w:rFonts w:ascii="Arial" w:hAnsi="Arial" w:cs="Arial"/>
          <w:spacing w:val="-2"/>
          <w:sz w:val="24"/>
          <w:szCs w:val="24"/>
        </w:rPr>
        <w:t xml:space="preserve"> ale </w:t>
      </w:r>
      <w:proofErr w:type="spellStart"/>
      <w:r w:rsidR="00F35691" w:rsidRPr="00810E6C">
        <w:rPr>
          <w:rFonts w:ascii="Arial" w:hAnsi="Arial" w:cs="Arial"/>
          <w:spacing w:val="-2"/>
          <w:sz w:val="24"/>
          <w:szCs w:val="24"/>
        </w:rPr>
        <w:t>câştigului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salarial</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mediu</w:t>
      </w:r>
      <w:proofErr w:type="spellEnd"/>
      <w:r w:rsidR="00F35691" w:rsidRPr="00810E6C">
        <w:rPr>
          <w:rFonts w:ascii="Arial" w:hAnsi="Arial" w:cs="Arial"/>
          <w:spacing w:val="-2"/>
          <w:sz w:val="24"/>
          <w:szCs w:val="24"/>
        </w:rPr>
        <w:t xml:space="preserve"> nominal net s-au </w:t>
      </w:r>
      <w:proofErr w:type="spellStart"/>
      <w:r w:rsidR="00F35691" w:rsidRPr="00810E6C">
        <w:rPr>
          <w:rFonts w:ascii="Arial" w:hAnsi="Arial" w:cs="Arial"/>
          <w:spacing w:val="-2"/>
          <w:sz w:val="24"/>
          <w:szCs w:val="24"/>
        </w:rPr>
        <w:t>înregistrat</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în</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z w:val="24"/>
          <w:szCs w:val="24"/>
        </w:rPr>
        <w:t>activităţi</w:t>
      </w:r>
      <w:proofErr w:type="spellEnd"/>
      <w:r w:rsidR="00F35691" w:rsidRPr="00810E6C">
        <w:rPr>
          <w:rFonts w:ascii="Arial" w:hAnsi="Arial" w:cs="Arial"/>
          <w:sz w:val="24"/>
          <w:szCs w:val="24"/>
        </w:rPr>
        <w:t xml:space="preserve"> de </w:t>
      </w:r>
      <w:proofErr w:type="spellStart"/>
      <w:r w:rsidR="00F35691" w:rsidRPr="00810E6C">
        <w:rPr>
          <w:rFonts w:ascii="Arial" w:hAnsi="Arial" w:cs="Arial"/>
          <w:sz w:val="24"/>
          <w:szCs w:val="24"/>
        </w:rPr>
        <w:t>servicii</w:t>
      </w:r>
      <w:proofErr w:type="spellEnd"/>
      <w:r w:rsidR="00F35691" w:rsidRPr="00810E6C">
        <w:rPr>
          <w:rFonts w:ascii="Arial" w:hAnsi="Arial" w:cs="Arial"/>
          <w:sz w:val="24"/>
          <w:szCs w:val="24"/>
        </w:rPr>
        <w:t xml:space="preserve"> de </w:t>
      </w:r>
      <w:proofErr w:type="spellStart"/>
      <w:r w:rsidR="00F35691" w:rsidRPr="00810E6C">
        <w:rPr>
          <w:rFonts w:ascii="Arial" w:hAnsi="Arial" w:cs="Arial"/>
          <w:sz w:val="24"/>
          <w:szCs w:val="24"/>
        </w:rPr>
        <w:t>tehnologia</w:t>
      </w:r>
      <w:proofErr w:type="spellEnd"/>
      <w:r w:rsidR="00F35691" w:rsidRPr="00810E6C">
        <w:rPr>
          <w:rFonts w:ascii="Arial" w:hAnsi="Arial" w:cs="Arial"/>
          <w:sz w:val="24"/>
          <w:szCs w:val="24"/>
        </w:rPr>
        <w:t xml:space="preserve"> </w:t>
      </w:r>
      <w:proofErr w:type="spellStart"/>
      <w:r w:rsidR="00F35691" w:rsidRPr="00810E6C">
        <w:rPr>
          <w:rFonts w:ascii="Arial" w:hAnsi="Arial" w:cs="Arial"/>
          <w:sz w:val="24"/>
          <w:szCs w:val="24"/>
        </w:rPr>
        <w:t>informaţiei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inclusiv</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activităţi</w:t>
      </w:r>
      <w:proofErr w:type="spellEnd"/>
      <w:r w:rsidR="00F35691" w:rsidRPr="00810E6C">
        <w:rPr>
          <w:rFonts w:ascii="Arial" w:hAnsi="Arial" w:cs="Arial"/>
          <w:spacing w:val="-2"/>
          <w:sz w:val="24"/>
          <w:szCs w:val="24"/>
        </w:rPr>
        <w:t xml:space="preserve"> de </w:t>
      </w:r>
      <w:proofErr w:type="spellStart"/>
      <w:r w:rsidR="00F35691" w:rsidRPr="00810E6C">
        <w:rPr>
          <w:rFonts w:ascii="Arial" w:hAnsi="Arial" w:cs="Arial"/>
          <w:spacing w:val="-2"/>
          <w:sz w:val="24"/>
          <w:szCs w:val="24"/>
        </w:rPr>
        <w:t>servicii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informatice</w:t>
      </w:r>
      <w:proofErr w:type="spellEnd"/>
      <w:r w:rsidR="00F35691" w:rsidRPr="00810E6C">
        <w:rPr>
          <w:rFonts w:ascii="Arial" w:hAnsi="Arial" w:cs="Arial"/>
          <w:spacing w:val="-2"/>
          <w:sz w:val="24"/>
          <w:szCs w:val="24"/>
        </w:rPr>
        <w:t>) (6888 lei)</w:t>
      </w:r>
      <w:r w:rsidR="00DE0D7D" w:rsidRPr="00810E6C">
        <w:rPr>
          <w:rFonts w:ascii="Arial" w:hAnsi="Arial" w:cs="Arial"/>
          <w:sz w:val="24"/>
          <w:szCs w:val="24"/>
        </w:rPr>
        <w:t>,</w:t>
      </w:r>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iar</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cele</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mai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mici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în</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hoteluri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şi</w:t>
      </w:r>
      <w:proofErr w:type="spellEnd"/>
      <w:r w:rsidR="00F35691" w:rsidRPr="00810E6C">
        <w:rPr>
          <w:rFonts w:ascii="Arial" w:hAnsi="Arial" w:cs="Arial"/>
          <w:spacing w:val="-2"/>
          <w:sz w:val="24"/>
          <w:szCs w:val="24"/>
        </w:rPr>
        <w:t xml:space="preserve"> </w:t>
      </w:r>
      <w:proofErr w:type="spellStart"/>
      <w:r w:rsidR="00F35691" w:rsidRPr="00810E6C">
        <w:rPr>
          <w:rFonts w:ascii="Arial" w:hAnsi="Arial" w:cs="Arial"/>
          <w:spacing w:val="-2"/>
          <w:sz w:val="24"/>
          <w:szCs w:val="24"/>
        </w:rPr>
        <w:t>restaurante</w:t>
      </w:r>
      <w:proofErr w:type="spellEnd"/>
      <w:r w:rsidR="00F35691" w:rsidRPr="00810E6C">
        <w:rPr>
          <w:rFonts w:ascii="Arial" w:hAnsi="Arial" w:cs="Arial"/>
          <w:spacing w:val="-2"/>
          <w:sz w:val="24"/>
          <w:szCs w:val="24"/>
        </w:rPr>
        <w:t xml:space="preserve"> (1657 lei). </w:t>
      </w:r>
      <w:proofErr w:type="spellStart"/>
      <w:r w:rsidR="00F35691" w:rsidRPr="00810E6C">
        <w:rPr>
          <w:rFonts w:ascii="Arial" w:hAnsi="Arial" w:cs="Arial"/>
          <w:sz w:val="24"/>
          <w:szCs w:val="24"/>
        </w:rPr>
        <w:t>Comparativ</w:t>
      </w:r>
      <w:proofErr w:type="spellEnd"/>
      <w:r w:rsidR="00F35691" w:rsidRPr="00810E6C">
        <w:rPr>
          <w:rFonts w:ascii="Arial" w:hAnsi="Arial" w:cs="Arial"/>
          <w:sz w:val="24"/>
          <w:szCs w:val="24"/>
        </w:rPr>
        <w:t xml:space="preserve"> cu </w:t>
      </w:r>
      <w:proofErr w:type="spellStart"/>
      <w:r w:rsidR="00F35691" w:rsidRPr="00810E6C">
        <w:rPr>
          <w:rFonts w:ascii="Arial" w:hAnsi="Arial" w:cs="Arial"/>
          <w:sz w:val="24"/>
          <w:szCs w:val="24"/>
        </w:rPr>
        <w:t>luna</w:t>
      </w:r>
      <w:proofErr w:type="spellEnd"/>
      <w:r w:rsidR="00F35691" w:rsidRPr="00810E6C">
        <w:rPr>
          <w:rFonts w:ascii="Arial" w:hAnsi="Arial" w:cs="Arial"/>
          <w:sz w:val="24"/>
          <w:szCs w:val="24"/>
        </w:rPr>
        <w:t xml:space="preserve"> </w:t>
      </w:r>
      <w:proofErr w:type="spellStart"/>
      <w:r w:rsidR="00F35691" w:rsidRPr="00810E6C">
        <w:rPr>
          <w:rFonts w:ascii="Arial" w:hAnsi="Arial" w:cs="Arial"/>
          <w:sz w:val="24"/>
          <w:szCs w:val="24"/>
        </w:rPr>
        <w:t>decembrie</w:t>
      </w:r>
      <w:proofErr w:type="spellEnd"/>
      <w:r w:rsidR="00F35691" w:rsidRPr="00810E6C">
        <w:rPr>
          <w:rFonts w:ascii="Arial" w:hAnsi="Arial" w:cs="Arial"/>
          <w:sz w:val="24"/>
          <w:szCs w:val="24"/>
        </w:rPr>
        <w:t xml:space="preserve"> a </w:t>
      </w:r>
      <w:proofErr w:type="spellStart"/>
      <w:r w:rsidR="00F35691" w:rsidRPr="00810E6C">
        <w:rPr>
          <w:rFonts w:ascii="Arial" w:hAnsi="Arial" w:cs="Arial"/>
          <w:sz w:val="24"/>
          <w:szCs w:val="24"/>
        </w:rPr>
        <w:t>anului</w:t>
      </w:r>
      <w:proofErr w:type="spellEnd"/>
      <w:r w:rsidR="00F35691" w:rsidRPr="00810E6C">
        <w:rPr>
          <w:rFonts w:ascii="Arial" w:hAnsi="Arial" w:cs="Arial"/>
          <w:sz w:val="24"/>
          <w:szCs w:val="24"/>
        </w:rPr>
        <w:t xml:space="preserve"> precedent, </w:t>
      </w:r>
      <w:proofErr w:type="spellStart"/>
      <w:r w:rsidR="00F35691" w:rsidRPr="00810E6C">
        <w:rPr>
          <w:rFonts w:ascii="Arial" w:hAnsi="Arial" w:cs="Arial"/>
          <w:sz w:val="24"/>
          <w:szCs w:val="24"/>
        </w:rPr>
        <w:t>câştigul</w:t>
      </w:r>
      <w:proofErr w:type="spellEnd"/>
      <w:r w:rsidR="00F35691" w:rsidRPr="00810E6C">
        <w:rPr>
          <w:rFonts w:ascii="Arial" w:hAnsi="Arial" w:cs="Arial"/>
          <w:sz w:val="24"/>
          <w:szCs w:val="24"/>
        </w:rPr>
        <w:t xml:space="preserve"> </w:t>
      </w:r>
      <w:proofErr w:type="spellStart"/>
      <w:r w:rsidR="00F35691" w:rsidRPr="00810E6C">
        <w:rPr>
          <w:rFonts w:ascii="Arial" w:hAnsi="Arial" w:cs="Arial"/>
          <w:sz w:val="24"/>
          <w:szCs w:val="24"/>
        </w:rPr>
        <w:t>salarial</w:t>
      </w:r>
      <w:proofErr w:type="spellEnd"/>
      <w:r w:rsidR="00F35691" w:rsidRPr="00810E6C">
        <w:rPr>
          <w:rFonts w:ascii="Arial" w:hAnsi="Arial" w:cs="Arial"/>
          <w:sz w:val="24"/>
          <w:szCs w:val="24"/>
        </w:rPr>
        <w:t xml:space="preserve"> </w:t>
      </w:r>
      <w:proofErr w:type="spellStart"/>
      <w:r w:rsidR="00F35691" w:rsidRPr="00810E6C">
        <w:rPr>
          <w:rFonts w:ascii="Arial" w:hAnsi="Arial" w:cs="Arial"/>
          <w:sz w:val="24"/>
          <w:szCs w:val="24"/>
        </w:rPr>
        <w:t>mediu</w:t>
      </w:r>
      <w:proofErr w:type="spellEnd"/>
      <w:r w:rsidR="00F35691" w:rsidRPr="00810E6C">
        <w:rPr>
          <w:rFonts w:ascii="Arial" w:hAnsi="Arial" w:cs="Arial"/>
          <w:sz w:val="24"/>
          <w:szCs w:val="24"/>
        </w:rPr>
        <w:t xml:space="preserve"> nominal net a </w:t>
      </w:r>
      <w:proofErr w:type="spellStart"/>
      <w:r w:rsidR="00F35691" w:rsidRPr="00810E6C">
        <w:rPr>
          <w:rFonts w:ascii="Arial" w:hAnsi="Arial" w:cs="Arial"/>
          <w:sz w:val="24"/>
          <w:szCs w:val="24"/>
        </w:rPr>
        <w:t>crescut</w:t>
      </w:r>
      <w:proofErr w:type="spellEnd"/>
      <w:r w:rsidR="00F35691" w:rsidRPr="00810E6C">
        <w:rPr>
          <w:rFonts w:ascii="Arial" w:hAnsi="Arial" w:cs="Arial"/>
          <w:sz w:val="24"/>
          <w:szCs w:val="24"/>
        </w:rPr>
        <w:t xml:space="preserve"> cu 12</w:t>
      </w:r>
      <w:proofErr w:type="gramStart"/>
      <w:r w:rsidR="00F35691" w:rsidRPr="00810E6C">
        <w:rPr>
          <w:rFonts w:ascii="Arial" w:hAnsi="Arial" w:cs="Arial"/>
          <w:sz w:val="24"/>
          <w:szCs w:val="24"/>
        </w:rPr>
        <w:t>,5</w:t>
      </w:r>
      <w:proofErr w:type="gramEnd"/>
      <w:r w:rsidR="00F35691" w:rsidRPr="00810E6C">
        <w:rPr>
          <w:rFonts w:ascii="Arial" w:hAnsi="Arial" w:cs="Arial"/>
          <w:sz w:val="24"/>
          <w:szCs w:val="24"/>
        </w:rPr>
        <w:t xml:space="preserve">%. </w:t>
      </w:r>
    </w:p>
    <w:bookmarkEnd w:id="0"/>
    <w:bookmarkEnd w:id="1"/>
    <w:p w:rsidR="00F35691" w:rsidRPr="00205133" w:rsidRDefault="00F35691" w:rsidP="00B605F2">
      <w:pPr>
        <w:ind w:firstLine="708"/>
        <w:jc w:val="both"/>
        <w:rPr>
          <w:rFonts w:ascii="Arial" w:hAnsi="Arial" w:cs="Arial"/>
          <w:sz w:val="24"/>
          <w:szCs w:val="24"/>
        </w:rPr>
      </w:pPr>
      <w:r w:rsidRPr="00DE0D7D">
        <w:rPr>
          <w:rFonts w:ascii="Arial" w:hAnsi="Arial" w:cs="Arial"/>
          <w:sz w:val="24"/>
          <w:szCs w:val="24"/>
        </w:rPr>
        <w:t xml:space="preserve">Cu un </w:t>
      </w:r>
      <w:proofErr w:type="spellStart"/>
      <w:r w:rsidRPr="00DE0D7D">
        <w:rPr>
          <w:rFonts w:ascii="Arial" w:hAnsi="Arial" w:cs="Arial"/>
          <w:sz w:val="24"/>
          <w:szCs w:val="24"/>
        </w:rPr>
        <w:t>c</w:t>
      </w:r>
      <w:r w:rsidR="004D0903" w:rsidRPr="00DE0D7D">
        <w:rPr>
          <w:rFonts w:ascii="Arial" w:hAnsi="Arial" w:cs="Arial"/>
          <w:sz w:val="24"/>
          <w:szCs w:val="24"/>
        </w:rPr>
        <w:t>âș</w:t>
      </w:r>
      <w:r w:rsidRPr="00DE0D7D">
        <w:rPr>
          <w:rFonts w:ascii="Arial" w:hAnsi="Arial" w:cs="Arial"/>
          <w:sz w:val="24"/>
          <w:szCs w:val="24"/>
        </w:rPr>
        <w:t>tig</w:t>
      </w:r>
      <w:proofErr w:type="spellEnd"/>
      <w:r w:rsidRPr="00DE0D7D">
        <w:rPr>
          <w:rFonts w:ascii="Arial" w:hAnsi="Arial" w:cs="Arial"/>
          <w:sz w:val="24"/>
          <w:szCs w:val="24"/>
        </w:rPr>
        <w:t xml:space="preserve"> </w:t>
      </w:r>
      <w:proofErr w:type="spellStart"/>
      <w:r w:rsidRPr="00DE0D7D">
        <w:rPr>
          <w:rFonts w:ascii="Arial" w:hAnsi="Arial" w:cs="Arial"/>
          <w:sz w:val="24"/>
          <w:szCs w:val="24"/>
        </w:rPr>
        <w:t>salarial</w:t>
      </w:r>
      <w:proofErr w:type="spellEnd"/>
      <w:r w:rsidRPr="00DE0D7D">
        <w:rPr>
          <w:rFonts w:ascii="Arial" w:hAnsi="Arial" w:cs="Arial"/>
          <w:sz w:val="24"/>
          <w:szCs w:val="24"/>
        </w:rPr>
        <w:t xml:space="preserve"> </w:t>
      </w:r>
      <w:proofErr w:type="spellStart"/>
      <w:r w:rsidRPr="00DE0D7D">
        <w:rPr>
          <w:rFonts w:ascii="Arial" w:hAnsi="Arial" w:cs="Arial"/>
          <w:sz w:val="24"/>
          <w:szCs w:val="24"/>
        </w:rPr>
        <w:t>mediu</w:t>
      </w:r>
      <w:proofErr w:type="spellEnd"/>
      <w:r w:rsidRPr="00DE0D7D">
        <w:rPr>
          <w:rFonts w:ascii="Arial" w:hAnsi="Arial" w:cs="Arial"/>
          <w:sz w:val="24"/>
          <w:szCs w:val="24"/>
        </w:rPr>
        <w:t xml:space="preserve"> nominal net de 2966 lei </w:t>
      </w:r>
      <w:proofErr w:type="spellStart"/>
      <w:r w:rsidRPr="00DE0D7D">
        <w:rPr>
          <w:rFonts w:ascii="Arial" w:hAnsi="Arial" w:cs="Arial"/>
          <w:sz w:val="24"/>
          <w:szCs w:val="24"/>
        </w:rPr>
        <w:t>în</w:t>
      </w:r>
      <w:proofErr w:type="spellEnd"/>
      <w:r w:rsidRPr="00DE0D7D">
        <w:rPr>
          <w:rFonts w:ascii="Arial" w:hAnsi="Arial" w:cs="Arial"/>
          <w:sz w:val="24"/>
          <w:szCs w:val="24"/>
        </w:rPr>
        <w:t xml:space="preserve"> </w:t>
      </w:r>
      <w:proofErr w:type="spellStart"/>
      <w:r w:rsidRPr="00DE0D7D">
        <w:rPr>
          <w:rFonts w:ascii="Arial" w:hAnsi="Arial" w:cs="Arial"/>
          <w:sz w:val="24"/>
          <w:szCs w:val="24"/>
        </w:rPr>
        <w:t>luna</w:t>
      </w:r>
      <w:proofErr w:type="spellEnd"/>
      <w:r w:rsidRPr="00DE0D7D">
        <w:rPr>
          <w:rFonts w:ascii="Arial" w:hAnsi="Arial" w:cs="Arial"/>
          <w:sz w:val="24"/>
          <w:szCs w:val="24"/>
        </w:rPr>
        <w:t xml:space="preserve"> </w:t>
      </w:r>
      <w:proofErr w:type="spellStart"/>
      <w:r w:rsidRPr="00DE0D7D">
        <w:rPr>
          <w:rFonts w:ascii="Arial" w:hAnsi="Arial" w:cs="Arial"/>
          <w:sz w:val="24"/>
          <w:szCs w:val="24"/>
        </w:rPr>
        <w:t>decembrie</w:t>
      </w:r>
      <w:proofErr w:type="spellEnd"/>
      <w:r w:rsidRPr="00DE0D7D">
        <w:rPr>
          <w:rFonts w:ascii="Arial" w:hAnsi="Arial" w:cs="Arial"/>
          <w:sz w:val="24"/>
          <w:szCs w:val="24"/>
        </w:rPr>
        <w:t xml:space="preserve"> 2018, </w:t>
      </w:r>
      <w:proofErr w:type="spellStart"/>
      <w:r w:rsidRPr="00DE0D7D">
        <w:rPr>
          <w:rFonts w:ascii="Arial" w:hAnsi="Arial" w:cs="Arial"/>
          <w:sz w:val="24"/>
          <w:szCs w:val="24"/>
        </w:rPr>
        <w:t>judeţul</w:t>
      </w:r>
      <w:proofErr w:type="spellEnd"/>
      <w:r w:rsidRPr="00DE0D7D">
        <w:rPr>
          <w:rFonts w:ascii="Arial" w:hAnsi="Arial" w:cs="Arial"/>
          <w:sz w:val="24"/>
          <w:szCs w:val="24"/>
        </w:rPr>
        <w:t xml:space="preserve"> </w:t>
      </w:r>
      <w:proofErr w:type="spellStart"/>
      <w:r w:rsidRPr="00DE0D7D">
        <w:rPr>
          <w:rFonts w:ascii="Arial" w:hAnsi="Arial" w:cs="Arial"/>
          <w:sz w:val="24"/>
          <w:szCs w:val="24"/>
        </w:rPr>
        <w:t>Gorj</w:t>
      </w:r>
      <w:proofErr w:type="spellEnd"/>
      <w:r w:rsidRPr="00DE0D7D">
        <w:rPr>
          <w:rFonts w:ascii="Arial" w:hAnsi="Arial" w:cs="Arial"/>
          <w:sz w:val="24"/>
          <w:szCs w:val="24"/>
        </w:rPr>
        <w:t xml:space="preserve"> </w:t>
      </w:r>
      <w:proofErr w:type="spellStart"/>
      <w:r w:rsidRPr="00DE0D7D">
        <w:rPr>
          <w:rFonts w:ascii="Arial" w:hAnsi="Arial" w:cs="Arial"/>
          <w:sz w:val="24"/>
          <w:szCs w:val="24"/>
        </w:rPr>
        <w:t>ocupă</w:t>
      </w:r>
      <w:proofErr w:type="spellEnd"/>
      <w:r w:rsidRPr="00DE0D7D">
        <w:rPr>
          <w:rFonts w:ascii="Arial" w:hAnsi="Arial" w:cs="Arial"/>
          <w:sz w:val="24"/>
          <w:szCs w:val="24"/>
        </w:rPr>
        <w:t xml:space="preserve"> </w:t>
      </w:r>
      <w:proofErr w:type="spellStart"/>
      <w:r w:rsidRPr="00DE0D7D">
        <w:rPr>
          <w:rFonts w:ascii="Arial" w:hAnsi="Arial" w:cs="Arial"/>
          <w:sz w:val="24"/>
          <w:szCs w:val="24"/>
        </w:rPr>
        <w:t>locul</w:t>
      </w:r>
      <w:proofErr w:type="spellEnd"/>
      <w:r w:rsidRPr="00DE0D7D">
        <w:rPr>
          <w:rFonts w:ascii="Arial" w:hAnsi="Arial" w:cs="Arial"/>
          <w:sz w:val="24"/>
          <w:szCs w:val="24"/>
        </w:rPr>
        <w:t xml:space="preserve"> 5 </w:t>
      </w:r>
      <w:proofErr w:type="spellStart"/>
      <w:r w:rsidRPr="00DE0D7D">
        <w:rPr>
          <w:rFonts w:ascii="Arial" w:hAnsi="Arial" w:cs="Arial"/>
          <w:bCs/>
          <w:sz w:val="24"/>
          <w:szCs w:val="24"/>
        </w:rPr>
        <w:t>în</w:t>
      </w:r>
      <w:proofErr w:type="spellEnd"/>
      <w:r w:rsidRPr="00DE0D7D">
        <w:rPr>
          <w:rFonts w:ascii="Arial" w:hAnsi="Arial" w:cs="Arial"/>
          <w:bCs/>
          <w:sz w:val="24"/>
          <w:szCs w:val="24"/>
        </w:rPr>
        <w:t xml:space="preserve"> </w:t>
      </w:r>
      <w:proofErr w:type="spellStart"/>
      <w:r w:rsidRPr="00DE0D7D">
        <w:rPr>
          <w:rFonts w:ascii="Arial" w:hAnsi="Arial" w:cs="Arial"/>
          <w:bCs/>
          <w:sz w:val="24"/>
          <w:szCs w:val="24"/>
        </w:rPr>
        <w:t>clasamentul</w:t>
      </w:r>
      <w:proofErr w:type="spellEnd"/>
      <w:r w:rsidRPr="00DE0D7D">
        <w:rPr>
          <w:rFonts w:ascii="Arial" w:hAnsi="Arial" w:cs="Arial"/>
          <w:bCs/>
          <w:sz w:val="24"/>
          <w:szCs w:val="24"/>
        </w:rPr>
        <w:t xml:space="preserve"> </w:t>
      </w:r>
      <w:proofErr w:type="spellStart"/>
      <w:r w:rsidRPr="00DE0D7D">
        <w:rPr>
          <w:rFonts w:ascii="Arial" w:hAnsi="Arial" w:cs="Arial"/>
          <w:bCs/>
          <w:sz w:val="24"/>
          <w:szCs w:val="24"/>
        </w:rPr>
        <w:t>judeţelor</w:t>
      </w:r>
      <w:proofErr w:type="spellEnd"/>
      <w:r w:rsidRPr="00DE0D7D">
        <w:rPr>
          <w:rFonts w:ascii="Arial" w:hAnsi="Arial" w:cs="Arial"/>
          <w:bCs/>
          <w:sz w:val="24"/>
          <w:szCs w:val="24"/>
        </w:rPr>
        <w:t xml:space="preserve"> </w:t>
      </w:r>
      <w:proofErr w:type="spellStart"/>
      <w:r w:rsidRPr="00DE0D7D">
        <w:rPr>
          <w:rFonts w:ascii="Arial" w:hAnsi="Arial" w:cs="Arial"/>
          <w:bCs/>
          <w:sz w:val="24"/>
          <w:szCs w:val="24"/>
        </w:rPr>
        <w:t>ordonate</w:t>
      </w:r>
      <w:proofErr w:type="spellEnd"/>
      <w:r w:rsidRPr="00DE0D7D">
        <w:rPr>
          <w:rFonts w:ascii="Arial" w:hAnsi="Arial" w:cs="Arial"/>
          <w:bCs/>
          <w:sz w:val="24"/>
          <w:szCs w:val="24"/>
        </w:rPr>
        <w:t xml:space="preserve"> </w:t>
      </w:r>
      <w:proofErr w:type="spellStart"/>
      <w:r w:rsidRPr="00DE0D7D">
        <w:rPr>
          <w:rFonts w:ascii="Arial" w:hAnsi="Arial" w:cs="Arial"/>
          <w:bCs/>
          <w:sz w:val="24"/>
          <w:szCs w:val="24"/>
        </w:rPr>
        <w:t>descrescător</w:t>
      </w:r>
      <w:proofErr w:type="spellEnd"/>
      <w:r w:rsidRPr="00DE0D7D">
        <w:rPr>
          <w:rFonts w:ascii="Arial" w:hAnsi="Arial" w:cs="Arial"/>
          <w:sz w:val="24"/>
          <w:szCs w:val="24"/>
        </w:rPr>
        <w:t xml:space="preserve">, </w:t>
      </w:r>
      <w:proofErr w:type="spellStart"/>
      <w:r w:rsidRPr="00DE0D7D">
        <w:rPr>
          <w:rFonts w:ascii="Arial" w:hAnsi="Arial" w:cs="Arial"/>
          <w:sz w:val="24"/>
          <w:szCs w:val="24"/>
        </w:rPr>
        <w:t>salariul</w:t>
      </w:r>
      <w:proofErr w:type="spellEnd"/>
      <w:r w:rsidRPr="00DE0D7D">
        <w:rPr>
          <w:rFonts w:ascii="Arial" w:hAnsi="Arial" w:cs="Arial"/>
          <w:sz w:val="24"/>
          <w:szCs w:val="24"/>
        </w:rPr>
        <w:t xml:space="preserve"> </w:t>
      </w:r>
      <w:proofErr w:type="spellStart"/>
      <w:r w:rsidRPr="00DE0D7D">
        <w:rPr>
          <w:rFonts w:ascii="Arial" w:hAnsi="Arial" w:cs="Arial"/>
          <w:sz w:val="24"/>
          <w:szCs w:val="24"/>
        </w:rPr>
        <w:t>mediu</w:t>
      </w:r>
      <w:proofErr w:type="spellEnd"/>
      <w:r w:rsidRPr="00DE0D7D">
        <w:rPr>
          <w:rFonts w:ascii="Arial" w:hAnsi="Arial" w:cs="Arial"/>
          <w:sz w:val="24"/>
          <w:szCs w:val="24"/>
        </w:rPr>
        <w:t xml:space="preserve"> nominal net </w:t>
      </w:r>
      <w:proofErr w:type="spellStart"/>
      <w:r w:rsidRPr="00DE0D7D">
        <w:rPr>
          <w:rFonts w:ascii="Arial" w:hAnsi="Arial" w:cs="Arial"/>
          <w:sz w:val="24"/>
          <w:szCs w:val="24"/>
        </w:rPr>
        <w:t>fiind</w:t>
      </w:r>
      <w:proofErr w:type="spellEnd"/>
      <w:r w:rsidRPr="00DE0D7D">
        <w:rPr>
          <w:rFonts w:ascii="Arial" w:hAnsi="Arial" w:cs="Arial"/>
          <w:sz w:val="24"/>
          <w:szCs w:val="24"/>
        </w:rPr>
        <w:t xml:space="preserve"> </w:t>
      </w:r>
      <w:proofErr w:type="spellStart"/>
      <w:r w:rsidRPr="00DE0D7D">
        <w:rPr>
          <w:rFonts w:ascii="Arial" w:hAnsi="Arial" w:cs="Arial"/>
          <w:sz w:val="24"/>
          <w:szCs w:val="24"/>
        </w:rPr>
        <w:t>mai</w:t>
      </w:r>
      <w:proofErr w:type="spellEnd"/>
      <w:r w:rsidRPr="00DE0D7D">
        <w:rPr>
          <w:rFonts w:ascii="Arial" w:hAnsi="Arial" w:cs="Arial"/>
          <w:sz w:val="24"/>
          <w:szCs w:val="24"/>
        </w:rPr>
        <w:t xml:space="preserve"> mare </w:t>
      </w:r>
      <w:proofErr w:type="spellStart"/>
      <w:r w:rsidRPr="00DE0D7D">
        <w:rPr>
          <w:rFonts w:ascii="Arial" w:hAnsi="Arial" w:cs="Arial"/>
          <w:sz w:val="24"/>
          <w:szCs w:val="24"/>
        </w:rPr>
        <w:t>decât</w:t>
      </w:r>
      <w:proofErr w:type="spellEnd"/>
      <w:r w:rsidRPr="00DE0D7D">
        <w:rPr>
          <w:rFonts w:ascii="Arial" w:hAnsi="Arial" w:cs="Arial"/>
          <w:sz w:val="24"/>
          <w:szCs w:val="24"/>
        </w:rPr>
        <w:t xml:space="preserve"> media la </w:t>
      </w:r>
      <w:proofErr w:type="spellStart"/>
      <w:r w:rsidRPr="00DE0D7D">
        <w:rPr>
          <w:rFonts w:ascii="Arial" w:hAnsi="Arial" w:cs="Arial"/>
          <w:sz w:val="24"/>
          <w:szCs w:val="24"/>
        </w:rPr>
        <w:t>nivelul</w:t>
      </w:r>
      <w:proofErr w:type="spellEnd"/>
      <w:r w:rsidRPr="00DE0D7D">
        <w:rPr>
          <w:rFonts w:ascii="Arial" w:hAnsi="Arial" w:cs="Arial"/>
          <w:sz w:val="24"/>
          <w:szCs w:val="24"/>
        </w:rPr>
        <w:t xml:space="preserve"> </w:t>
      </w:r>
      <w:proofErr w:type="spellStart"/>
      <w:r w:rsidRPr="00DE0D7D">
        <w:rPr>
          <w:rFonts w:ascii="Arial" w:hAnsi="Arial" w:cs="Arial"/>
          <w:sz w:val="24"/>
          <w:szCs w:val="24"/>
        </w:rPr>
        <w:t>ţării</w:t>
      </w:r>
      <w:proofErr w:type="spellEnd"/>
      <w:r w:rsidRPr="00DE0D7D">
        <w:rPr>
          <w:rFonts w:ascii="Arial" w:hAnsi="Arial" w:cs="Arial"/>
          <w:sz w:val="24"/>
          <w:szCs w:val="24"/>
        </w:rPr>
        <w:t xml:space="preserve"> cu 0</w:t>
      </w:r>
      <w:proofErr w:type="gramStart"/>
      <w:r w:rsidRPr="00DE0D7D">
        <w:rPr>
          <w:rFonts w:ascii="Arial" w:hAnsi="Arial" w:cs="Arial"/>
          <w:sz w:val="24"/>
          <w:szCs w:val="24"/>
        </w:rPr>
        <w:t>,3</w:t>
      </w:r>
      <w:proofErr w:type="gramEnd"/>
      <w:r w:rsidRPr="00DE0D7D">
        <w:rPr>
          <w:rFonts w:ascii="Arial" w:hAnsi="Arial" w:cs="Arial"/>
          <w:sz w:val="24"/>
          <w:szCs w:val="24"/>
        </w:rPr>
        <w:t xml:space="preserve">%, </w:t>
      </w:r>
      <w:proofErr w:type="spellStart"/>
      <w:r w:rsidRPr="00DE0D7D">
        <w:rPr>
          <w:rFonts w:ascii="Arial" w:hAnsi="Arial" w:cs="Arial"/>
          <w:sz w:val="24"/>
          <w:szCs w:val="24"/>
        </w:rPr>
        <w:t>respectiv</w:t>
      </w:r>
      <w:proofErr w:type="spellEnd"/>
      <w:r w:rsidRPr="00DE0D7D">
        <w:rPr>
          <w:rFonts w:ascii="Arial" w:hAnsi="Arial" w:cs="Arial"/>
          <w:sz w:val="24"/>
          <w:szCs w:val="24"/>
        </w:rPr>
        <w:t xml:space="preserve"> cu 9 </w:t>
      </w:r>
      <w:proofErr w:type="spellStart"/>
      <w:r w:rsidRPr="00DE0D7D">
        <w:rPr>
          <w:rFonts w:ascii="Arial" w:hAnsi="Arial" w:cs="Arial"/>
          <w:sz w:val="24"/>
          <w:szCs w:val="24"/>
        </w:rPr>
        <w:t>lei.</w:t>
      </w:r>
      <w:r w:rsidRPr="00205133">
        <w:rPr>
          <w:rFonts w:ascii="Arial" w:hAnsi="Arial" w:cs="Arial"/>
          <w:sz w:val="24"/>
          <w:szCs w:val="24"/>
        </w:rPr>
        <w:t>Comparativ</w:t>
      </w:r>
      <w:proofErr w:type="spellEnd"/>
      <w:r w:rsidRPr="00205133">
        <w:rPr>
          <w:rFonts w:ascii="Arial" w:hAnsi="Arial" w:cs="Arial"/>
          <w:sz w:val="24"/>
          <w:szCs w:val="24"/>
        </w:rPr>
        <w:t xml:space="preserve"> cu </w:t>
      </w:r>
      <w:proofErr w:type="spellStart"/>
      <w:r w:rsidRPr="00205133">
        <w:rPr>
          <w:rFonts w:ascii="Arial" w:hAnsi="Arial" w:cs="Arial"/>
          <w:sz w:val="24"/>
          <w:szCs w:val="24"/>
        </w:rPr>
        <w:t>luna</w:t>
      </w:r>
      <w:proofErr w:type="spellEnd"/>
      <w:r w:rsidRPr="00205133">
        <w:rPr>
          <w:rFonts w:ascii="Arial" w:hAnsi="Arial" w:cs="Arial"/>
          <w:sz w:val="24"/>
          <w:szCs w:val="24"/>
        </w:rPr>
        <w:t xml:space="preserve"> </w:t>
      </w:r>
      <w:proofErr w:type="spellStart"/>
      <w:r w:rsidRPr="00205133">
        <w:rPr>
          <w:rFonts w:ascii="Arial" w:hAnsi="Arial" w:cs="Arial"/>
          <w:sz w:val="24"/>
          <w:szCs w:val="24"/>
        </w:rPr>
        <w:t>anterioară</w:t>
      </w:r>
      <w:proofErr w:type="spellEnd"/>
      <w:r w:rsidRPr="00205133">
        <w:rPr>
          <w:rFonts w:ascii="Arial" w:hAnsi="Arial" w:cs="Arial"/>
          <w:sz w:val="24"/>
          <w:szCs w:val="24"/>
        </w:rPr>
        <w:t>, c</w:t>
      </w:r>
      <w:r w:rsidRPr="00205133">
        <w:rPr>
          <w:rFonts w:ascii="Arial" w:hAnsi="Arial" w:cs="Arial"/>
          <w:sz w:val="24"/>
          <w:szCs w:val="24"/>
        </w:rPr>
        <w:sym w:font="Times New Roman" w:char="00E2"/>
      </w:r>
      <w:r w:rsidRPr="00205133">
        <w:rPr>
          <w:rFonts w:ascii="Arial" w:hAnsi="Arial" w:cs="Arial"/>
          <w:sz w:val="24"/>
          <w:szCs w:val="24"/>
        </w:rPr>
        <w:sym w:font="Times New Roman" w:char="015F"/>
      </w:r>
      <w:proofErr w:type="spellStart"/>
      <w:r w:rsidRPr="00205133">
        <w:rPr>
          <w:rFonts w:ascii="Arial" w:hAnsi="Arial" w:cs="Arial"/>
          <w:sz w:val="24"/>
          <w:szCs w:val="24"/>
        </w:rPr>
        <w:t>tigul</w:t>
      </w:r>
      <w:proofErr w:type="spellEnd"/>
      <w:r w:rsidRPr="00205133">
        <w:rPr>
          <w:rFonts w:ascii="Arial" w:hAnsi="Arial" w:cs="Arial"/>
          <w:sz w:val="24"/>
          <w:szCs w:val="24"/>
        </w:rPr>
        <w:t xml:space="preserve"> </w:t>
      </w:r>
      <w:proofErr w:type="spellStart"/>
      <w:r w:rsidRPr="00205133">
        <w:rPr>
          <w:rFonts w:ascii="Arial" w:hAnsi="Arial" w:cs="Arial"/>
          <w:sz w:val="24"/>
          <w:szCs w:val="24"/>
        </w:rPr>
        <w:t>salarial</w:t>
      </w:r>
      <w:proofErr w:type="spellEnd"/>
      <w:r w:rsidRPr="00205133">
        <w:rPr>
          <w:rFonts w:ascii="Arial" w:hAnsi="Arial" w:cs="Arial"/>
          <w:sz w:val="24"/>
          <w:szCs w:val="24"/>
        </w:rPr>
        <w:t xml:space="preserve"> </w:t>
      </w:r>
      <w:proofErr w:type="spellStart"/>
      <w:r w:rsidRPr="00205133">
        <w:rPr>
          <w:rFonts w:ascii="Arial" w:hAnsi="Arial" w:cs="Arial"/>
          <w:sz w:val="24"/>
          <w:szCs w:val="24"/>
        </w:rPr>
        <w:t>mediu</w:t>
      </w:r>
      <w:proofErr w:type="spellEnd"/>
      <w:r w:rsidRPr="00205133">
        <w:rPr>
          <w:rFonts w:ascii="Arial" w:hAnsi="Arial" w:cs="Arial"/>
          <w:sz w:val="24"/>
          <w:szCs w:val="24"/>
        </w:rPr>
        <w:t xml:space="preserve"> net </w:t>
      </w:r>
      <w:proofErr w:type="spellStart"/>
      <w:r w:rsidRPr="00205133">
        <w:rPr>
          <w:rFonts w:ascii="Arial" w:hAnsi="Arial" w:cs="Arial"/>
          <w:sz w:val="24"/>
          <w:szCs w:val="24"/>
        </w:rPr>
        <w:t>în</w:t>
      </w:r>
      <w:proofErr w:type="spellEnd"/>
      <w:r w:rsidRPr="00205133">
        <w:rPr>
          <w:rFonts w:ascii="Arial" w:hAnsi="Arial" w:cs="Arial"/>
          <w:sz w:val="24"/>
          <w:szCs w:val="24"/>
        </w:rPr>
        <w:t xml:space="preserve"> </w:t>
      </w:r>
      <w:proofErr w:type="spellStart"/>
      <w:r w:rsidRPr="00205133">
        <w:rPr>
          <w:rFonts w:ascii="Arial" w:hAnsi="Arial" w:cs="Arial"/>
          <w:sz w:val="24"/>
          <w:szCs w:val="24"/>
        </w:rPr>
        <w:t>judeţul</w:t>
      </w:r>
      <w:proofErr w:type="spellEnd"/>
      <w:r w:rsidRPr="00205133">
        <w:rPr>
          <w:rFonts w:ascii="Arial" w:hAnsi="Arial" w:cs="Arial"/>
          <w:sz w:val="24"/>
          <w:szCs w:val="24"/>
        </w:rPr>
        <w:t xml:space="preserve"> </w:t>
      </w:r>
      <w:proofErr w:type="spellStart"/>
      <w:r w:rsidRPr="00205133">
        <w:rPr>
          <w:rFonts w:ascii="Arial" w:hAnsi="Arial" w:cs="Arial"/>
          <w:sz w:val="24"/>
          <w:szCs w:val="24"/>
        </w:rPr>
        <w:t>Gorj</w:t>
      </w:r>
      <w:proofErr w:type="spellEnd"/>
      <w:r w:rsidRPr="00205133">
        <w:rPr>
          <w:rFonts w:ascii="Arial" w:hAnsi="Arial" w:cs="Arial"/>
          <w:sz w:val="24"/>
          <w:szCs w:val="24"/>
        </w:rPr>
        <w:t xml:space="preserve"> a </w:t>
      </w:r>
      <w:proofErr w:type="spellStart"/>
      <w:r w:rsidRPr="00205133">
        <w:rPr>
          <w:rFonts w:ascii="Arial" w:hAnsi="Arial" w:cs="Arial"/>
          <w:sz w:val="24"/>
          <w:szCs w:val="24"/>
        </w:rPr>
        <w:t>crescut</w:t>
      </w:r>
      <w:proofErr w:type="spellEnd"/>
      <w:r w:rsidRPr="00205133">
        <w:rPr>
          <w:rFonts w:ascii="Arial" w:hAnsi="Arial" w:cs="Arial"/>
          <w:sz w:val="24"/>
          <w:szCs w:val="24"/>
        </w:rPr>
        <w:t xml:space="preserve"> cu 563 </w:t>
      </w:r>
      <w:r w:rsidRPr="00205133">
        <w:rPr>
          <w:rFonts w:ascii="Arial" w:hAnsi="Arial" w:cs="Arial"/>
          <w:spacing w:val="-2"/>
          <w:sz w:val="24"/>
          <w:szCs w:val="24"/>
        </w:rPr>
        <w:t xml:space="preserve">lei, </w:t>
      </w:r>
      <w:proofErr w:type="spellStart"/>
      <w:r w:rsidRPr="00205133">
        <w:rPr>
          <w:rFonts w:ascii="Arial" w:hAnsi="Arial" w:cs="Arial"/>
          <w:spacing w:val="-2"/>
          <w:sz w:val="24"/>
          <w:szCs w:val="24"/>
        </w:rPr>
        <w:t>respectiv</w:t>
      </w:r>
      <w:proofErr w:type="spellEnd"/>
      <w:r w:rsidRPr="00205133">
        <w:rPr>
          <w:rFonts w:ascii="Arial" w:hAnsi="Arial" w:cs="Arial"/>
          <w:spacing w:val="-2"/>
          <w:sz w:val="24"/>
          <w:szCs w:val="24"/>
        </w:rPr>
        <w:t xml:space="preserve"> cu 23,4</w:t>
      </w:r>
      <w:r w:rsidRPr="00205133">
        <w:rPr>
          <w:rFonts w:ascii="Arial" w:hAnsi="Arial" w:cs="Arial"/>
          <w:sz w:val="24"/>
          <w:szCs w:val="24"/>
        </w:rPr>
        <w:t xml:space="preserve">%. </w:t>
      </w:r>
      <w:proofErr w:type="spellStart"/>
      <w:r w:rsidRPr="00205133">
        <w:rPr>
          <w:rFonts w:ascii="Arial" w:hAnsi="Arial" w:cs="Arial"/>
          <w:sz w:val="24"/>
          <w:szCs w:val="24"/>
        </w:rPr>
        <w:t>Pe</w:t>
      </w:r>
      <w:proofErr w:type="spellEnd"/>
      <w:r w:rsidRPr="00205133">
        <w:rPr>
          <w:rFonts w:ascii="Arial" w:hAnsi="Arial" w:cs="Arial"/>
          <w:sz w:val="24"/>
          <w:szCs w:val="24"/>
        </w:rPr>
        <w:t xml:space="preserve"> </w:t>
      </w:r>
      <w:proofErr w:type="spellStart"/>
      <w:r w:rsidRPr="00205133">
        <w:rPr>
          <w:rFonts w:ascii="Arial" w:hAnsi="Arial" w:cs="Arial"/>
          <w:sz w:val="24"/>
          <w:szCs w:val="24"/>
        </w:rPr>
        <w:t>sectoare</w:t>
      </w:r>
      <w:proofErr w:type="spellEnd"/>
      <w:r w:rsidRPr="00205133">
        <w:rPr>
          <w:rFonts w:ascii="Arial" w:hAnsi="Arial" w:cs="Arial"/>
          <w:sz w:val="24"/>
          <w:szCs w:val="24"/>
        </w:rPr>
        <w:t xml:space="preserve"> ale </w:t>
      </w:r>
      <w:proofErr w:type="spellStart"/>
      <w:r w:rsidRPr="00205133">
        <w:rPr>
          <w:rFonts w:ascii="Arial" w:hAnsi="Arial" w:cs="Arial"/>
          <w:sz w:val="24"/>
          <w:szCs w:val="24"/>
        </w:rPr>
        <w:t>economiei</w:t>
      </w:r>
      <w:proofErr w:type="spellEnd"/>
      <w:r w:rsidRPr="00205133">
        <w:rPr>
          <w:rFonts w:ascii="Arial" w:hAnsi="Arial" w:cs="Arial"/>
          <w:sz w:val="24"/>
          <w:szCs w:val="24"/>
        </w:rPr>
        <w:t xml:space="preserve">, </w:t>
      </w:r>
      <w:proofErr w:type="spellStart"/>
      <w:r w:rsidRPr="00205133">
        <w:rPr>
          <w:rFonts w:ascii="Arial" w:hAnsi="Arial" w:cs="Arial"/>
          <w:sz w:val="24"/>
          <w:szCs w:val="24"/>
        </w:rPr>
        <w:t>nivelul</w:t>
      </w:r>
      <w:proofErr w:type="spellEnd"/>
      <w:r w:rsidRPr="00205133">
        <w:rPr>
          <w:rFonts w:ascii="Arial" w:hAnsi="Arial" w:cs="Arial"/>
          <w:sz w:val="24"/>
          <w:szCs w:val="24"/>
        </w:rPr>
        <w:t xml:space="preserve"> c</w:t>
      </w:r>
      <w:r w:rsidRPr="00205133">
        <w:rPr>
          <w:rFonts w:ascii="Arial" w:hAnsi="Arial" w:cs="Arial"/>
          <w:sz w:val="24"/>
          <w:szCs w:val="24"/>
        </w:rPr>
        <w:sym w:font="Times New Roman" w:char="00E2"/>
      </w:r>
      <w:r w:rsidRPr="00205133">
        <w:rPr>
          <w:rFonts w:ascii="Arial" w:hAnsi="Arial" w:cs="Arial"/>
          <w:sz w:val="24"/>
          <w:szCs w:val="24"/>
        </w:rPr>
        <w:sym w:font="Times New Roman" w:char="015F"/>
      </w:r>
      <w:proofErr w:type="spellStart"/>
      <w:r w:rsidRPr="00205133">
        <w:rPr>
          <w:rFonts w:ascii="Arial" w:hAnsi="Arial" w:cs="Arial"/>
          <w:sz w:val="24"/>
          <w:szCs w:val="24"/>
        </w:rPr>
        <w:t>tigului</w:t>
      </w:r>
      <w:proofErr w:type="spellEnd"/>
      <w:r w:rsidRPr="00205133">
        <w:rPr>
          <w:rFonts w:ascii="Arial" w:hAnsi="Arial" w:cs="Arial"/>
          <w:sz w:val="24"/>
          <w:szCs w:val="24"/>
        </w:rPr>
        <w:t xml:space="preserve"> </w:t>
      </w:r>
      <w:proofErr w:type="spellStart"/>
      <w:r w:rsidRPr="00205133">
        <w:rPr>
          <w:rFonts w:ascii="Arial" w:hAnsi="Arial" w:cs="Arial"/>
          <w:sz w:val="24"/>
          <w:szCs w:val="24"/>
        </w:rPr>
        <w:t>salarial</w:t>
      </w:r>
      <w:proofErr w:type="spellEnd"/>
      <w:r w:rsidRPr="00205133">
        <w:rPr>
          <w:rFonts w:ascii="Arial" w:hAnsi="Arial" w:cs="Arial"/>
          <w:sz w:val="24"/>
          <w:szCs w:val="24"/>
        </w:rPr>
        <w:t xml:space="preserve"> </w:t>
      </w:r>
      <w:proofErr w:type="spellStart"/>
      <w:r w:rsidRPr="00205133">
        <w:rPr>
          <w:rFonts w:ascii="Arial" w:hAnsi="Arial" w:cs="Arial"/>
          <w:sz w:val="24"/>
          <w:szCs w:val="24"/>
        </w:rPr>
        <w:t>mediu</w:t>
      </w:r>
      <w:proofErr w:type="spellEnd"/>
      <w:r w:rsidRPr="00205133">
        <w:rPr>
          <w:rFonts w:ascii="Arial" w:hAnsi="Arial" w:cs="Arial"/>
          <w:sz w:val="24"/>
          <w:szCs w:val="24"/>
        </w:rPr>
        <w:t xml:space="preserve"> net a </w:t>
      </w:r>
      <w:proofErr w:type="spellStart"/>
      <w:r w:rsidRPr="00205133">
        <w:rPr>
          <w:rFonts w:ascii="Arial" w:hAnsi="Arial" w:cs="Arial"/>
          <w:sz w:val="24"/>
          <w:szCs w:val="24"/>
        </w:rPr>
        <w:t>fost</w:t>
      </w:r>
      <w:proofErr w:type="spellEnd"/>
      <w:r w:rsidRPr="00205133">
        <w:rPr>
          <w:rFonts w:ascii="Arial" w:hAnsi="Arial" w:cs="Arial"/>
          <w:sz w:val="24"/>
          <w:szCs w:val="24"/>
        </w:rPr>
        <w:t xml:space="preserve"> de: 4442 lei </w:t>
      </w:r>
      <w:proofErr w:type="spellStart"/>
      <w:r w:rsidRPr="00205133">
        <w:rPr>
          <w:rFonts w:ascii="Arial" w:hAnsi="Arial" w:cs="Arial"/>
          <w:sz w:val="24"/>
          <w:szCs w:val="24"/>
        </w:rPr>
        <w:t>în</w:t>
      </w:r>
      <w:proofErr w:type="spellEnd"/>
      <w:r w:rsidRPr="00205133">
        <w:rPr>
          <w:rFonts w:ascii="Arial" w:hAnsi="Arial" w:cs="Arial"/>
          <w:sz w:val="24"/>
          <w:szCs w:val="24"/>
        </w:rPr>
        <w:t xml:space="preserve"> </w:t>
      </w:r>
      <w:proofErr w:type="spellStart"/>
      <w:r w:rsidRPr="00205133">
        <w:rPr>
          <w:rFonts w:ascii="Arial" w:hAnsi="Arial" w:cs="Arial"/>
          <w:sz w:val="24"/>
          <w:szCs w:val="24"/>
        </w:rPr>
        <w:t>agricultură</w:t>
      </w:r>
      <w:proofErr w:type="spellEnd"/>
      <w:r w:rsidRPr="00205133">
        <w:rPr>
          <w:rFonts w:ascii="Arial" w:hAnsi="Arial" w:cs="Arial"/>
          <w:sz w:val="24"/>
          <w:szCs w:val="24"/>
        </w:rPr>
        <w:t xml:space="preserve">, </w:t>
      </w:r>
      <w:proofErr w:type="spellStart"/>
      <w:r w:rsidRPr="00205133">
        <w:rPr>
          <w:rFonts w:ascii="Arial" w:hAnsi="Arial" w:cs="Arial"/>
          <w:sz w:val="24"/>
          <w:szCs w:val="24"/>
        </w:rPr>
        <w:t>silvicultură</w:t>
      </w:r>
      <w:proofErr w:type="spellEnd"/>
      <w:r w:rsidRPr="00205133">
        <w:rPr>
          <w:rFonts w:ascii="Arial" w:hAnsi="Arial" w:cs="Arial"/>
          <w:sz w:val="24"/>
          <w:szCs w:val="24"/>
        </w:rPr>
        <w:t xml:space="preserve"> </w:t>
      </w:r>
      <w:proofErr w:type="spellStart"/>
      <w:r w:rsidRPr="00205133">
        <w:rPr>
          <w:rFonts w:ascii="Arial" w:hAnsi="Arial" w:cs="Arial"/>
          <w:sz w:val="24"/>
          <w:szCs w:val="24"/>
        </w:rPr>
        <w:t>şi</w:t>
      </w:r>
      <w:proofErr w:type="spellEnd"/>
      <w:r w:rsidRPr="00205133">
        <w:rPr>
          <w:rFonts w:ascii="Arial" w:hAnsi="Arial" w:cs="Arial"/>
          <w:sz w:val="24"/>
          <w:szCs w:val="24"/>
        </w:rPr>
        <w:t xml:space="preserve"> </w:t>
      </w:r>
      <w:proofErr w:type="spellStart"/>
      <w:r w:rsidRPr="00205133">
        <w:rPr>
          <w:rFonts w:ascii="Arial" w:hAnsi="Arial" w:cs="Arial"/>
          <w:sz w:val="24"/>
          <w:szCs w:val="24"/>
        </w:rPr>
        <w:t>pescuit</w:t>
      </w:r>
      <w:proofErr w:type="spellEnd"/>
      <w:r w:rsidRPr="00205133">
        <w:rPr>
          <w:rFonts w:ascii="Arial" w:hAnsi="Arial" w:cs="Arial"/>
          <w:sz w:val="24"/>
          <w:szCs w:val="24"/>
        </w:rPr>
        <w:t xml:space="preserve"> (-2</w:t>
      </w:r>
      <w:proofErr w:type="gramStart"/>
      <w:r w:rsidRPr="00205133">
        <w:rPr>
          <w:rFonts w:ascii="Arial" w:hAnsi="Arial" w:cs="Arial"/>
          <w:sz w:val="24"/>
          <w:szCs w:val="24"/>
        </w:rPr>
        <w:t>,1</w:t>
      </w:r>
      <w:proofErr w:type="gramEnd"/>
      <w:r w:rsidRPr="00205133">
        <w:rPr>
          <w:rFonts w:ascii="Arial" w:hAnsi="Arial" w:cs="Arial"/>
          <w:sz w:val="24"/>
          <w:szCs w:val="24"/>
        </w:rPr>
        <w:t xml:space="preserve">%), 3610 lei </w:t>
      </w:r>
      <w:proofErr w:type="spellStart"/>
      <w:r w:rsidRPr="00205133">
        <w:rPr>
          <w:rFonts w:ascii="Arial" w:hAnsi="Arial" w:cs="Arial"/>
          <w:sz w:val="24"/>
          <w:szCs w:val="24"/>
        </w:rPr>
        <w:t>în</w:t>
      </w:r>
      <w:proofErr w:type="spellEnd"/>
      <w:r w:rsidRPr="00205133">
        <w:rPr>
          <w:rFonts w:ascii="Arial" w:hAnsi="Arial" w:cs="Arial"/>
          <w:sz w:val="24"/>
          <w:szCs w:val="24"/>
        </w:rPr>
        <w:t xml:space="preserve"> </w:t>
      </w:r>
      <w:proofErr w:type="spellStart"/>
      <w:r w:rsidRPr="00205133">
        <w:rPr>
          <w:rFonts w:ascii="Arial" w:hAnsi="Arial" w:cs="Arial"/>
          <w:sz w:val="24"/>
          <w:szCs w:val="24"/>
        </w:rPr>
        <w:t>industrie</w:t>
      </w:r>
      <w:proofErr w:type="spellEnd"/>
      <w:r w:rsidRPr="00205133">
        <w:rPr>
          <w:rFonts w:ascii="Arial" w:hAnsi="Arial" w:cs="Arial"/>
          <w:sz w:val="24"/>
          <w:szCs w:val="24"/>
        </w:rPr>
        <w:t xml:space="preserve"> </w:t>
      </w:r>
      <w:proofErr w:type="spellStart"/>
      <w:r w:rsidRPr="00205133">
        <w:rPr>
          <w:rFonts w:ascii="Arial" w:hAnsi="Arial" w:cs="Arial"/>
          <w:sz w:val="24"/>
          <w:szCs w:val="24"/>
        </w:rPr>
        <w:t>şi</w:t>
      </w:r>
      <w:proofErr w:type="spellEnd"/>
      <w:r w:rsidRPr="00205133">
        <w:rPr>
          <w:rFonts w:ascii="Arial" w:hAnsi="Arial" w:cs="Arial"/>
          <w:sz w:val="24"/>
          <w:szCs w:val="24"/>
        </w:rPr>
        <w:t xml:space="preserve"> </w:t>
      </w:r>
      <w:proofErr w:type="spellStart"/>
      <w:r w:rsidRPr="00205133">
        <w:rPr>
          <w:rFonts w:ascii="Arial" w:hAnsi="Arial" w:cs="Arial"/>
          <w:sz w:val="24"/>
          <w:szCs w:val="24"/>
        </w:rPr>
        <w:t>construcţii</w:t>
      </w:r>
      <w:proofErr w:type="spellEnd"/>
      <w:r w:rsidRPr="00205133">
        <w:rPr>
          <w:rFonts w:ascii="Arial" w:hAnsi="Arial" w:cs="Arial"/>
          <w:sz w:val="24"/>
          <w:szCs w:val="24"/>
        </w:rPr>
        <w:t xml:space="preserve"> (+49,2%) </w:t>
      </w:r>
      <w:proofErr w:type="spellStart"/>
      <w:r w:rsidRPr="00205133">
        <w:rPr>
          <w:rFonts w:ascii="Arial" w:hAnsi="Arial" w:cs="Arial"/>
          <w:sz w:val="24"/>
          <w:szCs w:val="24"/>
        </w:rPr>
        <w:t>şi</w:t>
      </w:r>
      <w:proofErr w:type="spellEnd"/>
      <w:r w:rsidRPr="00205133">
        <w:rPr>
          <w:rFonts w:ascii="Arial" w:hAnsi="Arial" w:cs="Arial"/>
          <w:sz w:val="24"/>
          <w:szCs w:val="24"/>
        </w:rPr>
        <w:t xml:space="preserve"> 2458 lei </w:t>
      </w:r>
      <w:proofErr w:type="spellStart"/>
      <w:r w:rsidRPr="00205133">
        <w:rPr>
          <w:rFonts w:ascii="Arial" w:hAnsi="Arial" w:cs="Arial"/>
          <w:sz w:val="24"/>
          <w:szCs w:val="24"/>
        </w:rPr>
        <w:t>în</w:t>
      </w:r>
      <w:proofErr w:type="spellEnd"/>
      <w:r w:rsidRPr="00205133">
        <w:rPr>
          <w:rFonts w:ascii="Arial" w:hAnsi="Arial" w:cs="Arial"/>
          <w:sz w:val="24"/>
          <w:szCs w:val="24"/>
        </w:rPr>
        <w:t xml:space="preserve"> </w:t>
      </w:r>
      <w:proofErr w:type="spellStart"/>
      <w:r w:rsidRPr="00205133">
        <w:rPr>
          <w:rFonts w:ascii="Arial" w:hAnsi="Arial" w:cs="Arial"/>
          <w:sz w:val="24"/>
          <w:szCs w:val="24"/>
        </w:rPr>
        <w:t>servicii</w:t>
      </w:r>
      <w:proofErr w:type="spellEnd"/>
      <w:r w:rsidRPr="00205133">
        <w:rPr>
          <w:rFonts w:ascii="Arial" w:hAnsi="Arial" w:cs="Arial"/>
          <w:sz w:val="24"/>
          <w:szCs w:val="24"/>
        </w:rPr>
        <w:t xml:space="preserve">  (4,6%).</w:t>
      </w:r>
    </w:p>
    <w:p w:rsidR="00D41DF8" w:rsidRPr="00EF19DC" w:rsidRDefault="00D41DF8" w:rsidP="00B605F2">
      <w:pPr>
        <w:pStyle w:val="ListParagraph"/>
        <w:rPr>
          <w:rFonts w:ascii="Arial" w:hAnsi="Arial" w:cs="Arial"/>
          <w:sz w:val="24"/>
          <w:szCs w:val="24"/>
        </w:rPr>
      </w:pPr>
    </w:p>
    <w:p w:rsidR="002A24B8" w:rsidRDefault="002A24B8" w:rsidP="00B605F2">
      <w:pPr>
        <w:pStyle w:val="ListParagraph"/>
        <w:numPr>
          <w:ilvl w:val="0"/>
          <w:numId w:val="15"/>
        </w:numPr>
        <w:ind w:left="0" w:firstLine="0"/>
        <w:jc w:val="both"/>
        <w:rPr>
          <w:rFonts w:ascii="Arial" w:hAnsi="Arial" w:cs="Arial"/>
          <w:sz w:val="24"/>
          <w:szCs w:val="24"/>
        </w:rPr>
      </w:pPr>
      <w:proofErr w:type="spellStart"/>
      <w:r w:rsidRPr="00E377AB">
        <w:rPr>
          <w:rFonts w:ascii="Arial" w:hAnsi="Arial" w:cs="Arial"/>
          <w:i/>
          <w:sz w:val="24"/>
          <w:szCs w:val="24"/>
        </w:rPr>
        <w:t>Factorii</w:t>
      </w:r>
      <w:proofErr w:type="spellEnd"/>
      <w:r w:rsidRPr="00E377AB">
        <w:rPr>
          <w:rFonts w:ascii="Arial" w:hAnsi="Arial" w:cs="Arial"/>
          <w:i/>
          <w:sz w:val="24"/>
          <w:szCs w:val="24"/>
        </w:rPr>
        <w:t xml:space="preserve"> </w:t>
      </w:r>
      <w:proofErr w:type="spellStart"/>
      <w:r w:rsidRPr="00E377AB">
        <w:rPr>
          <w:rFonts w:ascii="Arial" w:hAnsi="Arial" w:cs="Arial"/>
          <w:i/>
          <w:sz w:val="24"/>
          <w:szCs w:val="24"/>
        </w:rPr>
        <w:t>demografici</w:t>
      </w:r>
      <w:proofErr w:type="spellEnd"/>
      <w:r w:rsidRPr="004D0903">
        <w:rPr>
          <w:rFonts w:ascii="Arial" w:hAnsi="Arial" w:cs="Arial"/>
          <w:b/>
          <w:sz w:val="24"/>
          <w:szCs w:val="24"/>
        </w:rPr>
        <w:t xml:space="preserve"> </w:t>
      </w:r>
      <w:r w:rsidRPr="004D0903">
        <w:rPr>
          <w:rFonts w:ascii="Arial" w:hAnsi="Arial" w:cs="Arial"/>
          <w:sz w:val="24"/>
          <w:szCs w:val="24"/>
        </w:rPr>
        <w:t xml:space="preserve">– </w:t>
      </w:r>
      <w:proofErr w:type="spellStart"/>
      <w:r w:rsidRPr="004D0903">
        <w:rPr>
          <w:rFonts w:ascii="Arial" w:hAnsi="Arial" w:cs="Arial"/>
          <w:sz w:val="24"/>
          <w:szCs w:val="24"/>
        </w:rPr>
        <w:t>cele</w:t>
      </w:r>
      <w:proofErr w:type="spellEnd"/>
      <w:r w:rsidRPr="004D0903">
        <w:rPr>
          <w:rFonts w:ascii="Arial" w:hAnsi="Arial" w:cs="Arial"/>
          <w:sz w:val="24"/>
          <w:szCs w:val="24"/>
        </w:rPr>
        <w:t xml:space="preserve"> </w:t>
      </w:r>
      <w:proofErr w:type="spellStart"/>
      <w:r w:rsidRPr="004D0903">
        <w:rPr>
          <w:rFonts w:ascii="Arial" w:hAnsi="Arial" w:cs="Arial"/>
          <w:sz w:val="24"/>
          <w:szCs w:val="24"/>
        </w:rPr>
        <w:t>mai</w:t>
      </w:r>
      <w:proofErr w:type="spellEnd"/>
      <w:r w:rsidRPr="004D0903">
        <w:rPr>
          <w:rFonts w:ascii="Arial" w:hAnsi="Arial" w:cs="Arial"/>
          <w:sz w:val="24"/>
          <w:szCs w:val="24"/>
        </w:rPr>
        <w:t xml:space="preserve"> populate </w:t>
      </w:r>
      <w:proofErr w:type="spellStart"/>
      <w:r w:rsidRPr="004D0903">
        <w:rPr>
          <w:rFonts w:ascii="Arial" w:hAnsi="Arial" w:cs="Arial"/>
          <w:sz w:val="24"/>
          <w:szCs w:val="24"/>
        </w:rPr>
        <w:t>regiuni</w:t>
      </w:r>
      <w:proofErr w:type="spellEnd"/>
      <w:r w:rsidRPr="004D0903">
        <w:rPr>
          <w:rFonts w:ascii="Arial" w:hAnsi="Arial" w:cs="Arial"/>
          <w:sz w:val="24"/>
          <w:szCs w:val="24"/>
        </w:rPr>
        <w:t xml:space="preserve"> au </w:t>
      </w:r>
      <w:proofErr w:type="spellStart"/>
      <w:proofErr w:type="gramStart"/>
      <w:r w:rsidRPr="004D0903">
        <w:rPr>
          <w:rFonts w:ascii="Arial" w:hAnsi="Arial" w:cs="Arial"/>
          <w:sz w:val="24"/>
          <w:szCs w:val="24"/>
        </w:rPr>
        <w:t>întâmpinat</w:t>
      </w:r>
      <w:proofErr w:type="spellEnd"/>
      <w:r w:rsidRPr="004D0903">
        <w:rPr>
          <w:rFonts w:ascii="Arial" w:hAnsi="Arial" w:cs="Arial"/>
          <w:sz w:val="24"/>
          <w:szCs w:val="24"/>
        </w:rPr>
        <w:t xml:space="preserve">  </w:t>
      </w:r>
      <w:proofErr w:type="spellStart"/>
      <w:r w:rsidRPr="004D0903">
        <w:rPr>
          <w:rFonts w:ascii="Arial" w:hAnsi="Arial" w:cs="Arial"/>
          <w:sz w:val="24"/>
          <w:szCs w:val="24"/>
        </w:rPr>
        <w:t>întotdeauna</w:t>
      </w:r>
      <w:proofErr w:type="spellEnd"/>
      <w:proofErr w:type="gramEnd"/>
      <w:r w:rsidRPr="004D0903">
        <w:rPr>
          <w:rFonts w:ascii="Arial" w:hAnsi="Arial" w:cs="Arial"/>
          <w:sz w:val="24"/>
          <w:szCs w:val="24"/>
        </w:rPr>
        <w:t xml:space="preserve"> </w:t>
      </w:r>
      <w:proofErr w:type="spellStart"/>
      <w:r w:rsidRPr="004D0903">
        <w:rPr>
          <w:rFonts w:ascii="Arial" w:hAnsi="Arial" w:cs="Arial"/>
          <w:sz w:val="24"/>
          <w:szCs w:val="24"/>
        </w:rPr>
        <w:t>și</w:t>
      </w:r>
      <w:proofErr w:type="spellEnd"/>
      <w:r w:rsidRPr="004D0903">
        <w:rPr>
          <w:rFonts w:ascii="Arial" w:hAnsi="Arial" w:cs="Arial"/>
          <w:sz w:val="24"/>
          <w:szCs w:val="24"/>
        </w:rPr>
        <w:t xml:space="preserve"> </w:t>
      </w:r>
      <w:proofErr w:type="spellStart"/>
      <w:r w:rsidRPr="004D0903">
        <w:rPr>
          <w:rFonts w:ascii="Arial" w:hAnsi="Arial" w:cs="Arial"/>
          <w:sz w:val="24"/>
          <w:szCs w:val="24"/>
        </w:rPr>
        <w:t>cele</w:t>
      </w:r>
      <w:proofErr w:type="spellEnd"/>
      <w:r w:rsidRPr="004D0903">
        <w:rPr>
          <w:rFonts w:ascii="Arial" w:hAnsi="Arial" w:cs="Arial"/>
          <w:sz w:val="24"/>
          <w:szCs w:val="24"/>
        </w:rPr>
        <w:t xml:space="preserve"> </w:t>
      </w:r>
      <w:proofErr w:type="spellStart"/>
      <w:r w:rsidRPr="004D0903">
        <w:rPr>
          <w:rFonts w:ascii="Arial" w:hAnsi="Arial" w:cs="Arial"/>
          <w:sz w:val="24"/>
          <w:szCs w:val="24"/>
        </w:rPr>
        <w:t>mai</w:t>
      </w:r>
      <w:proofErr w:type="spellEnd"/>
      <w:r w:rsidRPr="004D0903">
        <w:rPr>
          <w:rFonts w:ascii="Arial" w:hAnsi="Arial" w:cs="Arial"/>
          <w:sz w:val="24"/>
          <w:szCs w:val="24"/>
        </w:rPr>
        <w:t xml:space="preserve"> </w:t>
      </w:r>
      <w:proofErr w:type="spellStart"/>
      <w:r w:rsidRPr="004D0903">
        <w:rPr>
          <w:rFonts w:ascii="Arial" w:hAnsi="Arial" w:cs="Arial"/>
          <w:sz w:val="24"/>
          <w:szCs w:val="24"/>
        </w:rPr>
        <w:t>mari</w:t>
      </w:r>
      <w:proofErr w:type="spellEnd"/>
      <w:r w:rsidRPr="004D0903">
        <w:rPr>
          <w:rFonts w:ascii="Arial" w:hAnsi="Arial" w:cs="Arial"/>
          <w:sz w:val="24"/>
          <w:szCs w:val="24"/>
        </w:rPr>
        <w:t xml:space="preserve"> </w:t>
      </w:r>
      <w:proofErr w:type="spellStart"/>
      <w:r w:rsidRPr="004D0903">
        <w:rPr>
          <w:rFonts w:ascii="Arial" w:hAnsi="Arial" w:cs="Arial"/>
          <w:sz w:val="24"/>
          <w:szCs w:val="24"/>
        </w:rPr>
        <w:t>provocări</w:t>
      </w:r>
      <w:proofErr w:type="spellEnd"/>
      <w:r w:rsidRPr="004D0903">
        <w:rPr>
          <w:rFonts w:ascii="Arial" w:hAnsi="Arial" w:cs="Arial"/>
          <w:sz w:val="24"/>
          <w:szCs w:val="24"/>
        </w:rPr>
        <w:t xml:space="preserve"> </w:t>
      </w:r>
      <w:proofErr w:type="spellStart"/>
      <w:r w:rsidRPr="004D0903">
        <w:rPr>
          <w:rFonts w:ascii="Arial" w:hAnsi="Arial" w:cs="Arial"/>
          <w:sz w:val="24"/>
          <w:szCs w:val="24"/>
        </w:rPr>
        <w:t>pentru</w:t>
      </w:r>
      <w:proofErr w:type="spellEnd"/>
      <w:r w:rsidRPr="004D0903">
        <w:rPr>
          <w:rFonts w:ascii="Arial" w:hAnsi="Arial" w:cs="Arial"/>
          <w:sz w:val="24"/>
          <w:szCs w:val="24"/>
        </w:rPr>
        <w:t xml:space="preserve"> a </w:t>
      </w:r>
      <w:proofErr w:type="spellStart"/>
      <w:r w:rsidRPr="004D0903">
        <w:rPr>
          <w:rFonts w:ascii="Arial" w:hAnsi="Arial" w:cs="Arial"/>
          <w:sz w:val="24"/>
          <w:szCs w:val="24"/>
        </w:rPr>
        <w:t>diminua</w:t>
      </w:r>
      <w:proofErr w:type="spellEnd"/>
      <w:r w:rsidRPr="004D0903">
        <w:rPr>
          <w:rFonts w:ascii="Arial" w:hAnsi="Arial" w:cs="Arial"/>
          <w:sz w:val="24"/>
          <w:szCs w:val="24"/>
        </w:rPr>
        <w:t xml:space="preserve"> </w:t>
      </w:r>
      <w:proofErr w:type="spellStart"/>
      <w:r w:rsidRPr="004D0903">
        <w:rPr>
          <w:rFonts w:ascii="Arial" w:hAnsi="Arial" w:cs="Arial"/>
          <w:sz w:val="24"/>
          <w:szCs w:val="24"/>
        </w:rPr>
        <w:t>poluarea</w:t>
      </w:r>
      <w:proofErr w:type="spellEnd"/>
      <w:r w:rsidRPr="004D0903">
        <w:rPr>
          <w:rFonts w:ascii="Arial" w:hAnsi="Arial" w:cs="Arial"/>
          <w:sz w:val="24"/>
          <w:szCs w:val="24"/>
        </w:rPr>
        <w:t xml:space="preserve"> </w:t>
      </w:r>
      <w:proofErr w:type="spellStart"/>
      <w:r w:rsidRPr="004D0903">
        <w:rPr>
          <w:rFonts w:ascii="Arial" w:hAnsi="Arial" w:cs="Arial"/>
          <w:sz w:val="24"/>
          <w:szCs w:val="24"/>
        </w:rPr>
        <w:t>în</w:t>
      </w:r>
      <w:proofErr w:type="spellEnd"/>
      <w:r w:rsidRPr="004D0903">
        <w:rPr>
          <w:rFonts w:ascii="Arial" w:hAnsi="Arial" w:cs="Arial"/>
          <w:sz w:val="24"/>
          <w:szCs w:val="24"/>
        </w:rPr>
        <w:t xml:space="preserve"> special </w:t>
      </w:r>
      <w:proofErr w:type="spellStart"/>
      <w:r w:rsidRPr="004D0903">
        <w:rPr>
          <w:rFonts w:ascii="Arial" w:hAnsi="Arial" w:cs="Arial"/>
          <w:sz w:val="24"/>
          <w:szCs w:val="24"/>
        </w:rPr>
        <w:t>și</w:t>
      </w:r>
      <w:proofErr w:type="spellEnd"/>
      <w:r w:rsidRPr="004D0903">
        <w:rPr>
          <w:rFonts w:ascii="Arial" w:hAnsi="Arial" w:cs="Arial"/>
          <w:sz w:val="24"/>
          <w:szCs w:val="24"/>
        </w:rPr>
        <w:t xml:space="preserve"> </w:t>
      </w:r>
      <w:proofErr w:type="spellStart"/>
      <w:r w:rsidRPr="004D0903">
        <w:rPr>
          <w:rFonts w:ascii="Arial" w:hAnsi="Arial" w:cs="Arial"/>
          <w:sz w:val="24"/>
          <w:szCs w:val="24"/>
        </w:rPr>
        <w:t>impactul</w:t>
      </w:r>
      <w:proofErr w:type="spellEnd"/>
      <w:r w:rsidRPr="004D0903">
        <w:rPr>
          <w:rFonts w:ascii="Arial" w:hAnsi="Arial" w:cs="Arial"/>
          <w:sz w:val="24"/>
          <w:szCs w:val="24"/>
        </w:rPr>
        <w:t xml:space="preserve"> </w:t>
      </w:r>
      <w:proofErr w:type="spellStart"/>
      <w:r w:rsidRPr="004D0903">
        <w:rPr>
          <w:rFonts w:ascii="Arial" w:hAnsi="Arial" w:cs="Arial"/>
          <w:sz w:val="24"/>
          <w:szCs w:val="24"/>
        </w:rPr>
        <w:t>asupra</w:t>
      </w:r>
      <w:proofErr w:type="spellEnd"/>
      <w:r w:rsidRPr="004D0903">
        <w:rPr>
          <w:rFonts w:ascii="Arial" w:hAnsi="Arial" w:cs="Arial"/>
          <w:sz w:val="24"/>
          <w:szCs w:val="24"/>
        </w:rPr>
        <w:t xml:space="preserve"> </w:t>
      </w:r>
      <w:proofErr w:type="spellStart"/>
      <w:r w:rsidRPr="004D0903">
        <w:rPr>
          <w:rFonts w:ascii="Arial" w:hAnsi="Arial" w:cs="Arial"/>
          <w:sz w:val="24"/>
          <w:szCs w:val="24"/>
        </w:rPr>
        <w:t>mediului</w:t>
      </w:r>
      <w:proofErr w:type="spellEnd"/>
      <w:r w:rsidRPr="004D0903">
        <w:rPr>
          <w:rFonts w:ascii="Arial" w:hAnsi="Arial" w:cs="Arial"/>
          <w:sz w:val="24"/>
          <w:szCs w:val="24"/>
        </w:rPr>
        <w:t xml:space="preserve">, </w:t>
      </w:r>
      <w:proofErr w:type="spellStart"/>
      <w:r w:rsidRPr="004D0903">
        <w:rPr>
          <w:rFonts w:ascii="Arial" w:hAnsi="Arial" w:cs="Arial"/>
          <w:sz w:val="24"/>
          <w:szCs w:val="24"/>
        </w:rPr>
        <w:t>în</w:t>
      </w:r>
      <w:proofErr w:type="spellEnd"/>
      <w:r w:rsidRPr="004D0903">
        <w:rPr>
          <w:rFonts w:ascii="Arial" w:hAnsi="Arial" w:cs="Arial"/>
          <w:sz w:val="24"/>
          <w:szCs w:val="24"/>
        </w:rPr>
        <w:t xml:space="preserve"> general. </w:t>
      </w:r>
    </w:p>
    <w:p w:rsidR="00A9535D" w:rsidRPr="00A9535D" w:rsidRDefault="00A9535D" w:rsidP="00A9535D">
      <w:pPr>
        <w:spacing w:line="360" w:lineRule="auto"/>
        <w:jc w:val="both"/>
        <w:rPr>
          <w:rFonts w:ascii="Arial" w:hAnsi="Arial" w:cs="Arial"/>
        </w:rPr>
      </w:pPr>
    </w:p>
    <w:p w:rsidR="00A9535D" w:rsidRPr="00A9535D" w:rsidRDefault="00A9535D" w:rsidP="00A9535D">
      <w:pPr>
        <w:spacing w:line="360" w:lineRule="auto"/>
        <w:jc w:val="both"/>
        <w:rPr>
          <w:rFonts w:ascii="Arial" w:hAnsi="Arial" w:cs="Arial"/>
        </w:rPr>
      </w:pPr>
      <w:proofErr w:type="spellStart"/>
      <w:r w:rsidRPr="00A9535D">
        <w:rPr>
          <w:rFonts w:ascii="Arial" w:hAnsi="Arial" w:cs="Arial"/>
        </w:rPr>
        <w:t>Tabel</w:t>
      </w:r>
      <w:proofErr w:type="spellEnd"/>
      <w:r w:rsidRPr="00A9535D">
        <w:rPr>
          <w:rFonts w:ascii="Arial" w:hAnsi="Arial" w:cs="Arial"/>
        </w:rPr>
        <w:t xml:space="preserve"> IX.2.</w:t>
      </w:r>
      <w:r>
        <w:rPr>
          <w:rFonts w:ascii="Arial" w:hAnsi="Arial" w:cs="Arial"/>
        </w:rPr>
        <w:t>1</w:t>
      </w:r>
      <w:r w:rsidRPr="00A9535D">
        <w:rPr>
          <w:rFonts w:ascii="Arial" w:hAnsi="Arial" w:cs="Arial"/>
        </w:rPr>
        <w:t xml:space="preserve"> </w:t>
      </w:r>
      <w:proofErr w:type="spellStart"/>
      <w:r w:rsidRPr="00A9535D">
        <w:rPr>
          <w:rFonts w:ascii="Arial" w:hAnsi="Arial" w:cs="Arial"/>
        </w:rPr>
        <w:t>Populaț</w:t>
      </w:r>
      <w:proofErr w:type="gramStart"/>
      <w:r w:rsidRPr="00A9535D">
        <w:rPr>
          <w:rFonts w:ascii="Arial" w:hAnsi="Arial" w:cs="Arial"/>
        </w:rPr>
        <w:t>ia</w:t>
      </w:r>
      <w:proofErr w:type="spellEnd"/>
      <w:r w:rsidRPr="00A9535D">
        <w:rPr>
          <w:rFonts w:ascii="Arial" w:hAnsi="Arial" w:cs="Arial"/>
        </w:rPr>
        <w:t xml:space="preserve"> ,</w:t>
      </w:r>
      <w:proofErr w:type="gramEnd"/>
      <w:r w:rsidRPr="00A9535D">
        <w:rPr>
          <w:rFonts w:ascii="Arial" w:hAnsi="Arial" w:cs="Arial"/>
        </w:rPr>
        <w:t xml:space="preserve"> </w:t>
      </w:r>
      <w:proofErr w:type="spellStart"/>
      <w:r w:rsidRPr="00A9535D">
        <w:rPr>
          <w:rFonts w:ascii="Arial" w:hAnsi="Arial" w:cs="Arial"/>
        </w:rPr>
        <w:t>după</w:t>
      </w:r>
      <w:proofErr w:type="spellEnd"/>
      <w:r w:rsidRPr="00A9535D">
        <w:rPr>
          <w:rFonts w:ascii="Arial" w:hAnsi="Arial" w:cs="Arial"/>
        </w:rPr>
        <w:t xml:space="preserve"> </w:t>
      </w:r>
      <w:proofErr w:type="spellStart"/>
      <w:r w:rsidRPr="00A9535D">
        <w:rPr>
          <w:rFonts w:ascii="Arial" w:hAnsi="Arial" w:cs="Arial"/>
        </w:rPr>
        <w:t>domiciliu</w:t>
      </w:r>
      <w:proofErr w:type="spellEnd"/>
      <w:r w:rsidRPr="00A9535D">
        <w:rPr>
          <w:rFonts w:ascii="Arial" w:hAnsi="Arial" w:cs="Arial"/>
        </w:rPr>
        <w:t xml:space="preserve">, </w:t>
      </w:r>
      <w:proofErr w:type="spellStart"/>
      <w:r w:rsidRPr="00A9535D">
        <w:rPr>
          <w:rFonts w:ascii="Arial" w:hAnsi="Arial" w:cs="Arial"/>
        </w:rPr>
        <w:t>județul</w:t>
      </w:r>
      <w:proofErr w:type="spellEnd"/>
      <w:r w:rsidRPr="00A9535D">
        <w:rPr>
          <w:rFonts w:ascii="Arial" w:hAnsi="Arial" w:cs="Arial"/>
        </w:rPr>
        <w:t xml:space="preserve"> </w:t>
      </w:r>
      <w:proofErr w:type="spellStart"/>
      <w:r w:rsidRPr="00A9535D">
        <w:rPr>
          <w:rFonts w:ascii="Arial" w:hAnsi="Arial" w:cs="Arial"/>
        </w:rPr>
        <w:t>Gorj</w:t>
      </w:r>
      <w:proofErr w:type="spellEnd"/>
    </w:p>
    <w:tbl>
      <w:tblPr>
        <w:tblW w:w="5000" w:type="pct"/>
        <w:shd w:val="clear" w:color="auto" w:fill="EBEFF5"/>
        <w:tblCellMar>
          <w:top w:w="75" w:type="dxa"/>
          <w:left w:w="75" w:type="dxa"/>
          <w:bottom w:w="75" w:type="dxa"/>
          <w:right w:w="75" w:type="dxa"/>
        </w:tblCellMar>
        <w:tblLook w:val="04A0" w:firstRow="1" w:lastRow="0" w:firstColumn="1" w:lastColumn="0" w:noHBand="0" w:noVBand="1"/>
      </w:tblPr>
      <w:tblGrid>
        <w:gridCol w:w="1649"/>
        <w:gridCol w:w="546"/>
        <w:gridCol w:w="735"/>
        <w:gridCol w:w="880"/>
        <w:gridCol w:w="1338"/>
        <w:gridCol w:w="1338"/>
        <w:gridCol w:w="1338"/>
        <w:gridCol w:w="1338"/>
      </w:tblGrid>
      <w:tr w:rsidR="00A9535D" w:rsidRPr="00A9535D" w:rsidTr="00A9535D">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Varste si grupe de varsta</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Sexe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Judete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Localitati</w:t>
            </w: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Ani</w:t>
            </w:r>
          </w:p>
        </w:tc>
      </w:tr>
      <w:tr w:rsidR="00A9535D" w:rsidRPr="00A9535D" w:rsidTr="00A9535D">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Anul 2015</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Anul 2016</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Anul 2017</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Anul 2018</w:t>
            </w:r>
          </w:p>
        </w:tc>
      </w:tr>
      <w:tr w:rsidR="00A9535D" w:rsidRPr="00A9535D" w:rsidTr="00A9535D">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gridSpan w:val="4"/>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UM: Numar persoane</w:t>
            </w:r>
          </w:p>
        </w:tc>
      </w:tr>
      <w:tr w:rsidR="00A9535D" w:rsidRPr="00A9535D" w:rsidTr="00A9535D">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A9535D" w:rsidRPr="00FC0BB6" w:rsidRDefault="00A9535D" w:rsidP="00A9535D">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Numar persoane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Numar persoane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Numar persoane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Numar persoane</w:t>
            </w:r>
          </w:p>
        </w:tc>
      </w:tr>
      <w:tr w:rsidR="00A9535D" w:rsidRPr="00A9535D" w:rsidTr="00A9535D">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bCs/>
                <w:color w:val="000000"/>
                <w:lang w:val="ro-RO"/>
              </w:rPr>
              <w:t>22286392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color w:val="000000"/>
                <w:lang w:val="ro-RO"/>
              </w:rPr>
              <w:t>22236059</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color w:val="000000"/>
                <w:lang w:val="ro-RO"/>
              </w:rPr>
              <w:t>22213586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color w:val="000000"/>
                <w:u w:val="single"/>
                <w:lang w:val="ro-RO"/>
              </w:rPr>
              <w:t>22177605</w:t>
            </w:r>
          </w:p>
        </w:tc>
      </w:tr>
      <w:tr w:rsidR="00A9535D" w:rsidRPr="00A9535D" w:rsidTr="00A9535D">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A9535D" w:rsidRPr="00FC0BB6" w:rsidRDefault="00A9535D" w:rsidP="00A9535D">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bCs/>
                <w:color w:val="000000"/>
                <w:lang w:val="ro-RO"/>
              </w:rPr>
              <w:t>367581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color w:val="000000"/>
                <w:lang w:val="ro-RO"/>
              </w:rPr>
              <w:t>365110</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color w:val="000000"/>
                <w:lang w:val="ro-RO"/>
              </w:rPr>
              <w:t>362747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FC0BB6" w:rsidRDefault="00A9535D" w:rsidP="00A9535D">
            <w:pPr>
              <w:spacing w:before="150" w:after="150"/>
              <w:jc w:val="right"/>
              <w:rPr>
                <w:rFonts w:ascii="Arial" w:hAnsi="Arial" w:cs="Arial"/>
                <w:color w:val="000000"/>
                <w:lang w:val="ro-RO"/>
              </w:rPr>
            </w:pPr>
            <w:r w:rsidRPr="00FC0BB6">
              <w:rPr>
                <w:rFonts w:ascii="Arial" w:hAnsi="Arial" w:cs="Arial"/>
                <w:color w:val="000000"/>
                <w:u w:val="single"/>
                <w:lang w:val="ro-RO"/>
              </w:rPr>
              <w:t>359883</w:t>
            </w:r>
          </w:p>
        </w:tc>
      </w:tr>
      <w:tr w:rsidR="00A9535D" w:rsidRPr="00A9535D" w:rsidTr="00A9535D">
        <w:tc>
          <w:tcPr>
            <w:tcW w:w="0" w:type="auto"/>
            <w:gridSpan w:val="8"/>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A9535D" w:rsidRPr="00A9535D" w:rsidRDefault="00A9535D" w:rsidP="00A9535D">
            <w:pPr>
              <w:spacing w:before="150" w:after="150"/>
              <w:rPr>
                <w:rFonts w:ascii="Verdana" w:hAnsi="Verdana"/>
                <w:color w:val="000000"/>
                <w:sz w:val="21"/>
                <w:szCs w:val="21"/>
                <w:lang w:val="ro-RO"/>
              </w:rPr>
            </w:pPr>
          </w:p>
        </w:tc>
      </w:tr>
    </w:tbl>
    <w:p w:rsidR="00A9535D" w:rsidRPr="00A9535D" w:rsidRDefault="00A9535D" w:rsidP="00A9535D">
      <w:pPr>
        <w:spacing w:line="360" w:lineRule="auto"/>
        <w:jc w:val="both"/>
        <w:rPr>
          <w:rFonts w:ascii="Arial" w:hAnsi="Arial" w:cs="Arial"/>
        </w:rPr>
      </w:pPr>
      <w:proofErr w:type="spellStart"/>
      <w:r w:rsidRPr="00A9535D">
        <w:rPr>
          <w:rFonts w:ascii="Arial" w:hAnsi="Arial" w:cs="Arial"/>
        </w:rPr>
        <w:t>Sursa</w:t>
      </w:r>
      <w:proofErr w:type="spellEnd"/>
      <w:r w:rsidRPr="00A9535D">
        <w:rPr>
          <w:rFonts w:ascii="Arial" w:hAnsi="Arial" w:cs="Arial"/>
        </w:rPr>
        <w:t xml:space="preserve">: </w:t>
      </w:r>
      <w:proofErr w:type="spellStart"/>
      <w:r w:rsidRPr="00A9535D">
        <w:rPr>
          <w:rFonts w:ascii="Arial" w:hAnsi="Arial" w:cs="Arial"/>
        </w:rPr>
        <w:t>Baza</w:t>
      </w:r>
      <w:proofErr w:type="spellEnd"/>
      <w:r w:rsidRPr="00A9535D">
        <w:rPr>
          <w:rFonts w:ascii="Arial" w:hAnsi="Arial" w:cs="Arial"/>
        </w:rPr>
        <w:t xml:space="preserve"> de date </w:t>
      </w:r>
      <w:proofErr w:type="spellStart"/>
      <w:proofErr w:type="gramStart"/>
      <w:r w:rsidRPr="00A9535D">
        <w:rPr>
          <w:rFonts w:ascii="Arial" w:hAnsi="Arial" w:cs="Arial"/>
        </w:rPr>
        <w:t>a</w:t>
      </w:r>
      <w:proofErr w:type="spellEnd"/>
      <w:proofErr w:type="gramEnd"/>
      <w:r w:rsidRPr="00A9535D">
        <w:rPr>
          <w:rFonts w:ascii="Arial" w:hAnsi="Arial" w:cs="Arial"/>
        </w:rPr>
        <w:t xml:space="preserve"> INS</w:t>
      </w:r>
    </w:p>
    <w:p w:rsidR="00A9535D" w:rsidRDefault="00A9535D" w:rsidP="00A9535D">
      <w:pPr>
        <w:spacing w:line="360" w:lineRule="auto"/>
        <w:jc w:val="both"/>
        <w:rPr>
          <w:rFonts w:ascii="Arial" w:hAnsi="Arial" w:cs="Arial"/>
          <w:sz w:val="24"/>
          <w:szCs w:val="24"/>
        </w:rPr>
      </w:pPr>
    </w:p>
    <w:p w:rsidR="00B605F2" w:rsidRPr="00A9535D" w:rsidRDefault="00B605F2" w:rsidP="00A9535D">
      <w:pPr>
        <w:spacing w:line="360" w:lineRule="auto"/>
        <w:jc w:val="both"/>
        <w:rPr>
          <w:rFonts w:ascii="Arial" w:hAnsi="Arial" w:cs="Arial"/>
          <w:sz w:val="24"/>
          <w:szCs w:val="24"/>
        </w:rPr>
      </w:pPr>
    </w:p>
    <w:p w:rsidR="004D0903" w:rsidRDefault="004D0903" w:rsidP="003C7DAE">
      <w:pPr>
        <w:rPr>
          <w:rFonts w:ascii="Arial" w:hAnsi="Arial" w:cs="Arial"/>
          <w:sz w:val="24"/>
          <w:szCs w:val="24"/>
        </w:rPr>
      </w:pPr>
    </w:p>
    <w:p w:rsidR="002A24B8" w:rsidRPr="00E377AB" w:rsidRDefault="004D0903" w:rsidP="00B605F2">
      <w:pPr>
        <w:pStyle w:val="ListParagraph"/>
        <w:numPr>
          <w:ilvl w:val="0"/>
          <w:numId w:val="15"/>
        </w:numPr>
        <w:ind w:left="-142" w:firstLine="0"/>
        <w:rPr>
          <w:rFonts w:ascii="Arial" w:hAnsi="Arial" w:cs="Arial"/>
          <w:i/>
          <w:sz w:val="24"/>
          <w:szCs w:val="24"/>
        </w:rPr>
      </w:pPr>
      <w:r w:rsidRPr="00205133">
        <w:rPr>
          <w:rFonts w:ascii="Arial" w:hAnsi="Arial" w:cs="Arial"/>
          <w:b/>
          <w:sz w:val="24"/>
          <w:szCs w:val="24"/>
        </w:rPr>
        <w:t xml:space="preserve">          </w:t>
      </w:r>
      <w:proofErr w:type="spellStart"/>
      <w:r w:rsidR="002A24B8" w:rsidRPr="00E377AB">
        <w:rPr>
          <w:rFonts w:ascii="Arial" w:hAnsi="Arial" w:cs="Arial"/>
          <w:i/>
          <w:sz w:val="24"/>
          <w:szCs w:val="24"/>
        </w:rPr>
        <w:t>Factorii</w:t>
      </w:r>
      <w:proofErr w:type="spellEnd"/>
      <w:r w:rsidR="002A24B8" w:rsidRPr="00E377AB">
        <w:rPr>
          <w:rFonts w:ascii="Arial" w:hAnsi="Arial" w:cs="Arial"/>
          <w:i/>
          <w:sz w:val="24"/>
          <w:szCs w:val="24"/>
        </w:rPr>
        <w:t xml:space="preserve"> </w:t>
      </w:r>
      <w:proofErr w:type="spellStart"/>
      <w:r w:rsidR="002A24B8" w:rsidRPr="00E377AB">
        <w:rPr>
          <w:rFonts w:ascii="Arial" w:hAnsi="Arial" w:cs="Arial"/>
          <w:i/>
          <w:sz w:val="24"/>
          <w:szCs w:val="24"/>
        </w:rPr>
        <w:t>sociali</w:t>
      </w:r>
      <w:proofErr w:type="spellEnd"/>
    </w:p>
    <w:p w:rsidR="00CE5580" w:rsidRDefault="00CE5580" w:rsidP="00B605F2">
      <w:pPr>
        <w:pStyle w:val="ListParagraph"/>
        <w:rPr>
          <w:rFonts w:ascii="Arial" w:hAnsi="Arial" w:cs="Arial"/>
          <w:b/>
          <w:sz w:val="24"/>
          <w:szCs w:val="24"/>
        </w:rPr>
      </w:pPr>
    </w:p>
    <w:p w:rsidR="00F35691" w:rsidRDefault="005543C2" w:rsidP="00B605F2">
      <w:pPr>
        <w:pStyle w:val="BodyTextIndent2"/>
        <w:ind w:firstLine="708"/>
        <w:rPr>
          <w:rFonts w:ascii="Arial" w:hAnsi="Arial" w:cs="Arial"/>
          <w:szCs w:val="24"/>
        </w:rPr>
      </w:pPr>
      <w:r>
        <w:rPr>
          <w:rFonts w:ascii="Arial" w:hAnsi="Arial" w:cs="Arial"/>
          <w:szCs w:val="24"/>
        </w:rPr>
        <w:t>Numărul de șomeri</w:t>
      </w:r>
      <w:r w:rsidR="00F35691" w:rsidRPr="00A63ECA">
        <w:rPr>
          <w:rFonts w:ascii="Arial" w:hAnsi="Arial" w:cs="Arial"/>
          <w:szCs w:val="24"/>
        </w:rPr>
        <w:t xml:space="preserve"> înregistra</w:t>
      </w:r>
      <w:r w:rsidR="00F35691" w:rsidRPr="00A63ECA">
        <w:rPr>
          <w:rFonts w:ascii="Arial" w:hAnsi="Arial" w:cs="Arial"/>
          <w:szCs w:val="24"/>
        </w:rPr>
        <w:sym w:font="Times New Roman" w:char="0163"/>
      </w:r>
      <w:r w:rsidR="00F35691" w:rsidRPr="00A63ECA">
        <w:rPr>
          <w:rFonts w:ascii="Arial" w:hAnsi="Arial" w:cs="Arial"/>
          <w:szCs w:val="24"/>
        </w:rPr>
        <w:t>i în jude</w:t>
      </w:r>
      <w:r w:rsidR="00F35691" w:rsidRPr="00A63ECA">
        <w:rPr>
          <w:rFonts w:ascii="Arial" w:hAnsi="Arial" w:cs="Arial"/>
          <w:szCs w:val="24"/>
        </w:rPr>
        <w:sym w:font="Times New Roman" w:char="0163"/>
      </w:r>
      <w:r w:rsidR="00F35691" w:rsidRPr="00A63ECA">
        <w:rPr>
          <w:rFonts w:ascii="Arial" w:hAnsi="Arial" w:cs="Arial"/>
          <w:szCs w:val="24"/>
        </w:rPr>
        <w:t>ul Gorj la sf</w:t>
      </w:r>
      <w:r w:rsidR="00F35691" w:rsidRPr="00A63ECA">
        <w:rPr>
          <w:rFonts w:ascii="Arial" w:hAnsi="Arial" w:cs="Arial"/>
          <w:szCs w:val="24"/>
        </w:rPr>
        <w:sym w:font="Times New Roman" w:char="00E2"/>
      </w:r>
      <w:r w:rsidR="00F35691" w:rsidRPr="00A63ECA">
        <w:rPr>
          <w:rFonts w:ascii="Arial" w:hAnsi="Arial" w:cs="Arial"/>
          <w:szCs w:val="24"/>
        </w:rPr>
        <w:t>r</w:t>
      </w:r>
      <w:r w:rsidR="00F35691" w:rsidRPr="00A63ECA">
        <w:rPr>
          <w:rFonts w:ascii="Arial" w:hAnsi="Arial" w:cs="Arial"/>
          <w:szCs w:val="24"/>
        </w:rPr>
        <w:sym w:font="Times New Roman" w:char="015F"/>
      </w:r>
      <w:r w:rsidR="00F35691" w:rsidRPr="00A63ECA">
        <w:rPr>
          <w:rFonts w:ascii="Arial" w:hAnsi="Arial" w:cs="Arial"/>
          <w:szCs w:val="24"/>
        </w:rPr>
        <w:t>itul lunii decembrie 2018, potrivit datelor furnizate de Agen</w:t>
      </w:r>
      <w:r w:rsidR="00F35691" w:rsidRPr="00A63ECA">
        <w:rPr>
          <w:rFonts w:ascii="Arial" w:hAnsi="Arial" w:cs="Arial"/>
          <w:szCs w:val="24"/>
        </w:rPr>
        <w:sym w:font="Times New Roman" w:char="0163"/>
      </w:r>
      <w:r w:rsidR="00F35691" w:rsidRPr="00A63ECA">
        <w:rPr>
          <w:rFonts w:ascii="Arial" w:hAnsi="Arial" w:cs="Arial"/>
          <w:szCs w:val="24"/>
        </w:rPr>
        <w:t>ia Jude</w:t>
      </w:r>
      <w:r w:rsidR="00F35691" w:rsidRPr="00A63ECA">
        <w:rPr>
          <w:rFonts w:ascii="Arial" w:hAnsi="Arial" w:cs="Arial"/>
          <w:szCs w:val="24"/>
        </w:rPr>
        <w:sym w:font="Times New Roman" w:char="0163"/>
      </w:r>
      <w:r w:rsidR="00F35691" w:rsidRPr="00A63ECA">
        <w:rPr>
          <w:rFonts w:ascii="Arial" w:hAnsi="Arial" w:cs="Arial"/>
          <w:szCs w:val="24"/>
        </w:rPr>
        <w:t>ean</w:t>
      </w:r>
      <w:r w:rsidR="00F35691" w:rsidRPr="00A63ECA">
        <w:rPr>
          <w:rFonts w:ascii="Arial" w:hAnsi="Arial" w:cs="Arial"/>
          <w:szCs w:val="24"/>
        </w:rPr>
        <w:sym w:font="Times New Roman" w:char="0103"/>
      </w:r>
      <w:r w:rsidR="00F35691" w:rsidRPr="00A63ECA">
        <w:rPr>
          <w:rFonts w:ascii="Arial" w:hAnsi="Arial" w:cs="Arial"/>
          <w:szCs w:val="24"/>
        </w:rPr>
        <w:t xml:space="preserve"> pentru Ocupare </w:t>
      </w:r>
      <w:r w:rsidR="00F35691" w:rsidRPr="00A63ECA">
        <w:rPr>
          <w:rFonts w:ascii="Arial" w:hAnsi="Arial" w:cs="Arial"/>
          <w:szCs w:val="24"/>
        </w:rPr>
        <w:sym w:font="Times New Roman" w:char="015F"/>
      </w:r>
      <w:r w:rsidR="00F35691" w:rsidRPr="00A63ECA">
        <w:rPr>
          <w:rFonts w:ascii="Arial" w:hAnsi="Arial" w:cs="Arial"/>
          <w:szCs w:val="24"/>
        </w:rPr>
        <w:t>i Formare Profesional</w:t>
      </w:r>
      <w:r w:rsidR="00F35691" w:rsidRPr="00A63ECA">
        <w:rPr>
          <w:rFonts w:ascii="Arial" w:hAnsi="Arial" w:cs="Arial"/>
          <w:szCs w:val="24"/>
        </w:rPr>
        <w:sym w:font="Times New Roman" w:char="0103"/>
      </w:r>
      <w:r w:rsidR="00F35691" w:rsidRPr="00A63ECA">
        <w:rPr>
          <w:rFonts w:ascii="Arial" w:hAnsi="Arial" w:cs="Arial"/>
          <w:szCs w:val="24"/>
        </w:rPr>
        <w:t xml:space="preserve"> Gorj, era de 5914 persoane (reprezentând 2,05% din </w:t>
      </w:r>
      <w:r w:rsidR="00F35691" w:rsidRPr="00A63ECA">
        <w:rPr>
          <w:rFonts w:ascii="Arial" w:hAnsi="Arial" w:cs="Arial"/>
          <w:bCs/>
          <w:szCs w:val="24"/>
        </w:rPr>
        <w:t>persoanele fără loc de muncă la nivel naţional</w:t>
      </w:r>
      <w:r w:rsidR="00F35691" w:rsidRPr="00A63ECA">
        <w:rPr>
          <w:rFonts w:ascii="Arial" w:hAnsi="Arial" w:cs="Arial"/>
          <w:szCs w:val="24"/>
        </w:rPr>
        <w:t xml:space="preserve">), </w:t>
      </w:r>
      <w:r w:rsidR="00F35691" w:rsidRPr="00A63ECA">
        <w:rPr>
          <w:rFonts w:ascii="Arial" w:hAnsi="Arial" w:cs="Arial"/>
          <w:szCs w:val="24"/>
        </w:rPr>
        <w:sym w:font="Times New Roman" w:char="00EE"/>
      </w:r>
      <w:r w:rsidR="00F35691" w:rsidRPr="00A63ECA">
        <w:rPr>
          <w:rFonts w:ascii="Arial" w:hAnsi="Arial" w:cs="Arial"/>
          <w:szCs w:val="24"/>
        </w:rPr>
        <w:t>n scădere fa</w:t>
      </w:r>
      <w:r w:rsidR="00F35691" w:rsidRPr="00A63ECA">
        <w:rPr>
          <w:rFonts w:ascii="Arial" w:hAnsi="Arial" w:cs="Arial"/>
          <w:szCs w:val="24"/>
        </w:rPr>
        <w:sym w:font="Times New Roman" w:char="0163"/>
      </w:r>
      <w:r w:rsidR="00F35691" w:rsidRPr="00A63ECA">
        <w:rPr>
          <w:rFonts w:ascii="Arial" w:hAnsi="Arial" w:cs="Arial"/>
          <w:szCs w:val="24"/>
        </w:rPr>
        <w:sym w:font="Times New Roman" w:char="0103"/>
      </w:r>
      <w:r w:rsidR="00F35691" w:rsidRPr="00A63ECA">
        <w:rPr>
          <w:rFonts w:ascii="Arial" w:hAnsi="Arial" w:cs="Arial"/>
          <w:szCs w:val="24"/>
        </w:rPr>
        <w:t xml:space="preserve"> de luna noiembrie 2018 cu 38 persoane, respectiv cu 0,06%. </w:t>
      </w:r>
    </w:p>
    <w:p w:rsidR="00F35691" w:rsidRPr="00A63ECA" w:rsidRDefault="00F35691" w:rsidP="00B605F2">
      <w:pPr>
        <w:pStyle w:val="BodyTextIndent2"/>
        <w:rPr>
          <w:rFonts w:ascii="Arial" w:hAnsi="Arial" w:cs="Arial"/>
          <w:szCs w:val="24"/>
        </w:rPr>
      </w:pPr>
      <w:r w:rsidRPr="00A63ECA">
        <w:rPr>
          <w:rFonts w:ascii="Arial" w:hAnsi="Arial" w:cs="Arial"/>
          <w:szCs w:val="24"/>
        </w:rPr>
        <w:t>Din num</w:t>
      </w:r>
      <w:r w:rsidRPr="00A63ECA">
        <w:rPr>
          <w:rFonts w:ascii="Arial" w:hAnsi="Arial" w:cs="Arial"/>
          <w:szCs w:val="24"/>
        </w:rPr>
        <w:sym w:font="Times New Roman" w:char="0103"/>
      </w:r>
      <w:r w:rsidRPr="00A63ECA">
        <w:rPr>
          <w:rFonts w:ascii="Arial" w:hAnsi="Arial" w:cs="Arial"/>
          <w:szCs w:val="24"/>
        </w:rPr>
        <w:t xml:space="preserve">rul total de </w:t>
      </w:r>
      <w:r w:rsidRPr="00A63ECA">
        <w:rPr>
          <w:rFonts w:ascii="Arial" w:hAnsi="Arial" w:cs="Arial"/>
          <w:szCs w:val="24"/>
        </w:rPr>
        <w:sym w:font="Times New Roman" w:char="015F"/>
      </w:r>
      <w:r w:rsidRPr="00A63ECA">
        <w:rPr>
          <w:rFonts w:ascii="Arial" w:hAnsi="Arial" w:cs="Arial"/>
          <w:szCs w:val="24"/>
        </w:rPr>
        <w:t xml:space="preserve">omeri </w:t>
      </w:r>
      <w:r w:rsidRPr="00A63ECA">
        <w:rPr>
          <w:rFonts w:ascii="Arial" w:hAnsi="Arial" w:cs="Arial"/>
          <w:szCs w:val="24"/>
        </w:rPr>
        <w:sym w:font="Times New Roman" w:char="00EE"/>
      </w:r>
      <w:r w:rsidRPr="00A63ECA">
        <w:rPr>
          <w:rFonts w:ascii="Arial" w:hAnsi="Arial" w:cs="Arial"/>
          <w:szCs w:val="24"/>
        </w:rPr>
        <w:t>nregistra</w:t>
      </w:r>
      <w:r w:rsidRPr="00A63ECA">
        <w:rPr>
          <w:rFonts w:ascii="Arial" w:hAnsi="Arial" w:cs="Arial"/>
          <w:szCs w:val="24"/>
        </w:rPr>
        <w:sym w:font="Times New Roman" w:char="0163"/>
      </w:r>
      <w:r w:rsidRPr="00A63ECA">
        <w:rPr>
          <w:rFonts w:ascii="Arial" w:hAnsi="Arial" w:cs="Arial"/>
          <w:szCs w:val="24"/>
        </w:rPr>
        <w:t>i femeile reprezint</w:t>
      </w:r>
      <w:r w:rsidRPr="00A63ECA">
        <w:rPr>
          <w:rFonts w:ascii="Arial" w:hAnsi="Arial" w:cs="Arial"/>
          <w:szCs w:val="24"/>
        </w:rPr>
        <w:sym w:font="Times New Roman" w:char="0103"/>
      </w:r>
      <w:r w:rsidRPr="00A63ECA">
        <w:rPr>
          <w:rFonts w:ascii="Arial" w:hAnsi="Arial" w:cs="Arial"/>
          <w:szCs w:val="24"/>
        </w:rPr>
        <w:t xml:space="preserve"> 45,2%, iar din totalul </w:t>
      </w:r>
      <w:r w:rsidRPr="00A63ECA">
        <w:rPr>
          <w:rFonts w:ascii="Arial" w:hAnsi="Arial" w:cs="Arial"/>
          <w:szCs w:val="24"/>
        </w:rPr>
        <w:sym w:font="Times New Roman" w:char="015F"/>
      </w:r>
      <w:r w:rsidRPr="00A63ECA">
        <w:rPr>
          <w:rFonts w:ascii="Arial" w:hAnsi="Arial" w:cs="Arial"/>
          <w:szCs w:val="24"/>
        </w:rPr>
        <w:t>omerilor neindemniza</w:t>
      </w:r>
      <w:r w:rsidRPr="00A63ECA">
        <w:rPr>
          <w:rFonts w:ascii="Arial" w:hAnsi="Arial" w:cs="Arial"/>
          <w:szCs w:val="24"/>
        </w:rPr>
        <w:sym w:font="Times New Roman" w:char="0163"/>
      </w:r>
      <w:r w:rsidRPr="00A63ECA">
        <w:rPr>
          <w:rFonts w:ascii="Arial" w:hAnsi="Arial" w:cs="Arial"/>
          <w:szCs w:val="24"/>
        </w:rPr>
        <w:t>i femeile reprezintă 43,0%. În raport cu nivelul şcolii absolvite,  din numărul total de şomeri înregistraţi, 5,9% sunt persoane cu studii superioare, 10,8% studii postliceale, 20,6%  studii liceale, 33,1% studii profesionale, 16,0% studii gimnaziale, 13,6% studii primare.</w:t>
      </w:r>
    </w:p>
    <w:p w:rsidR="00F35691" w:rsidRDefault="00F35691" w:rsidP="00B605F2">
      <w:pPr>
        <w:pStyle w:val="BodyTextIndent2"/>
        <w:rPr>
          <w:rFonts w:ascii="Arial" w:hAnsi="Arial" w:cs="Arial"/>
          <w:szCs w:val="24"/>
        </w:rPr>
      </w:pPr>
      <w:r w:rsidRPr="00A63ECA">
        <w:rPr>
          <w:rFonts w:ascii="Arial" w:hAnsi="Arial" w:cs="Arial"/>
          <w:szCs w:val="24"/>
        </w:rPr>
        <w:t xml:space="preserve">Rata </w:t>
      </w:r>
      <w:r w:rsidR="005543C2">
        <w:rPr>
          <w:rFonts w:ascii="Arial" w:hAnsi="Arial" w:cs="Arial"/>
          <w:szCs w:val="24"/>
        </w:rPr>
        <w:t>ș</w:t>
      </w:r>
      <w:r w:rsidRPr="00A63ECA">
        <w:rPr>
          <w:rFonts w:ascii="Arial" w:hAnsi="Arial" w:cs="Arial"/>
          <w:szCs w:val="24"/>
        </w:rPr>
        <w:t>omajului (calculat</w:t>
      </w:r>
      <w:r w:rsidRPr="00A63ECA">
        <w:rPr>
          <w:rFonts w:ascii="Arial" w:hAnsi="Arial" w:cs="Arial"/>
          <w:szCs w:val="24"/>
        </w:rPr>
        <w:sym w:font="Times New Roman" w:char="0103"/>
      </w:r>
      <w:r w:rsidRPr="00A63ECA">
        <w:rPr>
          <w:rFonts w:ascii="Arial" w:hAnsi="Arial" w:cs="Arial"/>
          <w:szCs w:val="24"/>
        </w:rPr>
        <w:t xml:space="preserve"> prin raportarea num</w:t>
      </w:r>
      <w:r w:rsidRPr="00A63ECA">
        <w:rPr>
          <w:rFonts w:ascii="Arial" w:hAnsi="Arial" w:cs="Arial"/>
          <w:szCs w:val="24"/>
        </w:rPr>
        <w:sym w:font="Times New Roman" w:char="0103"/>
      </w:r>
      <w:r w:rsidRPr="00A63ECA">
        <w:rPr>
          <w:rFonts w:ascii="Arial" w:hAnsi="Arial" w:cs="Arial"/>
          <w:szCs w:val="24"/>
        </w:rPr>
        <w:t xml:space="preserve">rului total al </w:t>
      </w:r>
      <w:r w:rsidR="00290DFE">
        <w:rPr>
          <w:rFonts w:ascii="Arial" w:hAnsi="Arial" w:cs="Arial"/>
          <w:szCs w:val="24"/>
        </w:rPr>
        <w:t>ș</w:t>
      </w:r>
      <w:r w:rsidRPr="00A63ECA">
        <w:rPr>
          <w:rFonts w:ascii="Arial" w:hAnsi="Arial" w:cs="Arial"/>
          <w:szCs w:val="24"/>
        </w:rPr>
        <w:t>omerilor la popula</w:t>
      </w:r>
      <w:r w:rsidRPr="00A63ECA">
        <w:rPr>
          <w:rFonts w:ascii="Arial" w:hAnsi="Arial" w:cs="Arial"/>
          <w:szCs w:val="24"/>
        </w:rPr>
        <w:sym w:font="Times New Roman" w:char="0163"/>
      </w:r>
      <w:r w:rsidRPr="00A63ECA">
        <w:rPr>
          <w:rFonts w:ascii="Arial" w:hAnsi="Arial" w:cs="Arial"/>
          <w:szCs w:val="24"/>
        </w:rPr>
        <w:t>ia activ</w:t>
      </w:r>
      <w:r w:rsidRPr="00A63ECA">
        <w:rPr>
          <w:rFonts w:ascii="Arial" w:hAnsi="Arial" w:cs="Arial"/>
          <w:szCs w:val="24"/>
        </w:rPr>
        <w:sym w:font="Times New Roman" w:char="0103"/>
      </w:r>
      <w:r w:rsidRPr="00A63ECA">
        <w:rPr>
          <w:rFonts w:ascii="Arial" w:hAnsi="Arial" w:cs="Arial"/>
          <w:szCs w:val="24"/>
        </w:rPr>
        <w:t xml:space="preserve"> civilă de la </w:t>
      </w:r>
      <w:r w:rsidRPr="00A63ECA">
        <w:rPr>
          <w:rFonts w:ascii="Arial" w:hAnsi="Arial" w:cs="Arial"/>
          <w:szCs w:val="24"/>
        </w:rPr>
        <w:sym w:font="Times New Roman" w:char="00EE"/>
      </w:r>
      <w:r w:rsidRPr="00A63ECA">
        <w:rPr>
          <w:rFonts w:ascii="Arial" w:hAnsi="Arial" w:cs="Arial"/>
          <w:szCs w:val="24"/>
        </w:rPr>
        <w:t xml:space="preserve">nceputul anului 2018) a fost de 4,4% pe total (4,2% pentru femei şi 4,5% pentru bărbaţi), plasând judeţul Gorj pe locul 13 </w:t>
      </w:r>
      <w:r w:rsidRPr="00A63ECA">
        <w:rPr>
          <w:rFonts w:ascii="Arial" w:hAnsi="Arial" w:cs="Arial"/>
          <w:bCs/>
          <w:szCs w:val="24"/>
        </w:rPr>
        <w:t>în clasamentul judeţelor ordonate descrescător</w:t>
      </w:r>
      <w:r w:rsidRPr="00A63ECA">
        <w:rPr>
          <w:rFonts w:ascii="Arial" w:hAnsi="Arial" w:cs="Arial"/>
          <w:szCs w:val="24"/>
        </w:rPr>
        <w:t>, fiind mai mare cu 1,1 puncte procentuale faţă de rata şomajului înregistrată la nivelul ţării (3,3%).</w:t>
      </w:r>
    </w:p>
    <w:p w:rsidR="00A9535D" w:rsidRDefault="00A9535D" w:rsidP="00B605F2">
      <w:pPr>
        <w:pStyle w:val="BodyTextIndent2"/>
        <w:rPr>
          <w:rFonts w:ascii="Arial" w:hAnsi="Arial" w:cs="Arial"/>
          <w:szCs w:val="24"/>
        </w:rPr>
      </w:pPr>
    </w:p>
    <w:p w:rsidR="003A6B3D" w:rsidRDefault="003A6B3D" w:rsidP="00F35691">
      <w:pPr>
        <w:pStyle w:val="BodyTextIndent2"/>
        <w:spacing w:line="360" w:lineRule="exact"/>
        <w:rPr>
          <w:rFonts w:ascii="Arial" w:hAnsi="Arial" w:cs="Arial"/>
          <w:szCs w:val="24"/>
        </w:rPr>
      </w:pPr>
    </w:p>
    <w:p w:rsidR="00A9535D" w:rsidRPr="00A9535D" w:rsidRDefault="00791582" w:rsidP="00A9535D">
      <w:pPr>
        <w:spacing w:line="360" w:lineRule="auto"/>
        <w:jc w:val="both"/>
        <w:rPr>
          <w:rFonts w:ascii="Arial" w:hAnsi="Arial" w:cs="Arial"/>
        </w:rPr>
      </w:pPr>
      <w:proofErr w:type="spellStart"/>
      <w:r>
        <w:rPr>
          <w:rFonts w:ascii="Arial" w:hAnsi="Arial" w:cs="Arial"/>
        </w:rPr>
        <w:t>Tabel</w:t>
      </w:r>
      <w:proofErr w:type="spellEnd"/>
      <w:r>
        <w:rPr>
          <w:rFonts w:ascii="Arial" w:hAnsi="Arial" w:cs="Arial"/>
        </w:rPr>
        <w:t xml:space="preserve"> </w:t>
      </w:r>
      <w:r w:rsidR="00A9535D" w:rsidRPr="00A9535D">
        <w:rPr>
          <w:rFonts w:ascii="Arial" w:hAnsi="Arial" w:cs="Arial"/>
        </w:rPr>
        <w:t>X.2.</w:t>
      </w:r>
      <w:r w:rsidR="00A9535D">
        <w:rPr>
          <w:rFonts w:ascii="Arial" w:hAnsi="Arial" w:cs="Arial"/>
        </w:rPr>
        <w:t>2</w:t>
      </w:r>
      <w:r w:rsidR="00A9535D" w:rsidRPr="00A9535D">
        <w:rPr>
          <w:rFonts w:ascii="Arial" w:hAnsi="Arial" w:cs="Arial"/>
        </w:rPr>
        <w:t xml:space="preserve"> </w:t>
      </w:r>
      <w:r w:rsidR="00A9535D">
        <w:rPr>
          <w:rFonts w:ascii="Arial" w:hAnsi="Arial" w:cs="Arial"/>
        </w:rPr>
        <w:t xml:space="preserve">Rata </w:t>
      </w:r>
      <w:proofErr w:type="spellStart"/>
      <w:r w:rsidR="00A9535D">
        <w:rPr>
          <w:rFonts w:ascii="Arial" w:hAnsi="Arial" w:cs="Arial"/>
        </w:rPr>
        <w:t>șomajului</w:t>
      </w:r>
      <w:proofErr w:type="spellEnd"/>
      <w:proofErr w:type="gramStart"/>
      <w:r w:rsidR="00A9535D">
        <w:rPr>
          <w:rFonts w:ascii="Arial" w:hAnsi="Arial" w:cs="Arial"/>
        </w:rPr>
        <w:t xml:space="preserve">, </w:t>
      </w:r>
      <w:r w:rsidR="00A9535D" w:rsidRPr="00A9535D">
        <w:rPr>
          <w:rFonts w:ascii="Arial" w:hAnsi="Arial" w:cs="Arial"/>
        </w:rPr>
        <w:t xml:space="preserve"> </w:t>
      </w:r>
      <w:proofErr w:type="spellStart"/>
      <w:r w:rsidR="00A9535D" w:rsidRPr="00A9535D">
        <w:rPr>
          <w:rFonts w:ascii="Arial" w:hAnsi="Arial" w:cs="Arial"/>
        </w:rPr>
        <w:t>jude</w:t>
      </w:r>
      <w:proofErr w:type="gramEnd"/>
      <w:r w:rsidR="00A9535D" w:rsidRPr="00A9535D">
        <w:rPr>
          <w:rFonts w:ascii="Arial" w:hAnsi="Arial" w:cs="Arial"/>
        </w:rPr>
        <w:t>țul</w:t>
      </w:r>
      <w:proofErr w:type="spellEnd"/>
      <w:r w:rsidR="00A9535D" w:rsidRPr="00A9535D">
        <w:rPr>
          <w:rFonts w:ascii="Arial" w:hAnsi="Arial" w:cs="Arial"/>
        </w:rPr>
        <w:t xml:space="preserve"> </w:t>
      </w:r>
      <w:proofErr w:type="spellStart"/>
      <w:r w:rsidR="00A9535D" w:rsidRPr="00A9535D">
        <w:rPr>
          <w:rFonts w:ascii="Arial" w:hAnsi="Arial" w:cs="Arial"/>
        </w:rPr>
        <w:t>Gorj</w:t>
      </w:r>
      <w:proofErr w:type="spellEnd"/>
    </w:p>
    <w:tbl>
      <w:tblPr>
        <w:tblW w:w="5000" w:type="pct"/>
        <w:shd w:val="clear" w:color="auto" w:fill="EBEFF5"/>
        <w:tblCellMar>
          <w:top w:w="75" w:type="dxa"/>
          <w:left w:w="75" w:type="dxa"/>
          <w:bottom w:w="75" w:type="dxa"/>
          <w:right w:w="75" w:type="dxa"/>
        </w:tblCellMar>
        <w:tblLook w:val="04A0" w:firstRow="1" w:lastRow="0" w:firstColumn="1" w:lastColumn="0" w:noHBand="0" w:noVBand="1"/>
      </w:tblPr>
      <w:tblGrid>
        <w:gridCol w:w="1757"/>
        <w:gridCol w:w="1468"/>
        <w:gridCol w:w="1979"/>
        <w:gridCol w:w="1979"/>
        <w:gridCol w:w="1979"/>
      </w:tblGrid>
      <w:tr w:rsidR="003A6B3D" w:rsidRPr="003A6B3D" w:rsidTr="0072708A">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Sexe</w:t>
            </w:r>
          </w:p>
        </w:tc>
        <w:tc>
          <w:tcPr>
            <w:tcW w:w="0" w:type="auto"/>
            <w:vMerge w:val="restart"/>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CC5A3F" w:rsidP="0072708A">
            <w:pPr>
              <w:spacing w:before="150" w:after="150"/>
              <w:rPr>
                <w:rFonts w:ascii="Arial" w:hAnsi="Arial" w:cs="Arial"/>
                <w:bCs/>
                <w:color w:val="000000"/>
                <w:lang w:val="ro-RO"/>
              </w:rPr>
            </w:pPr>
            <w:r w:rsidRPr="00FC0BB6">
              <w:rPr>
                <w:rFonts w:ascii="Arial" w:hAnsi="Arial" w:cs="Arial"/>
                <w:bCs/>
                <w:color w:val="000000"/>
                <w:lang w:val="ro-RO"/>
              </w:rPr>
              <w:t>Județ</w:t>
            </w:r>
          </w:p>
        </w:tc>
        <w:tc>
          <w:tcPr>
            <w:tcW w:w="0" w:type="auto"/>
            <w:gridSpan w:val="3"/>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Ani</w:t>
            </w:r>
          </w:p>
        </w:tc>
      </w:tr>
      <w:tr w:rsidR="003A6B3D" w:rsidRPr="003A6B3D" w:rsidTr="0072708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3A6B3D" w:rsidRPr="00FC0BB6" w:rsidRDefault="003A6B3D" w:rsidP="0072708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3A6B3D" w:rsidRPr="00FC0BB6" w:rsidRDefault="003A6B3D" w:rsidP="0072708A">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Anul 2015</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Anul 2016</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Anul 2017</w:t>
            </w:r>
          </w:p>
        </w:tc>
      </w:tr>
      <w:tr w:rsidR="003A6B3D" w:rsidRPr="003A6B3D" w:rsidTr="0072708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3A6B3D" w:rsidRPr="00FC0BB6" w:rsidRDefault="003A6B3D" w:rsidP="0072708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3A6B3D" w:rsidRPr="00FC0BB6" w:rsidRDefault="003A6B3D" w:rsidP="0072708A">
            <w:pPr>
              <w:spacing w:before="150" w:after="150"/>
              <w:rPr>
                <w:rFonts w:ascii="Arial" w:hAnsi="Arial" w:cs="Arial"/>
                <w:bCs/>
                <w:color w:val="000000"/>
                <w:lang w:val="ro-RO"/>
              </w:rPr>
            </w:pPr>
          </w:p>
        </w:tc>
        <w:tc>
          <w:tcPr>
            <w:tcW w:w="0" w:type="auto"/>
            <w:gridSpan w:val="3"/>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UM: Procente</w:t>
            </w:r>
          </w:p>
        </w:tc>
      </w:tr>
      <w:tr w:rsidR="003A6B3D" w:rsidRPr="003A6B3D" w:rsidTr="0072708A">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3A6B3D" w:rsidRPr="00FC0BB6" w:rsidRDefault="003A6B3D" w:rsidP="0072708A">
            <w:pPr>
              <w:spacing w:before="150" w:after="150"/>
              <w:rPr>
                <w:rFonts w:ascii="Arial" w:hAnsi="Arial" w:cs="Arial"/>
                <w:bCs/>
                <w:color w:val="000000"/>
                <w:lang w:val="ro-RO"/>
              </w:rPr>
            </w:pPr>
          </w:p>
        </w:tc>
        <w:tc>
          <w:tcPr>
            <w:tcW w:w="0" w:type="auto"/>
            <w:vMerge/>
            <w:tcBorders>
              <w:top w:val="single" w:sz="6" w:space="0" w:color="FAFAFA"/>
              <w:left w:val="single" w:sz="6" w:space="0" w:color="FAFAFA"/>
              <w:bottom w:val="single" w:sz="6" w:space="0" w:color="CCCCCC"/>
              <w:right w:val="single" w:sz="6" w:space="0" w:color="CCCCCC"/>
            </w:tcBorders>
            <w:shd w:val="clear" w:color="auto" w:fill="EBEFF5"/>
            <w:vAlign w:val="center"/>
            <w:hideMark/>
          </w:tcPr>
          <w:p w:rsidR="003A6B3D" w:rsidRPr="00FC0BB6" w:rsidRDefault="003A6B3D" w:rsidP="0072708A">
            <w:pPr>
              <w:spacing w:before="150" w:after="150"/>
              <w:rPr>
                <w:rFonts w:ascii="Arial" w:hAnsi="Arial" w:cs="Arial"/>
                <w:bCs/>
                <w:color w:val="000000"/>
                <w:lang w:val="ro-RO"/>
              </w:rPr>
            </w:pP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Procente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Procente</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Procente</w:t>
            </w:r>
          </w:p>
        </w:tc>
      </w:tr>
      <w:tr w:rsidR="003A6B3D" w:rsidRPr="003A6B3D" w:rsidTr="0072708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4,8</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4</w:t>
            </w:r>
          </w:p>
        </w:tc>
      </w:tr>
      <w:tr w:rsidR="003A6B3D" w:rsidRPr="003A6B3D" w:rsidTr="0072708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7,7</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7,4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6,3</w:t>
            </w:r>
          </w:p>
        </w:tc>
      </w:tr>
      <w:tr w:rsidR="003A6B3D" w:rsidRPr="003A6B3D" w:rsidTr="0072708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Masculin</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5,3</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5,1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4,2</w:t>
            </w:r>
          </w:p>
        </w:tc>
      </w:tr>
      <w:tr w:rsidR="003A6B3D" w:rsidRPr="003A6B3D" w:rsidTr="0072708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8,1</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8,2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6,6</w:t>
            </w:r>
          </w:p>
        </w:tc>
      </w:tr>
      <w:tr w:rsidR="003A6B3D" w:rsidRPr="003A6B3D" w:rsidTr="0072708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Feminin</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TOTAL</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4,6</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4,4</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3,8</w:t>
            </w:r>
          </w:p>
        </w:tc>
      </w:tr>
      <w:tr w:rsidR="003A6B3D" w:rsidRPr="003A6B3D" w:rsidTr="0072708A">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w:t>
            </w:r>
          </w:p>
        </w:tc>
        <w:tc>
          <w:tcPr>
            <w:tcW w:w="0" w:type="auto"/>
            <w:tcBorders>
              <w:top w:val="single" w:sz="6" w:space="0" w:color="FAFAFA"/>
              <w:left w:val="single" w:sz="6" w:space="0" w:color="FAFAFA"/>
              <w:bottom w:val="single" w:sz="6" w:space="0" w:color="CCCCCC"/>
              <w:right w:val="single" w:sz="6" w:space="0" w:color="CCCCCC"/>
            </w:tcBorders>
            <w:shd w:val="clear" w:color="auto" w:fill="E2ECF1"/>
            <w:tcMar>
              <w:top w:w="45" w:type="dxa"/>
              <w:left w:w="45" w:type="dxa"/>
              <w:bottom w:w="45" w:type="dxa"/>
              <w:right w:w="45" w:type="dxa"/>
            </w:tcMar>
            <w:vAlign w:val="center"/>
            <w:hideMark/>
          </w:tcPr>
          <w:p w:rsidR="003A6B3D" w:rsidRPr="00FC0BB6" w:rsidRDefault="003A6B3D" w:rsidP="0072708A">
            <w:pPr>
              <w:spacing w:before="150" w:after="150"/>
              <w:rPr>
                <w:rFonts w:ascii="Arial" w:hAnsi="Arial" w:cs="Arial"/>
                <w:bCs/>
                <w:color w:val="000000"/>
                <w:lang w:val="ro-RO"/>
              </w:rPr>
            </w:pPr>
            <w:r w:rsidRPr="00FC0BB6">
              <w:rPr>
                <w:rFonts w:ascii="Arial" w:hAnsi="Arial" w:cs="Arial"/>
                <w:bCs/>
                <w:color w:val="000000"/>
                <w:lang w:val="ro-RO"/>
              </w:rPr>
              <w:t>Gorj</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7,2</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6,5</w:t>
            </w:r>
          </w:p>
        </w:tc>
        <w:tc>
          <w:tcPr>
            <w:tcW w:w="0" w:type="auto"/>
            <w:tcBorders>
              <w:top w:val="nil"/>
              <w:left w:val="nil"/>
              <w:bottom w:val="single" w:sz="6" w:space="0" w:color="CCCCCC"/>
              <w:right w:val="single" w:sz="6" w:space="0" w:color="CCCCCC"/>
            </w:tcBorders>
            <w:shd w:val="clear" w:color="auto" w:fill="FAFAFA"/>
            <w:tcMar>
              <w:top w:w="45" w:type="dxa"/>
              <w:left w:w="45" w:type="dxa"/>
              <w:bottom w:w="45" w:type="dxa"/>
              <w:right w:w="45" w:type="dxa"/>
            </w:tcMar>
            <w:vAlign w:val="center"/>
            <w:hideMark/>
          </w:tcPr>
          <w:p w:rsidR="003A6B3D" w:rsidRPr="00FC0BB6" w:rsidRDefault="003A6B3D" w:rsidP="0072708A">
            <w:pPr>
              <w:spacing w:before="150" w:after="150"/>
              <w:jc w:val="right"/>
              <w:rPr>
                <w:rFonts w:ascii="Arial" w:hAnsi="Arial" w:cs="Arial"/>
                <w:color w:val="000000"/>
                <w:lang w:val="ro-RO"/>
              </w:rPr>
            </w:pPr>
            <w:r w:rsidRPr="00FC0BB6">
              <w:rPr>
                <w:rFonts w:ascii="Arial" w:hAnsi="Arial" w:cs="Arial"/>
                <w:color w:val="000000"/>
                <w:lang w:val="ro-RO"/>
              </w:rPr>
              <w:t>6</w:t>
            </w:r>
          </w:p>
        </w:tc>
      </w:tr>
    </w:tbl>
    <w:p w:rsidR="00F35691" w:rsidRPr="00FC0BB6" w:rsidRDefault="00FC0BB6" w:rsidP="00F35691">
      <w:pPr>
        <w:jc w:val="both"/>
        <w:rPr>
          <w:rFonts w:ascii="Arial" w:hAnsi="Arial" w:cs="Arial"/>
          <w:lang w:val="ro-RO"/>
        </w:rPr>
      </w:pPr>
      <w:r w:rsidRPr="00FC0BB6">
        <w:rPr>
          <w:rFonts w:ascii="Arial" w:hAnsi="Arial" w:cs="Arial"/>
          <w:lang w:val="ro-RO"/>
        </w:rPr>
        <w:t>Baza de date a INS</w:t>
      </w:r>
    </w:p>
    <w:p w:rsidR="00C07F6B" w:rsidRDefault="00C07F6B" w:rsidP="002A24B8">
      <w:pPr>
        <w:rPr>
          <w:rFonts w:ascii="Arial" w:hAnsi="Arial" w:cs="Arial"/>
          <w:b/>
          <w:sz w:val="24"/>
          <w:szCs w:val="24"/>
        </w:rPr>
      </w:pPr>
    </w:p>
    <w:p w:rsidR="002A24B8" w:rsidRDefault="002A24B8" w:rsidP="002A24B8">
      <w:pPr>
        <w:rPr>
          <w:rFonts w:ascii="Arial" w:hAnsi="Arial" w:cs="Arial"/>
          <w:b/>
          <w:sz w:val="24"/>
          <w:szCs w:val="24"/>
        </w:rPr>
      </w:pPr>
    </w:p>
    <w:p w:rsidR="002A24B8" w:rsidRDefault="002A24B8" w:rsidP="00B605F2">
      <w:pPr>
        <w:rPr>
          <w:rFonts w:ascii="Arial" w:hAnsi="Arial" w:cs="Arial"/>
          <w:b/>
          <w:sz w:val="24"/>
          <w:szCs w:val="24"/>
        </w:rPr>
      </w:pPr>
      <w:r>
        <w:rPr>
          <w:rFonts w:ascii="Arial" w:hAnsi="Arial" w:cs="Arial"/>
          <w:b/>
          <w:sz w:val="24"/>
          <w:szCs w:val="24"/>
        </w:rPr>
        <w:t xml:space="preserve">   X.3.Presiunile </w:t>
      </w:r>
      <w:proofErr w:type="spellStart"/>
      <w:r>
        <w:rPr>
          <w:rFonts w:ascii="Arial" w:hAnsi="Arial" w:cs="Arial"/>
          <w:b/>
          <w:sz w:val="24"/>
          <w:szCs w:val="24"/>
        </w:rPr>
        <w:t>asupra</w:t>
      </w:r>
      <w:proofErr w:type="spellEnd"/>
      <w:r>
        <w:rPr>
          <w:rFonts w:ascii="Arial" w:hAnsi="Arial" w:cs="Arial"/>
          <w:b/>
          <w:sz w:val="24"/>
          <w:szCs w:val="24"/>
        </w:rPr>
        <w:t xml:space="preserve"> </w:t>
      </w:r>
      <w:proofErr w:type="spellStart"/>
      <w:r>
        <w:rPr>
          <w:rFonts w:ascii="Arial" w:hAnsi="Arial" w:cs="Arial"/>
          <w:b/>
          <w:sz w:val="24"/>
          <w:szCs w:val="24"/>
        </w:rPr>
        <w:t>mediului</w:t>
      </w:r>
      <w:proofErr w:type="spellEnd"/>
      <w:r>
        <w:rPr>
          <w:rFonts w:ascii="Arial" w:hAnsi="Arial" w:cs="Arial"/>
          <w:b/>
          <w:sz w:val="24"/>
          <w:szCs w:val="24"/>
        </w:rPr>
        <w:t xml:space="preserve"> </w:t>
      </w:r>
      <w:proofErr w:type="spellStart"/>
      <w:r>
        <w:rPr>
          <w:rFonts w:ascii="Arial" w:hAnsi="Arial" w:cs="Arial"/>
          <w:b/>
          <w:sz w:val="24"/>
          <w:szCs w:val="24"/>
        </w:rPr>
        <w:t>cauzate</w:t>
      </w:r>
      <w:proofErr w:type="spellEnd"/>
      <w:r>
        <w:rPr>
          <w:rFonts w:ascii="Arial" w:hAnsi="Arial" w:cs="Arial"/>
          <w:b/>
          <w:sz w:val="24"/>
          <w:szCs w:val="24"/>
        </w:rPr>
        <w:t xml:space="preserve"> de </w:t>
      </w:r>
      <w:proofErr w:type="spellStart"/>
      <w:r>
        <w:rPr>
          <w:rFonts w:ascii="Arial" w:hAnsi="Arial" w:cs="Arial"/>
          <w:b/>
          <w:sz w:val="24"/>
          <w:szCs w:val="24"/>
        </w:rPr>
        <w:t>consum</w:t>
      </w:r>
      <w:proofErr w:type="spellEnd"/>
    </w:p>
    <w:p w:rsidR="002A24B8" w:rsidRDefault="002A24B8" w:rsidP="00B605F2">
      <w:pPr>
        <w:rPr>
          <w:rFonts w:ascii="Arial" w:hAnsi="Arial" w:cs="Arial"/>
          <w:b/>
          <w:sz w:val="24"/>
          <w:szCs w:val="24"/>
        </w:rPr>
      </w:pPr>
    </w:p>
    <w:p w:rsidR="002A24B8" w:rsidRDefault="002A24B8" w:rsidP="00B605F2">
      <w:pPr>
        <w:rPr>
          <w:rFonts w:ascii="Arial" w:hAnsi="Arial" w:cs="Arial"/>
          <w:sz w:val="24"/>
          <w:szCs w:val="24"/>
        </w:rPr>
      </w:pPr>
      <w:r>
        <w:rPr>
          <w:rFonts w:ascii="Arial" w:hAnsi="Arial" w:cs="Arial"/>
          <w:b/>
          <w:sz w:val="24"/>
          <w:szCs w:val="24"/>
        </w:rPr>
        <w:t xml:space="preserve">      </w:t>
      </w:r>
      <w:r w:rsidRPr="00F84315">
        <w:rPr>
          <w:rFonts w:ascii="Arial" w:hAnsi="Arial" w:cs="Arial"/>
          <w:sz w:val="24"/>
          <w:szCs w:val="24"/>
        </w:rPr>
        <w:t xml:space="preserve">X.3.1. </w:t>
      </w:r>
      <w:proofErr w:type="spellStart"/>
      <w:r w:rsidRPr="00F84315">
        <w:rPr>
          <w:rFonts w:ascii="Arial" w:hAnsi="Arial" w:cs="Arial"/>
          <w:sz w:val="24"/>
          <w:szCs w:val="24"/>
        </w:rPr>
        <w:t>Emisii</w:t>
      </w:r>
      <w:proofErr w:type="spellEnd"/>
      <w:r w:rsidRPr="00F84315">
        <w:rPr>
          <w:rFonts w:ascii="Arial" w:hAnsi="Arial" w:cs="Arial"/>
          <w:sz w:val="24"/>
          <w:szCs w:val="24"/>
        </w:rPr>
        <w:t xml:space="preserve"> de gaze cu </w:t>
      </w:r>
      <w:proofErr w:type="spellStart"/>
      <w:r>
        <w:rPr>
          <w:rFonts w:ascii="Arial" w:hAnsi="Arial" w:cs="Arial"/>
          <w:sz w:val="24"/>
          <w:szCs w:val="24"/>
        </w:rPr>
        <w:t>ef</w:t>
      </w:r>
      <w:r w:rsidRPr="00F84315">
        <w:rPr>
          <w:rFonts w:ascii="Arial" w:hAnsi="Arial" w:cs="Arial"/>
          <w:sz w:val="24"/>
          <w:szCs w:val="24"/>
        </w:rPr>
        <w:t>ect</w:t>
      </w:r>
      <w:proofErr w:type="spellEnd"/>
      <w:r w:rsidRPr="00F84315">
        <w:rPr>
          <w:rFonts w:ascii="Arial" w:hAnsi="Arial" w:cs="Arial"/>
          <w:sz w:val="24"/>
          <w:szCs w:val="24"/>
        </w:rPr>
        <w:t xml:space="preserve"> de sera din </w:t>
      </w:r>
      <w:proofErr w:type="spellStart"/>
      <w:r w:rsidRPr="00F84315">
        <w:rPr>
          <w:rFonts w:ascii="Arial" w:hAnsi="Arial" w:cs="Arial"/>
          <w:sz w:val="24"/>
          <w:szCs w:val="24"/>
        </w:rPr>
        <w:t>sectorul</w:t>
      </w:r>
      <w:proofErr w:type="spellEnd"/>
      <w:r w:rsidRPr="00F84315">
        <w:rPr>
          <w:rFonts w:ascii="Arial" w:hAnsi="Arial" w:cs="Arial"/>
          <w:sz w:val="24"/>
          <w:szCs w:val="24"/>
        </w:rPr>
        <w:t xml:space="preserve"> residential</w:t>
      </w:r>
    </w:p>
    <w:p w:rsidR="00EF24D3" w:rsidRDefault="00EF24D3" w:rsidP="00B605F2">
      <w:pPr>
        <w:rPr>
          <w:rFonts w:ascii="Arial" w:hAnsi="Arial" w:cs="Arial"/>
          <w:sz w:val="24"/>
          <w:szCs w:val="24"/>
        </w:rPr>
      </w:pPr>
    </w:p>
    <w:p w:rsidR="00EF24D3" w:rsidRDefault="00EF24D3" w:rsidP="00B605F2">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B605F2">
      <w:pPr>
        <w:rPr>
          <w:rFonts w:ascii="Arial" w:hAnsi="Arial" w:cs="Arial"/>
          <w:sz w:val="24"/>
          <w:szCs w:val="24"/>
        </w:rPr>
      </w:pPr>
    </w:p>
    <w:p w:rsidR="002A24B8" w:rsidRDefault="002A24B8" w:rsidP="00B605F2">
      <w:pPr>
        <w:rPr>
          <w:rFonts w:ascii="Arial" w:hAnsi="Arial" w:cs="Arial"/>
          <w:sz w:val="24"/>
          <w:szCs w:val="24"/>
        </w:rPr>
      </w:pPr>
      <w:r w:rsidRPr="00F84315">
        <w:rPr>
          <w:rFonts w:ascii="Arial" w:hAnsi="Arial" w:cs="Arial"/>
          <w:sz w:val="24"/>
          <w:szCs w:val="24"/>
        </w:rPr>
        <w:lastRenderedPageBreak/>
        <w:t xml:space="preserve">      X.3.2. </w:t>
      </w:r>
      <w:proofErr w:type="spellStart"/>
      <w:r w:rsidRPr="00F84315">
        <w:rPr>
          <w:rFonts w:ascii="Arial" w:hAnsi="Arial" w:cs="Arial"/>
          <w:sz w:val="24"/>
          <w:szCs w:val="24"/>
        </w:rPr>
        <w:t>Consumul</w:t>
      </w:r>
      <w:proofErr w:type="spellEnd"/>
      <w:r w:rsidRPr="00F84315">
        <w:rPr>
          <w:rFonts w:ascii="Arial" w:hAnsi="Arial" w:cs="Arial"/>
          <w:sz w:val="24"/>
          <w:szCs w:val="24"/>
        </w:rPr>
        <w:t xml:space="preserve"> de </w:t>
      </w:r>
      <w:proofErr w:type="spellStart"/>
      <w:r w:rsidRPr="00F84315">
        <w:rPr>
          <w:rFonts w:ascii="Arial" w:hAnsi="Arial" w:cs="Arial"/>
          <w:sz w:val="24"/>
          <w:szCs w:val="24"/>
        </w:rPr>
        <w:t>energie</w:t>
      </w:r>
      <w:proofErr w:type="spellEnd"/>
      <w:r w:rsidRPr="00F84315">
        <w:rPr>
          <w:rFonts w:ascii="Arial" w:hAnsi="Arial" w:cs="Arial"/>
          <w:sz w:val="24"/>
          <w:szCs w:val="24"/>
        </w:rPr>
        <w:t xml:space="preserve"> </w:t>
      </w:r>
      <w:proofErr w:type="spellStart"/>
      <w:r w:rsidRPr="00F84315">
        <w:rPr>
          <w:rFonts w:ascii="Arial" w:hAnsi="Arial" w:cs="Arial"/>
          <w:sz w:val="24"/>
          <w:szCs w:val="24"/>
        </w:rPr>
        <w:t>pe</w:t>
      </w:r>
      <w:proofErr w:type="spellEnd"/>
      <w:r w:rsidRPr="00F84315">
        <w:rPr>
          <w:rFonts w:ascii="Arial" w:hAnsi="Arial" w:cs="Arial"/>
          <w:sz w:val="24"/>
          <w:szCs w:val="24"/>
        </w:rPr>
        <w:t xml:space="preserve"> cap de </w:t>
      </w:r>
      <w:proofErr w:type="spellStart"/>
      <w:r w:rsidRPr="00F84315">
        <w:rPr>
          <w:rFonts w:ascii="Arial" w:hAnsi="Arial" w:cs="Arial"/>
          <w:sz w:val="24"/>
          <w:szCs w:val="24"/>
        </w:rPr>
        <w:t>locuitor</w:t>
      </w:r>
      <w:proofErr w:type="spellEnd"/>
    </w:p>
    <w:p w:rsidR="00FE09A8" w:rsidRDefault="00FE09A8" w:rsidP="00B605F2">
      <w:pPr>
        <w:rPr>
          <w:rFonts w:ascii="Arial" w:hAnsi="Arial" w:cs="Arial"/>
          <w:sz w:val="24"/>
          <w:szCs w:val="24"/>
        </w:rPr>
      </w:pPr>
    </w:p>
    <w:p w:rsidR="002A24B8" w:rsidRDefault="002A24B8" w:rsidP="00B605F2">
      <w:pPr>
        <w:rPr>
          <w:rFonts w:ascii="Arial" w:hAnsi="Arial" w:cs="Arial"/>
          <w:sz w:val="24"/>
          <w:szCs w:val="24"/>
        </w:rPr>
      </w:pPr>
    </w:p>
    <w:p w:rsidR="002A24B8" w:rsidRDefault="002A24B8" w:rsidP="00B605F2">
      <w:pPr>
        <w:ind w:firstLine="708"/>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B605F2">
      <w:pPr>
        <w:rPr>
          <w:rFonts w:ascii="Arial" w:hAnsi="Arial" w:cs="Arial"/>
          <w:sz w:val="24"/>
          <w:szCs w:val="24"/>
        </w:rPr>
      </w:pPr>
    </w:p>
    <w:p w:rsidR="002A24B8" w:rsidRDefault="002A24B8" w:rsidP="00B605F2">
      <w:pPr>
        <w:rPr>
          <w:rFonts w:ascii="Arial" w:hAnsi="Arial" w:cs="Arial"/>
          <w:sz w:val="24"/>
          <w:szCs w:val="24"/>
        </w:rPr>
      </w:pPr>
      <w:r w:rsidRPr="00F84315">
        <w:rPr>
          <w:rFonts w:ascii="Arial" w:hAnsi="Arial" w:cs="Arial"/>
          <w:sz w:val="24"/>
          <w:szCs w:val="24"/>
        </w:rPr>
        <w:t xml:space="preserve">      X.3.3. </w:t>
      </w:r>
      <w:proofErr w:type="spellStart"/>
      <w:r w:rsidRPr="00F84315">
        <w:rPr>
          <w:rFonts w:ascii="Arial" w:hAnsi="Arial" w:cs="Arial"/>
          <w:sz w:val="24"/>
          <w:szCs w:val="24"/>
        </w:rPr>
        <w:t>Utilizarea</w:t>
      </w:r>
      <w:proofErr w:type="spellEnd"/>
      <w:r w:rsidRPr="00F84315">
        <w:rPr>
          <w:rFonts w:ascii="Arial" w:hAnsi="Arial" w:cs="Arial"/>
          <w:sz w:val="24"/>
          <w:szCs w:val="24"/>
        </w:rPr>
        <w:t xml:space="preserve"> </w:t>
      </w:r>
      <w:proofErr w:type="spellStart"/>
      <w:r w:rsidRPr="00F84315">
        <w:rPr>
          <w:rFonts w:ascii="Arial" w:hAnsi="Arial" w:cs="Arial"/>
          <w:sz w:val="24"/>
          <w:szCs w:val="24"/>
        </w:rPr>
        <w:t>materialelor</w:t>
      </w:r>
      <w:proofErr w:type="spellEnd"/>
    </w:p>
    <w:p w:rsidR="002A24B8" w:rsidRDefault="002A24B8" w:rsidP="00B605F2">
      <w:pPr>
        <w:rPr>
          <w:rFonts w:ascii="Arial" w:hAnsi="Arial" w:cs="Arial"/>
          <w:sz w:val="24"/>
          <w:szCs w:val="24"/>
        </w:rPr>
      </w:pPr>
    </w:p>
    <w:p w:rsidR="002A24B8" w:rsidRDefault="002A24B8" w:rsidP="00B605F2">
      <w:pPr>
        <w:ind w:firstLine="708"/>
        <w:rPr>
          <w:rFonts w:ascii="Arial" w:hAnsi="Arial" w:cs="Arial"/>
          <w:sz w:val="24"/>
          <w:szCs w:val="24"/>
        </w:rPr>
      </w:pPr>
      <w:proofErr w:type="gramStart"/>
      <w:r>
        <w:rPr>
          <w:rFonts w:ascii="Arial" w:hAnsi="Arial" w:cs="Arial"/>
          <w:sz w:val="24"/>
          <w:szCs w:val="24"/>
        </w:rPr>
        <w:t xml:space="preserve">Nu </w:t>
      </w:r>
      <w:proofErr w:type="spellStart"/>
      <w:r>
        <w:rPr>
          <w:rFonts w:ascii="Arial" w:hAnsi="Arial" w:cs="Arial"/>
          <w:sz w:val="24"/>
          <w:szCs w:val="24"/>
        </w:rPr>
        <w:t>deținem</w:t>
      </w:r>
      <w:proofErr w:type="spellEnd"/>
      <w:r>
        <w:rPr>
          <w:rFonts w:ascii="Arial" w:hAnsi="Arial" w:cs="Arial"/>
          <w:sz w:val="24"/>
          <w:szCs w:val="24"/>
        </w:rPr>
        <w:t xml:space="preserve"> date.</w:t>
      </w:r>
      <w:proofErr w:type="gramEnd"/>
    </w:p>
    <w:p w:rsidR="002A24B8" w:rsidRPr="00F84315" w:rsidRDefault="002A24B8" w:rsidP="00B605F2">
      <w:pPr>
        <w:rPr>
          <w:rFonts w:ascii="Arial" w:hAnsi="Arial" w:cs="Arial"/>
          <w:sz w:val="24"/>
          <w:szCs w:val="24"/>
        </w:rPr>
      </w:pPr>
    </w:p>
    <w:p w:rsidR="002A24B8" w:rsidRDefault="002A24B8" w:rsidP="00B605F2">
      <w:pPr>
        <w:rPr>
          <w:rFonts w:ascii="Arial" w:hAnsi="Arial" w:cs="Arial"/>
          <w:b/>
          <w:sz w:val="24"/>
          <w:szCs w:val="24"/>
        </w:rPr>
      </w:pPr>
      <w:r>
        <w:rPr>
          <w:rFonts w:ascii="Arial" w:hAnsi="Arial" w:cs="Arial"/>
          <w:b/>
          <w:sz w:val="24"/>
          <w:szCs w:val="24"/>
        </w:rPr>
        <w:t xml:space="preserve">  </w:t>
      </w:r>
      <w:bookmarkStart w:id="2" w:name="_GoBack"/>
      <w:bookmarkEnd w:id="2"/>
      <w:r>
        <w:rPr>
          <w:rFonts w:ascii="Arial" w:hAnsi="Arial" w:cs="Arial"/>
          <w:b/>
          <w:sz w:val="24"/>
          <w:szCs w:val="24"/>
        </w:rPr>
        <w:t xml:space="preserve">X.4. </w:t>
      </w:r>
      <w:proofErr w:type="spellStart"/>
      <w:proofErr w:type="gramStart"/>
      <w:r>
        <w:rPr>
          <w:rFonts w:ascii="Arial" w:hAnsi="Arial" w:cs="Arial"/>
          <w:b/>
          <w:sz w:val="24"/>
          <w:szCs w:val="24"/>
        </w:rPr>
        <w:t>Prognoze</w:t>
      </w:r>
      <w:proofErr w:type="spellEnd"/>
      <w:r>
        <w:rPr>
          <w:rFonts w:ascii="Arial" w:hAnsi="Arial" w:cs="Arial"/>
          <w:b/>
          <w:sz w:val="24"/>
          <w:szCs w:val="24"/>
        </w:rPr>
        <w:t xml:space="preserve"> ,</w:t>
      </w:r>
      <w:proofErr w:type="gramEnd"/>
      <w:r>
        <w:rPr>
          <w:rFonts w:ascii="Arial" w:hAnsi="Arial" w:cs="Arial"/>
          <w:b/>
          <w:sz w:val="24"/>
          <w:szCs w:val="24"/>
        </w:rPr>
        <w:t xml:space="preserve"> </w:t>
      </w:r>
      <w:proofErr w:type="spellStart"/>
      <w:r>
        <w:rPr>
          <w:rFonts w:ascii="Arial" w:hAnsi="Arial" w:cs="Arial"/>
          <w:b/>
          <w:sz w:val="24"/>
          <w:szCs w:val="24"/>
        </w:rPr>
        <w:t>politici</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măsuri</w:t>
      </w:r>
      <w:proofErr w:type="spellEnd"/>
      <w:r>
        <w:rPr>
          <w:rFonts w:ascii="Arial" w:hAnsi="Arial" w:cs="Arial"/>
          <w:b/>
          <w:sz w:val="24"/>
          <w:szCs w:val="24"/>
        </w:rPr>
        <w:t xml:space="preserve"> </w:t>
      </w:r>
      <w:proofErr w:type="spellStart"/>
      <w:r>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consumul</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mediul</w:t>
      </w:r>
      <w:proofErr w:type="spellEnd"/>
      <w:r>
        <w:rPr>
          <w:rFonts w:ascii="Arial" w:hAnsi="Arial" w:cs="Arial"/>
          <w:b/>
          <w:sz w:val="24"/>
          <w:szCs w:val="24"/>
        </w:rPr>
        <w:t xml:space="preserve"> </w:t>
      </w:r>
    </w:p>
    <w:p w:rsidR="002A24B8" w:rsidRDefault="002A24B8" w:rsidP="00B605F2">
      <w:pPr>
        <w:rPr>
          <w:rFonts w:ascii="Arial" w:hAnsi="Arial" w:cs="Arial"/>
          <w:b/>
          <w:sz w:val="24"/>
          <w:szCs w:val="24"/>
        </w:rPr>
      </w:pPr>
      <w:r>
        <w:rPr>
          <w:rFonts w:ascii="Arial" w:hAnsi="Arial" w:cs="Arial"/>
          <w:b/>
          <w:sz w:val="24"/>
          <w:szCs w:val="24"/>
        </w:rPr>
        <w:tab/>
      </w:r>
    </w:p>
    <w:p w:rsidR="002A24B8" w:rsidRPr="00EE3C54" w:rsidRDefault="002A24B8" w:rsidP="00B605F2">
      <w:pPr>
        <w:rPr>
          <w:rFonts w:ascii="Arial" w:hAnsi="Arial" w:cs="Arial"/>
          <w:sz w:val="24"/>
          <w:szCs w:val="24"/>
        </w:rPr>
      </w:pPr>
      <w:r>
        <w:rPr>
          <w:rFonts w:ascii="Arial" w:hAnsi="Arial" w:cs="Arial"/>
          <w:b/>
          <w:sz w:val="24"/>
          <w:szCs w:val="24"/>
        </w:rPr>
        <w:tab/>
      </w:r>
      <w:proofErr w:type="gramStart"/>
      <w:r w:rsidRPr="00EE3C54">
        <w:rPr>
          <w:rFonts w:ascii="Arial" w:hAnsi="Arial" w:cs="Arial"/>
          <w:sz w:val="24"/>
          <w:szCs w:val="24"/>
        </w:rPr>
        <w:t xml:space="preserve">Nu </w:t>
      </w:r>
      <w:proofErr w:type="spellStart"/>
      <w:r w:rsidRPr="00EE3C54">
        <w:rPr>
          <w:rFonts w:ascii="Arial" w:hAnsi="Arial" w:cs="Arial"/>
          <w:sz w:val="24"/>
          <w:szCs w:val="24"/>
        </w:rPr>
        <w:t>deținem</w:t>
      </w:r>
      <w:proofErr w:type="spellEnd"/>
      <w:r w:rsidRPr="00EE3C54">
        <w:rPr>
          <w:rFonts w:ascii="Arial" w:hAnsi="Arial" w:cs="Arial"/>
          <w:sz w:val="24"/>
          <w:szCs w:val="24"/>
        </w:rPr>
        <w:t xml:space="preserve"> date.</w:t>
      </w:r>
      <w:proofErr w:type="gramEnd"/>
      <w:r w:rsidRPr="00EE3C54">
        <w:rPr>
          <w:rFonts w:ascii="Arial" w:hAnsi="Arial" w:cs="Arial"/>
          <w:sz w:val="24"/>
          <w:szCs w:val="24"/>
        </w:rPr>
        <w:t xml:space="preserve"> </w:t>
      </w:r>
    </w:p>
    <w:p w:rsidR="00413154" w:rsidRDefault="002A24B8">
      <w:r>
        <w:rPr>
          <w:rFonts w:ascii="Arial" w:hAnsi="Arial" w:cs="Arial"/>
          <w:b/>
          <w:sz w:val="24"/>
          <w:szCs w:val="24"/>
        </w:rPr>
        <w:t xml:space="preserve">  </w:t>
      </w:r>
    </w:p>
    <w:sectPr w:rsidR="00413154" w:rsidSect="00C07F6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BA" w:rsidRDefault="008249BA" w:rsidP="00B13A56">
      <w:r>
        <w:separator/>
      </w:r>
    </w:p>
  </w:endnote>
  <w:endnote w:type="continuationSeparator" w:id="0">
    <w:p w:rsidR="008249BA" w:rsidRDefault="008249BA" w:rsidP="00B1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BA" w:rsidRDefault="008249BA" w:rsidP="00B13A56">
      <w:r>
        <w:separator/>
      </w:r>
    </w:p>
  </w:footnote>
  <w:footnote w:type="continuationSeparator" w:id="0">
    <w:p w:rsidR="008249BA" w:rsidRDefault="008249BA" w:rsidP="00B1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485379"/>
    <w:multiLevelType w:val="hybridMultilevel"/>
    <w:tmpl w:val="38DA7FB0"/>
    <w:lvl w:ilvl="0" w:tplc="FFFFFFFF">
      <w:start w:val="1"/>
      <w:numFmt w:val="bullet"/>
      <w:lvlText w:val=""/>
      <w:lvlJc w:val="left"/>
      <w:pPr>
        <w:tabs>
          <w:tab w:val="num" w:pos="0"/>
        </w:tabs>
        <w:ind w:left="397" w:hanging="397"/>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C256FF"/>
    <w:multiLevelType w:val="hybridMultilevel"/>
    <w:tmpl w:val="7F1A7D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191268"/>
    <w:multiLevelType w:val="hybridMultilevel"/>
    <w:tmpl w:val="829E78AC"/>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2493"/>
        </w:tabs>
        <w:ind w:left="2493" w:hanging="360"/>
      </w:pPr>
      <w:rPr>
        <w:rFonts w:ascii="Wingdings" w:hAnsi="Wingdings" w:hint="default"/>
      </w:rPr>
    </w:lvl>
    <w:lvl w:ilvl="3" w:tplc="04090001" w:tentative="1">
      <w:start w:val="1"/>
      <w:numFmt w:val="bullet"/>
      <w:lvlText w:val=""/>
      <w:lvlJc w:val="left"/>
      <w:pPr>
        <w:tabs>
          <w:tab w:val="num" w:pos="3213"/>
        </w:tabs>
        <w:ind w:left="3213" w:hanging="360"/>
      </w:pPr>
      <w:rPr>
        <w:rFonts w:ascii="Symbol" w:hAnsi="Symbol" w:hint="default"/>
      </w:rPr>
    </w:lvl>
    <w:lvl w:ilvl="4" w:tplc="04090003" w:tentative="1">
      <w:start w:val="1"/>
      <w:numFmt w:val="bullet"/>
      <w:lvlText w:val="o"/>
      <w:lvlJc w:val="left"/>
      <w:pPr>
        <w:tabs>
          <w:tab w:val="num" w:pos="3933"/>
        </w:tabs>
        <w:ind w:left="3933" w:hanging="360"/>
      </w:pPr>
      <w:rPr>
        <w:rFonts w:ascii="Courier New" w:hAnsi="Courier New" w:cs="Courier New" w:hint="default"/>
      </w:rPr>
    </w:lvl>
    <w:lvl w:ilvl="5" w:tplc="04090005" w:tentative="1">
      <w:start w:val="1"/>
      <w:numFmt w:val="bullet"/>
      <w:lvlText w:val=""/>
      <w:lvlJc w:val="left"/>
      <w:pPr>
        <w:tabs>
          <w:tab w:val="num" w:pos="4653"/>
        </w:tabs>
        <w:ind w:left="4653" w:hanging="360"/>
      </w:pPr>
      <w:rPr>
        <w:rFonts w:ascii="Wingdings" w:hAnsi="Wingdings" w:hint="default"/>
      </w:rPr>
    </w:lvl>
    <w:lvl w:ilvl="6" w:tplc="04090001" w:tentative="1">
      <w:start w:val="1"/>
      <w:numFmt w:val="bullet"/>
      <w:lvlText w:val=""/>
      <w:lvlJc w:val="left"/>
      <w:pPr>
        <w:tabs>
          <w:tab w:val="num" w:pos="5373"/>
        </w:tabs>
        <w:ind w:left="5373" w:hanging="360"/>
      </w:pPr>
      <w:rPr>
        <w:rFonts w:ascii="Symbol" w:hAnsi="Symbol" w:hint="default"/>
      </w:rPr>
    </w:lvl>
    <w:lvl w:ilvl="7" w:tplc="04090003" w:tentative="1">
      <w:start w:val="1"/>
      <w:numFmt w:val="bullet"/>
      <w:lvlText w:val="o"/>
      <w:lvlJc w:val="left"/>
      <w:pPr>
        <w:tabs>
          <w:tab w:val="num" w:pos="6093"/>
        </w:tabs>
        <w:ind w:left="6093" w:hanging="360"/>
      </w:pPr>
      <w:rPr>
        <w:rFonts w:ascii="Courier New" w:hAnsi="Courier New" w:cs="Courier New" w:hint="default"/>
      </w:rPr>
    </w:lvl>
    <w:lvl w:ilvl="8" w:tplc="04090005" w:tentative="1">
      <w:start w:val="1"/>
      <w:numFmt w:val="bullet"/>
      <w:lvlText w:val=""/>
      <w:lvlJc w:val="left"/>
      <w:pPr>
        <w:tabs>
          <w:tab w:val="num" w:pos="6813"/>
        </w:tabs>
        <w:ind w:left="6813" w:hanging="360"/>
      </w:pPr>
      <w:rPr>
        <w:rFonts w:ascii="Wingdings" w:hAnsi="Wingdings" w:hint="default"/>
      </w:rPr>
    </w:lvl>
  </w:abstractNum>
  <w:abstractNum w:abstractNumId="4">
    <w:nsid w:val="18EA7A68"/>
    <w:multiLevelType w:val="hybridMultilevel"/>
    <w:tmpl w:val="7A2A25A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EB128A0"/>
    <w:multiLevelType w:val="hybridMultilevel"/>
    <w:tmpl w:val="744E46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ED16DD5"/>
    <w:multiLevelType w:val="hybridMultilevel"/>
    <w:tmpl w:val="AE78B51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7F82046"/>
    <w:multiLevelType w:val="hybridMultilevel"/>
    <w:tmpl w:val="97E475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EFD576F"/>
    <w:multiLevelType w:val="hybridMultilevel"/>
    <w:tmpl w:val="0BF631A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0D514E6"/>
    <w:multiLevelType w:val="hybridMultilevel"/>
    <w:tmpl w:val="E5A8FA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519305E"/>
    <w:multiLevelType w:val="hybridMultilevel"/>
    <w:tmpl w:val="80441D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35A37434"/>
    <w:multiLevelType w:val="hybridMultilevel"/>
    <w:tmpl w:val="127EB8A6"/>
    <w:lvl w:ilvl="0" w:tplc="2168EEE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2">
    <w:nsid w:val="394011F9"/>
    <w:multiLevelType w:val="hybridMultilevel"/>
    <w:tmpl w:val="7ACA1E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39C265B"/>
    <w:multiLevelType w:val="hybridMultilevel"/>
    <w:tmpl w:val="4DBC915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709A0F3E"/>
    <w:multiLevelType w:val="hybridMultilevel"/>
    <w:tmpl w:val="66041B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7"/>
  </w:num>
  <w:num w:numId="5">
    <w:abstractNumId w:val="4"/>
  </w:num>
  <w:num w:numId="6">
    <w:abstractNumId w:val="9"/>
  </w:num>
  <w:num w:numId="7">
    <w:abstractNumId w:val="5"/>
  </w:num>
  <w:num w:numId="8">
    <w:abstractNumId w:val="10"/>
  </w:num>
  <w:num w:numId="9">
    <w:abstractNumId w:val="6"/>
  </w:num>
  <w:num w:numId="10">
    <w:abstractNumId w:val="12"/>
  </w:num>
  <w:num w:numId="11">
    <w:abstractNumId w:val="1"/>
  </w:num>
  <w:num w:numId="12">
    <w:abstractNumId w:val="11"/>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B8"/>
    <w:rsid w:val="000056D1"/>
    <w:rsid w:val="00080869"/>
    <w:rsid w:val="00085DD6"/>
    <w:rsid w:val="00205133"/>
    <w:rsid w:val="00252284"/>
    <w:rsid w:val="00290DFE"/>
    <w:rsid w:val="002A24B8"/>
    <w:rsid w:val="003A6B3D"/>
    <w:rsid w:val="003C7DAE"/>
    <w:rsid w:val="00413154"/>
    <w:rsid w:val="004A0CF8"/>
    <w:rsid w:val="004A3864"/>
    <w:rsid w:val="004D0903"/>
    <w:rsid w:val="00517EDD"/>
    <w:rsid w:val="005543C2"/>
    <w:rsid w:val="00643610"/>
    <w:rsid w:val="0068519D"/>
    <w:rsid w:val="00690CDE"/>
    <w:rsid w:val="00755C84"/>
    <w:rsid w:val="00784954"/>
    <w:rsid w:val="00791582"/>
    <w:rsid w:val="007B1FA9"/>
    <w:rsid w:val="00810E6C"/>
    <w:rsid w:val="008249BA"/>
    <w:rsid w:val="00825921"/>
    <w:rsid w:val="00853CAE"/>
    <w:rsid w:val="008A76C7"/>
    <w:rsid w:val="008F4B12"/>
    <w:rsid w:val="00955E27"/>
    <w:rsid w:val="00A63ECA"/>
    <w:rsid w:val="00A9535D"/>
    <w:rsid w:val="00AA3174"/>
    <w:rsid w:val="00AD4BC7"/>
    <w:rsid w:val="00B13A56"/>
    <w:rsid w:val="00B2024C"/>
    <w:rsid w:val="00B605F2"/>
    <w:rsid w:val="00B74F67"/>
    <w:rsid w:val="00B83EFC"/>
    <w:rsid w:val="00B94654"/>
    <w:rsid w:val="00BB02CC"/>
    <w:rsid w:val="00C07F6B"/>
    <w:rsid w:val="00CB0CCB"/>
    <w:rsid w:val="00CC5A3F"/>
    <w:rsid w:val="00CD6E07"/>
    <w:rsid w:val="00CE5580"/>
    <w:rsid w:val="00D128E6"/>
    <w:rsid w:val="00D41DF8"/>
    <w:rsid w:val="00D46E54"/>
    <w:rsid w:val="00D80EDF"/>
    <w:rsid w:val="00D93F55"/>
    <w:rsid w:val="00DB3A8D"/>
    <w:rsid w:val="00DE0D7D"/>
    <w:rsid w:val="00E377AB"/>
    <w:rsid w:val="00EF19DC"/>
    <w:rsid w:val="00EF24D3"/>
    <w:rsid w:val="00F35691"/>
    <w:rsid w:val="00FC0BB6"/>
    <w:rsid w:val="00FE09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 w:type="paragraph" w:styleId="Title">
    <w:name w:val="Title"/>
    <w:basedOn w:val="Normal"/>
    <w:link w:val="TitleChar"/>
    <w:qFormat/>
    <w:rsid w:val="00B13A56"/>
    <w:pPr>
      <w:jc w:val="center"/>
    </w:pPr>
    <w:rPr>
      <w:rFonts w:ascii="Arial" w:hAnsi="Arial" w:cs="Arial"/>
      <w:b/>
      <w:bCs/>
      <w:sz w:val="32"/>
      <w:lang w:val="ro-RO" w:eastAsia="en-US"/>
    </w:rPr>
  </w:style>
  <w:style w:type="character" w:customStyle="1" w:styleId="TitleChar">
    <w:name w:val="Title Char"/>
    <w:basedOn w:val="DefaultParagraphFont"/>
    <w:link w:val="Title"/>
    <w:rsid w:val="00B13A56"/>
    <w:rPr>
      <w:rFonts w:ascii="Arial" w:eastAsia="Times New Roman" w:hAnsi="Arial" w:cs="Arial"/>
      <w:b/>
      <w:bCs/>
      <w:sz w:val="32"/>
      <w:szCs w:val="20"/>
    </w:rPr>
  </w:style>
  <w:style w:type="paragraph" w:styleId="BodyTextIndent">
    <w:name w:val="Body Text Indent"/>
    <w:basedOn w:val="Normal"/>
    <w:link w:val="BodyTextIndentChar"/>
    <w:rsid w:val="00B13A56"/>
    <w:pPr>
      <w:spacing w:line="480" w:lineRule="auto"/>
      <w:ind w:firstLine="720"/>
      <w:jc w:val="center"/>
    </w:pPr>
    <w:rPr>
      <w:b/>
      <w:sz w:val="40"/>
      <w:lang w:val="ro-RO" w:eastAsia="en-US"/>
    </w:rPr>
  </w:style>
  <w:style w:type="character" w:customStyle="1" w:styleId="BodyTextIndentChar">
    <w:name w:val="Body Text Indent Char"/>
    <w:basedOn w:val="DefaultParagraphFont"/>
    <w:link w:val="BodyTextIndent"/>
    <w:rsid w:val="00B13A56"/>
    <w:rPr>
      <w:rFonts w:ascii="Times New Roman" w:eastAsia="Times New Roman" w:hAnsi="Times New Roman" w:cs="Times New Roman"/>
      <w:b/>
      <w:sz w:val="40"/>
      <w:szCs w:val="20"/>
    </w:rPr>
  </w:style>
  <w:style w:type="paragraph" w:styleId="BodyTextIndent2">
    <w:name w:val="Body Text Indent 2"/>
    <w:basedOn w:val="Normal"/>
    <w:link w:val="BodyTextIndent2Char"/>
    <w:rsid w:val="00B13A56"/>
    <w:pPr>
      <w:ind w:firstLine="851"/>
      <w:jc w:val="both"/>
    </w:pPr>
    <w:rPr>
      <w:sz w:val="24"/>
      <w:lang w:val="ro-RO" w:eastAsia="en-US"/>
    </w:rPr>
  </w:style>
  <w:style w:type="character" w:customStyle="1" w:styleId="BodyTextIndent2Char">
    <w:name w:val="Body Text Indent 2 Char"/>
    <w:basedOn w:val="DefaultParagraphFont"/>
    <w:link w:val="BodyTextIndent2"/>
    <w:rsid w:val="00B13A56"/>
    <w:rPr>
      <w:rFonts w:ascii="Times New Roman" w:eastAsia="Times New Roman" w:hAnsi="Times New Roman" w:cs="Times New Roman"/>
      <w:sz w:val="24"/>
      <w:szCs w:val="20"/>
    </w:rPr>
  </w:style>
  <w:style w:type="paragraph" w:styleId="FootnoteText">
    <w:name w:val="footnote text"/>
    <w:basedOn w:val="Normal"/>
    <w:link w:val="FootnoteTextChar"/>
    <w:semiHidden/>
    <w:rsid w:val="00B13A56"/>
    <w:rPr>
      <w:lang w:val="ro-RO" w:eastAsia="en-GB"/>
    </w:rPr>
  </w:style>
  <w:style w:type="character" w:customStyle="1" w:styleId="FootnoteTextChar">
    <w:name w:val="Footnote Text Char"/>
    <w:basedOn w:val="DefaultParagraphFont"/>
    <w:link w:val="FootnoteText"/>
    <w:semiHidden/>
    <w:rsid w:val="00B13A56"/>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B8"/>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4B8"/>
    <w:pPr>
      <w:ind w:left="720"/>
      <w:contextualSpacing/>
    </w:pPr>
  </w:style>
  <w:style w:type="paragraph" w:styleId="BalloonText">
    <w:name w:val="Balloon Text"/>
    <w:basedOn w:val="Normal"/>
    <w:link w:val="BalloonTextChar"/>
    <w:uiPriority w:val="99"/>
    <w:semiHidden/>
    <w:unhideWhenUsed/>
    <w:rsid w:val="002A24B8"/>
    <w:rPr>
      <w:rFonts w:ascii="Tahoma" w:hAnsi="Tahoma" w:cs="Tahoma"/>
      <w:sz w:val="16"/>
      <w:szCs w:val="16"/>
    </w:rPr>
  </w:style>
  <w:style w:type="character" w:customStyle="1" w:styleId="BalloonTextChar">
    <w:name w:val="Balloon Text Char"/>
    <w:basedOn w:val="DefaultParagraphFont"/>
    <w:link w:val="BalloonText"/>
    <w:uiPriority w:val="99"/>
    <w:semiHidden/>
    <w:rsid w:val="002A24B8"/>
    <w:rPr>
      <w:rFonts w:ascii="Tahoma" w:eastAsia="Times New Roman" w:hAnsi="Tahoma" w:cs="Tahoma"/>
      <w:sz w:val="16"/>
      <w:szCs w:val="16"/>
      <w:lang w:val="en-US" w:eastAsia="ro-RO"/>
    </w:rPr>
  </w:style>
  <w:style w:type="paragraph" w:styleId="Title">
    <w:name w:val="Title"/>
    <w:basedOn w:val="Normal"/>
    <w:link w:val="TitleChar"/>
    <w:qFormat/>
    <w:rsid w:val="00B13A56"/>
    <w:pPr>
      <w:jc w:val="center"/>
    </w:pPr>
    <w:rPr>
      <w:rFonts w:ascii="Arial" w:hAnsi="Arial" w:cs="Arial"/>
      <w:b/>
      <w:bCs/>
      <w:sz w:val="32"/>
      <w:lang w:val="ro-RO" w:eastAsia="en-US"/>
    </w:rPr>
  </w:style>
  <w:style w:type="character" w:customStyle="1" w:styleId="TitleChar">
    <w:name w:val="Title Char"/>
    <w:basedOn w:val="DefaultParagraphFont"/>
    <w:link w:val="Title"/>
    <w:rsid w:val="00B13A56"/>
    <w:rPr>
      <w:rFonts w:ascii="Arial" w:eastAsia="Times New Roman" w:hAnsi="Arial" w:cs="Arial"/>
      <w:b/>
      <w:bCs/>
      <w:sz w:val="32"/>
      <w:szCs w:val="20"/>
    </w:rPr>
  </w:style>
  <w:style w:type="paragraph" w:styleId="BodyTextIndent">
    <w:name w:val="Body Text Indent"/>
    <w:basedOn w:val="Normal"/>
    <w:link w:val="BodyTextIndentChar"/>
    <w:rsid w:val="00B13A56"/>
    <w:pPr>
      <w:spacing w:line="480" w:lineRule="auto"/>
      <w:ind w:firstLine="720"/>
      <w:jc w:val="center"/>
    </w:pPr>
    <w:rPr>
      <w:b/>
      <w:sz w:val="40"/>
      <w:lang w:val="ro-RO" w:eastAsia="en-US"/>
    </w:rPr>
  </w:style>
  <w:style w:type="character" w:customStyle="1" w:styleId="BodyTextIndentChar">
    <w:name w:val="Body Text Indent Char"/>
    <w:basedOn w:val="DefaultParagraphFont"/>
    <w:link w:val="BodyTextIndent"/>
    <w:rsid w:val="00B13A56"/>
    <w:rPr>
      <w:rFonts w:ascii="Times New Roman" w:eastAsia="Times New Roman" w:hAnsi="Times New Roman" w:cs="Times New Roman"/>
      <w:b/>
      <w:sz w:val="40"/>
      <w:szCs w:val="20"/>
    </w:rPr>
  </w:style>
  <w:style w:type="paragraph" w:styleId="BodyTextIndent2">
    <w:name w:val="Body Text Indent 2"/>
    <w:basedOn w:val="Normal"/>
    <w:link w:val="BodyTextIndent2Char"/>
    <w:rsid w:val="00B13A56"/>
    <w:pPr>
      <w:ind w:firstLine="851"/>
      <w:jc w:val="both"/>
    </w:pPr>
    <w:rPr>
      <w:sz w:val="24"/>
      <w:lang w:val="ro-RO" w:eastAsia="en-US"/>
    </w:rPr>
  </w:style>
  <w:style w:type="character" w:customStyle="1" w:styleId="BodyTextIndent2Char">
    <w:name w:val="Body Text Indent 2 Char"/>
    <w:basedOn w:val="DefaultParagraphFont"/>
    <w:link w:val="BodyTextIndent2"/>
    <w:rsid w:val="00B13A56"/>
    <w:rPr>
      <w:rFonts w:ascii="Times New Roman" w:eastAsia="Times New Roman" w:hAnsi="Times New Roman" w:cs="Times New Roman"/>
      <w:sz w:val="24"/>
      <w:szCs w:val="20"/>
    </w:rPr>
  </w:style>
  <w:style w:type="paragraph" w:styleId="FootnoteText">
    <w:name w:val="footnote text"/>
    <w:basedOn w:val="Normal"/>
    <w:link w:val="FootnoteTextChar"/>
    <w:semiHidden/>
    <w:rsid w:val="00B13A56"/>
    <w:rPr>
      <w:lang w:val="ro-RO" w:eastAsia="en-GB"/>
    </w:rPr>
  </w:style>
  <w:style w:type="character" w:customStyle="1" w:styleId="FootnoteTextChar">
    <w:name w:val="Footnote Text Char"/>
    <w:basedOn w:val="DefaultParagraphFont"/>
    <w:link w:val="FootnoteText"/>
    <w:semiHidden/>
    <w:rsid w:val="00B13A5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5378">
      <w:bodyDiv w:val="1"/>
      <w:marLeft w:val="0"/>
      <w:marRight w:val="0"/>
      <w:marTop w:val="0"/>
      <w:marBottom w:val="0"/>
      <w:divBdr>
        <w:top w:val="none" w:sz="0" w:space="0" w:color="auto"/>
        <w:left w:val="none" w:sz="0" w:space="0" w:color="auto"/>
        <w:bottom w:val="none" w:sz="0" w:space="0" w:color="auto"/>
        <w:right w:val="none" w:sz="0" w:space="0" w:color="auto"/>
      </w:divBdr>
    </w:div>
    <w:div w:id="342367456">
      <w:bodyDiv w:val="1"/>
      <w:marLeft w:val="0"/>
      <w:marRight w:val="0"/>
      <w:marTop w:val="0"/>
      <w:marBottom w:val="0"/>
      <w:divBdr>
        <w:top w:val="none" w:sz="0" w:space="0" w:color="auto"/>
        <w:left w:val="none" w:sz="0" w:space="0" w:color="auto"/>
        <w:bottom w:val="none" w:sz="0" w:space="0" w:color="auto"/>
        <w:right w:val="none" w:sz="0" w:space="0" w:color="auto"/>
      </w:divBdr>
    </w:div>
    <w:div w:id="458107662">
      <w:bodyDiv w:val="1"/>
      <w:marLeft w:val="0"/>
      <w:marRight w:val="0"/>
      <w:marTop w:val="0"/>
      <w:marBottom w:val="0"/>
      <w:divBdr>
        <w:top w:val="none" w:sz="0" w:space="0" w:color="auto"/>
        <w:left w:val="none" w:sz="0" w:space="0" w:color="auto"/>
        <w:bottom w:val="none" w:sz="0" w:space="0" w:color="auto"/>
        <w:right w:val="none" w:sz="0" w:space="0" w:color="auto"/>
      </w:divBdr>
      <w:divsChild>
        <w:div w:id="207451298">
          <w:marLeft w:val="0"/>
          <w:marRight w:val="0"/>
          <w:marTop w:val="0"/>
          <w:marBottom w:val="0"/>
          <w:divBdr>
            <w:top w:val="none" w:sz="0" w:space="0" w:color="auto"/>
            <w:left w:val="none" w:sz="0" w:space="0" w:color="auto"/>
            <w:bottom w:val="none" w:sz="0" w:space="0" w:color="auto"/>
            <w:right w:val="none" w:sz="0" w:space="0" w:color="auto"/>
          </w:divBdr>
        </w:div>
      </w:divsChild>
    </w:div>
    <w:div w:id="561405712">
      <w:bodyDiv w:val="1"/>
      <w:marLeft w:val="0"/>
      <w:marRight w:val="0"/>
      <w:marTop w:val="0"/>
      <w:marBottom w:val="0"/>
      <w:divBdr>
        <w:top w:val="none" w:sz="0" w:space="0" w:color="auto"/>
        <w:left w:val="none" w:sz="0" w:space="0" w:color="auto"/>
        <w:bottom w:val="none" w:sz="0" w:space="0" w:color="auto"/>
        <w:right w:val="none" w:sz="0" w:space="0" w:color="auto"/>
      </w:divBdr>
    </w:div>
    <w:div w:id="1000963428">
      <w:bodyDiv w:val="1"/>
      <w:marLeft w:val="0"/>
      <w:marRight w:val="0"/>
      <w:marTop w:val="0"/>
      <w:marBottom w:val="0"/>
      <w:divBdr>
        <w:top w:val="none" w:sz="0" w:space="0" w:color="auto"/>
        <w:left w:val="none" w:sz="0" w:space="0" w:color="auto"/>
        <w:bottom w:val="none" w:sz="0" w:space="0" w:color="auto"/>
        <w:right w:val="none" w:sz="0" w:space="0" w:color="auto"/>
      </w:divBdr>
    </w:div>
    <w:div w:id="1076440577">
      <w:bodyDiv w:val="1"/>
      <w:marLeft w:val="0"/>
      <w:marRight w:val="0"/>
      <w:marTop w:val="0"/>
      <w:marBottom w:val="0"/>
      <w:divBdr>
        <w:top w:val="none" w:sz="0" w:space="0" w:color="auto"/>
        <w:left w:val="none" w:sz="0" w:space="0" w:color="auto"/>
        <w:bottom w:val="none" w:sz="0" w:space="0" w:color="auto"/>
        <w:right w:val="none" w:sz="0" w:space="0" w:color="auto"/>
      </w:divBdr>
    </w:div>
    <w:div w:id="1406688839">
      <w:bodyDiv w:val="1"/>
      <w:marLeft w:val="0"/>
      <w:marRight w:val="0"/>
      <w:marTop w:val="0"/>
      <w:marBottom w:val="0"/>
      <w:divBdr>
        <w:top w:val="none" w:sz="0" w:space="0" w:color="auto"/>
        <w:left w:val="none" w:sz="0" w:space="0" w:color="auto"/>
        <w:bottom w:val="none" w:sz="0" w:space="0" w:color="auto"/>
        <w:right w:val="none" w:sz="0" w:space="0" w:color="auto"/>
      </w:divBdr>
    </w:div>
    <w:div w:id="1426684969">
      <w:bodyDiv w:val="1"/>
      <w:marLeft w:val="0"/>
      <w:marRight w:val="0"/>
      <w:marTop w:val="0"/>
      <w:marBottom w:val="0"/>
      <w:divBdr>
        <w:top w:val="none" w:sz="0" w:space="0" w:color="auto"/>
        <w:left w:val="none" w:sz="0" w:space="0" w:color="auto"/>
        <w:bottom w:val="none" w:sz="0" w:space="0" w:color="auto"/>
        <w:right w:val="none" w:sz="0" w:space="0" w:color="auto"/>
      </w:divBdr>
      <w:divsChild>
        <w:div w:id="1026560988">
          <w:marLeft w:val="0"/>
          <w:marRight w:val="0"/>
          <w:marTop w:val="150"/>
          <w:marBottom w:val="150"/>
          <w:divBdr>
            <w:top w:val="none" w:sz="0" w:space="0" w:color="auto"/>
            <w:left w:val="none" w:sz="0" w:space="0" w:color="auto"/>
            <w:bottom w:val="none" w:sz="0" w:space="0" w:color="auto"/>
            <w:right w:val="none" w:sz="0" w:space="0" w:color="auto"/>
          </w:divBdr>
        </w:div>
        <w:div w:id="1357925333">
          <w:marLeft w:val="0"/>
          <w:marRight w:val="0"/>
          <w:marTop w:val="0"/>
          <w:marBottom w:val="0"/>
          <w:divBdr>
            <w:top w:val="none" w:sz="0" w:space="0" w:color="auto"/>
            <w:left w:val="none" w:sz="0" w:space="0" w:color="auto"/>
            <w:bottom w:val="none" w:sz="0" w:space="0" w:color="auto"/>
            <w:right w:val="none" w:sz="0" w:space="0" w:color="auto"/>
          </w:divBdr>
        </w:div>
      </w:divsChild>
    </w:div>
    <w:div w:id="1476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7</Pages>
  <Words>1404</Words>
  <Characters>8008</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Merfu</dc:creator>
  <cp:lastModifiedBy>Larisa Bodislav</cp:lastModifiedBy>
  <cp:revision>42</cp:revision>
  <dcterms:created xsi:type="dcterms:W3CDTF">2016-08-02T11:31:00Z</dcterms:created>
  <dcterms:modified xsi:type="dcterms:W3CDTF">2019-08-13T11:32:00Z</dcterms:modified>
</cp:coreProperties>
</file>