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B8" w:rsidRPr="00023B45" w:rsidRDefault="002A24B8" w:rsidP="00023B45">
      <w:pPr>
        <w:jc w:val="center"/>
        <w:rPr>
          <w:rFonts w:ascii="Arial" w:hAnsi="Arial" w:cs="Arial"/>
          <w:b/>
          <w:sz w:val="24"/>
          <w:szCs w:val="24"/>
          <w:lang w:val="ro-RO"/>
        </w:rPr>
      </w:pPr>
      <w:r w:rsidRPr="00023B45">
        <w:rPr>
          <w:rFonts w:ascii="Arial" w:hAnsi="Arial" w:cs="Arial"/>
          <w:b/>
          <w:sz w:val="24"/>
          <w:szCs w:val="24"/>
          <w:lang w:val="ro-RO"/>
        </w:rPr>
        <w:t>X. Consumul și mediul înconjurător</w:t>
      </w:r>
    </w:p>
    <w:p w:rsidR="008A76C7" w:rsidRPr="00023B45" w:rsidRDefault="008A76C7" w:rsidP="002A24B8">
      <w:pPr>
        <w:rPr>
          <w:rFonts w:ascii="Arial" w:hAnsi="Arial" w:cs="Arial"/>
          <w:b/>
          <w:sz w:val="24"/>
          <w:szCs w:val="24"/>
          <w:lang w:val="ro-RO"/>
        </w:rPr>
      </w:pPr>
    </w:p>
    <w:p w:rsidR="002A24B8" w:rsidRPr="00023B45" w:rsidRDefault="002A24B8" w:rsidP="002A24B8">
      <w:pPr>
        <w:rPr>
          <w:rFonts w:ascii="Arial" w:hAnsi="Arial" w:cs="Arial"/>
          <w:b/>
          <w:sz w:val="24"/>
          <w:szCs w:val="24"/>
          <w:lang w:val="ro-RO"/>
        </w:rPr>
      </w:pPr>
      <w:r w:rsidRPr="00023B45">
        <w:rPr>
          <w:rFonts w:ascii="Arial" w:hAnsi="Arial" w:cs="Arial"/>
          <w:b/>
          <w:sz w:val="24"/>
          <w:szCs w:val="24"/>
          <w:lang w:val="ro-RO"/>
        </w:rPr>
        <w:t xml:space="preserve">   X.1.Tendințe în consum</w:t>
      </w:r>
    </w:p>
    <w:p w:rsidR="00444B65" w:rsidRPr="00023B45" w:rsidRDefault="00444B65" w:rsidP="002A24B8">
      <w:pPr>
        <w:rPr>
          <w:rFonts w:ascii="Arial" w:hAnsi="Arial" w:cs="Arial"/>
          <w:b/>
          <w:sz w:val="24"/>
          <w:szCs w:val="24"/>
          <w:lang w:val="ro-RO"/>
        </w:rPr>
      </w:pPr>
    </w:p>
    <w:p w:rsidR="002A24B8" w:rsidRPr="00023B45" w:rsidRDefault="002A24B8" w:rsidP="002A24B8">
      <w:pPr>
        <w:rPr>
          <w:rFonts w:ascii="Arial" w:hAnsi="Arial" w:cs="Arial"/>
          <w:b/>
          <w:sz w:val="24"/>
          <w:szCs w:val="24"/>
          <w:lang w:val="ro-RO"/>
        </w:rPr>
      </w:pPr>
    </w:p>
    <w:p w:rsidR="002A24B8" w:rsidRPr="00023B45" w:rsidRDefault="002A24B8" w:rsidP="00444B65">
      <w:pPr>
        <w:spacing w:line="360" w:lineRule="auto"/>
        <w:ind w:firstLine="708"/>
        <w:jc w:val="both"/>
        <w:rPr>
          <w:rFonts w:ascii="Arial" w:hAnsi="Arial" w:cs="Arial"/>
          <w:sz w:val="24"/>
          <w:szCs w:val="24"/>
          <w:lang w:val="ro-RO"/>
        </w:rPr>
      </w:pPr>
      <w:r w:rsidRPr="00023B45">
        <w:rPr>
          <w:rFonts w:ascii="Arial" w:hAnsi="Arial" w:cs="Arial"/>
          <w:sz w:val="24"/>
          <w:szCs w:val="24"/>
          <w:lang w:val="ro-RO"/>
        </w:rPr>
        <w:t xml:space="preserve">Consumul populaţiei presupune utilizarea bunurilor şi/sau serviciilor în scopul satisfacerii necesităţilor personale.  </w:t>
      </w:r>
    </w:p>
    <w:p w:rsidR="002A24B8" w:rsidRPr="00023B45" w:rsidRDefault="002A24B8" w:rsidP="00444B65">
      <w:pPr>
        <w:spacing w:line="360" w:lineRule="auto"/>
        <w:jc w:val="both"/>
        <w:rPr>
          <w:rFonts w:ascii="Arial" w:hAnsi="Arial" w:cs="Arial"/>
          <w:sz w:val="24"/>
          <w:szCs w:val="24"/>
          <w:lang w:val="ro-RO"/>
        </w:rPr>
      </w:pPr>
      <w:r w:rsidRPr="00023B45">
        <w:rPr>
          <w:rFonts w:ascii="Arial" w:hAnsi="Arial" w:cs="Arial"/>
          <w:sz w:val="24"/>
          <w:szCs w:val="24"/>
          <w:lang w:val="ro-RO"/>
        </w:rPr>
        <w:t xml:space="preserve">Pe măsură ce veniturile cresc, crește consumul și cererea de mai multă hrană și energie, de locuințe mai mari, de bunuri ( electrocasnice, mobilă, autovehicule), produse (detergenți, îmbrăcăminte, încălțăminte) și  transporturi. Un consum mai mare de bunuri și servicii aduce cu sine și un impact semnificativ asupra mediului înconjurător. </w:t>
      </w:r>
      <w:r w:rsidR="00B74F67" w:rsidRPr="00023B45">
        <w:rPr>
          <w:rFonts w:ascii="Arial" w:hAnsi="Arial" w:cs="Arial"/>
          <w:sz w:val="24"/>
          <w:szCs w:val="24"/>
          <w:lang w:val="ro-RO"/>
        </w:rPr>
        <w:t xml:space="preserve">Creștera veniturilor populației duce automat la creșterea consumului. </w:t>
      </w:r>
    </w:p>
    <w:p w:rsidR="00420241" w:rsidRPr="00420241" w:rsidRDefault="00111E24" w:rsidP="00420241">
      <w:pPr>
        <w:spacing w:line="360" w:lineRule="auto"/>
        <w:jc w:val="both"/>
        <w:rPr>
          <w:rFonts w:ascii="Arial" w:hAnsi="Arial" w:cs="Arial"/>
          <w:sz w:val="24"/>
          <w:szCs w:val="24"/>
          <w:lang w:val="ro-RO" w:eastAsia="en-US"/>
        </w:rPr>
      </w:pPr>
      <w:r>
        <w:rPr>
          <w:rFonts w:ascii="Arial" w:hAnsi="Arial" w:cs="Arial"/>
          <w:sz w:val="24"/>
          <w:szCs w:val="24"/>
          <w:lang w:val="ro-RO" w:eastAsia="en-US"/>
        </w:rPr>
        <w:t>Producția industrială</w:t>
      </w:r>
      <w:r w:rsidR="00420241" w:rsidRPr="00420241">
        <w:rPr>
          <w:rFonts w:ascii="Arial" w:hAnsi="Arial" w:cs="Arial"/>
          <w:sz w:val="24"/>
          <w:szCs w:val="24"/>
          <w:lang w:val="ro-RO" w:eastAsia="en-US"/>
        </w:rPr>
        <w:t xml:space="preserve"> realizată în luna noiembrie 2021 a scăzut cu 3,4%  faţă de luna octombrie  2021, a crescut cu  15,4%  faţă de luna noiembrie 2020 şi a crescut cu 22,3%  în perioada 01.I.2021 – 30.XI.2021 faţă de  aceeaşi perioadă a anului 2020.</w:t>
      </w:r>
    </w:p>
    <w:p w:rsidR="00420241" w:rsidRDefault="00420241" w:rsidP="00420241">
      <w:pPr>
        <w:spacing w:line="360" w:lineRule="auto"/>
        <w:jc w:val="both"/>
        <w:rPr>
          <w:rFonts w:ascii="Arial" w:hAnsi="Arial" w:cs="Arial"/>
          <w:sz w:val="24"/>
          <w:szCs w:val="24"/>
          <w:lang w:val="ro-RO" w:eastAsia="en-US"/>
        </w:rPr>
      </w:pPr>
      <w:r w:rsidRPr="00420241">
        <w:rPr>
          <w:rFonts w:ascii="Arial" w:hAnsi="Arial" w:cs="Arial"/>
          <w:sz w:val="24"/>
          <w:szCs w:val="24"/>
          <w:lang w:val="ro-RO" w:eastAsia="en-US"/>
        </w:rPr>
        <w:t>C</w:t>
      </w:r>
      <w:r w:rsidR="00111E24">
        <w:rPr>
          <w:rFonts w:ascii="Arial" w:hAnsi="Arial" w:cs="Arial"/>
          <w:sz w:val="24"/>
          <w:szCs w:val="24"/>
          <w:lang w:val="ro-RO" w:eastAsia="en-US"/>
        </w:rPr>
        <w:t>ifra de afaceri</w:t>
      </w:r>
      <w:r w:rsidRPr="00420241">
        <w:rPr>
          <w:rFonts w:ascii="Arial" w:hAnsi="Arial" w:cs="Arial"/>
          <w:sz w:val="24"/>
          <w:szCs w:val="24"/>
          <w:lang w:val="ro-RO" w:eastAsia="en-US"/>
        </w:rPr>
        <w:t xml:space="preserve"> totală, a întreprinderilor cu activitate principală de industrie, a crescut în luna noiembrie 2021, cu 8,9%  faţă de luna octombrie  2021, a scăzut cu 0,3%  faţă de luna noiembrie 2020 şi a crescut cu 9,8% în perioada 01.I.2021 – 30.XI.2021 faţă de  aceeaşi perioadă a anului 2020. </w:t>
      </w:r>
    </w:p>
    <w:p w:rsidR="00D76B75" w:rsidRDefault="00D76B75" w:rsidP="00444B65">
      <w:pPr>
        <w:spacing w:line="360" w:lineRule="auto"/>
        <w:rPr>
          <w:rFonts w:ascii="Arial" w:hAnsi="Arial" w:cs="Arial"/>
          <w:lang w:val="ro-RO"/>
        </w:rPr>
      </w:pPr>
    </w:p>
    <w:p w:rsidR="00420241" w:rsidRPr="00420241" w:rsidRDefault="00420241" w:rsidP="00420241">
      <w:pPr>
        <w:spacing w:line="360" w:lineRule="auto"/>
        <w:jc w:val="both"/>
        <w:rPr>
          <w:rFonts w:ascii="Arial" w:hAnsi="Arial" w:cs="Arial"/>
          <w:sz w:val="24"/>
          <w:szCs w:val="24"/>
          <w:lang w:val="ro-RO"/>
        </w:rPr>
      </w:pPr>
      <w:r w:rsidRPr="00420241">
        <w:rPr>
          <w:rFonts w:ascii="Arial" w:hAnsi="Arial" w:cs="Arial"/>
          <w:sz w:val="24"/>
          <w:szCs w:val="24"/>
          <w:lang w:val="ro-RO"/>
        </w:rPr>
        <w:t>EXPORTURILE în luna septembrie 2021 au însumat 5485 mii euro, cu 725  mii euro peste  nivelul celor realizate în luna septembrie 2020.</w:t>
      </w:r>
    </w:p>
    <w:p w:rsidR="00420241" w:rsidRPr="00420241" w:rsidRDefault="00420241" w:rsidP="00420241">
      <w:pPr>
        <w:spacing w:line="360" w:lineRule="auto"/>
        <w:jc w:val="both"/>
        <w:rPr>
          <w:rFonts w:ascii="Arial" w:hAnsi="Arial" w:cs="Arial"/>
          <w:sz w:val="24"/>
          <w:szCs w:val="24"/>
          <w:lang w:val="ro-RO"/>
        </w:rPr>
      </w:pPr>
      <w:r w:rsidRPr="00420241">
        <w:rPr>
          <w:rFonts w:ascii="Arial" w:hAnsi="Arial" w:cs="Arial"/>
          <w:sz w:val="24"/>
          <w:szCs w:val="24"/>
          <w:lang w:val="ro-RO"/>
        </w:rPr>
        <w:t>Secţiunile care au înregistrat creşteri sunt: materiale plastice, cauciuc şi articole din acestea (+1543 mii euro), produse alimentare, băuturi, tutun (+545 mii euro), metale comune şi articole din acestea (+181 mii euro), materii textile şi articole din acestea (+60 mii euro),  produse ale industriei chimice şi ale industriilor conexe (+2 mii euro).</w:t>
      </w:r>
    </w:p>
    <w:p w:rsidR="00420241" w:rsidRPr="00420241" w:rsidRDefault="00420241" w:rsidP="00420241">
      <w:pPr>
        <w:spacing w:line="360" w:lineRule="auto"/>
        <w:jc w:val="both"/>
        <w:rPr>
          <w:rFonts w:ascii="Arial" w:hAnsi="Arial" w:cs="Arial"/>
          <w:sz w:val="24"/>
          <w:szCs w:val="24"/>
          <w:lang w:val="ro-RO"/>
        </w:rPr>
      </w:pPr>
      <w:r w:rsidRPr="00420241">
        <w:rPr>
          <w:rFonts w:ascii="Arial" w:hAnsi="Arial" w:cs="Arial"/>
          <w:sz w:val="24"/>
          <w:szCs w:val="24"/>
          <w:lang w:val="ro-RO"/>
        </w:rPr>
        <w:t>Secţiunile care au înregistrat scăderi sunt: mărfuri şi produse diverse (-895 mii euro), mijloace de transport (-267 mii euro),  produse vegetale (-155 mii euro),  produse de lemn, plută  şi împletituri din  nuiele (-121 mii euro), maşini, aparate şi echipamente electrice; aparate de înregistrat sau de reprodus sunetul şi imaginile (-47 mii euro), instrumente şi aparate optice, fotografice, cinematografice, de măsură, de control sau precizie  (-46 mii euro), alte produse nenominalizate în altă parte (-46 mii euro), animale vii şi produse animale (-11 mii euro), produse minerale (-6 mii euro), pastă de lemn, deşeuri de hârtie sau de carton; hârtie şi carton şi articole din acestea (-3 mii euro), încălţăminte, pălării, umbrele şi articole similare   (-3 mii euro),  piei crude, piei tăbăcite, blănuri şi produse din acestea (-2 mii euro),   articole din piatră, ciment, ceramică, sticlă şi din alte materiale similare  (-2 mii euro).</w:t>
      </w:r>
    </w:p>
    <w:p w:rsidR="00420241" w:rsidRDefault="00420241" w:rsidP="00444B65">
      <w:pPr>
        <w:spacing w:line="360" w:lineRule="auto"/>
        <w:rPr>
          <w:rFonts w:ascii="Arial" w:hAnsi="Arial" w:cs="Arial"/>
          <w:lang w:val="ro-RO"/>
        </w:rPr>
      </w:pPr>
    </w:p>
    <w:p w:rsidR="00420241" w:rsidRPr="00420241" w:rsidRDefault="00420241" w:rsidP="00420241">
      <w:pPr>
        <w:spacing w:line="360" w:lineRule="auto"/>
        <w:jc w:val="both"/>
        <w:rPr>
          <w:rFonts w:ascii="Arial" w:hAnsi="Arial" w:cs="Arial"/>
          <w:sz w:val="24"/>
          <w:szCs w:val="24"/>
          <w:lang w:val="ro-RO"/>
        </w:rPr>
      </w:pPr>
      <w:r w:rsidRPr="00420241">
        <w:rPr>
          <w:rFonts w:ascii="Arial" w:hAnsi="Arial" w:cs="Arial"/>
          <w:sz w:val="24"/>
          <w:szCs w:val="24"/>
          <w:lang w:val="ro-RO"/>
        </w:rPr>
        <w:t>IMPORTURILE în luna septembrie 2021 au însumat 6567 mii euro, cu 1876 mii euro peste nivelul celor realizate în luna septembrie 2020.</w:t>
      </w:r>
    </w:p>
    <w:p w:rsidR="00420241" w:rsidRPr="00420241" w:rsidRDefault="00420241" w:rsidP="00420241">
      <w:pPr>
        <w:spacing w:line="360" w:lineRule="auto"/>
        <w:jc w:val="both"/>
        <w:rPr>
          <w:rFonts w:ascii="Arial" w:hAnsi="Arial" w:cs="Arial"/>
          <w:sz w:val="24"/>
          <w:szCs w:val="24"/>
          <w:lang w:val="ro-RO"/>
        </w:rPr>
      </w:pPr>
      <w:r w:rsidRPr="00420241">
        <w:rPr>
          <w:rFonts w:ascii="Arial" w:hAnsi="Arial" w:cs="Arial"/>
          <w:sz w:val="24"/>
          <w:szCs w:val="24"/>
          <w:lang w:val="ro-RO"/>
        </w:rPr>
        <w:t>Secţiunile care au înregistrat creşteri sunt: materii textile şi articole din acestea (+384 mii euro),  metale comune şi articole din acestea (+318 mii euro), mijloace de transport (+270 mii euro), produse vegetale (+267 mii euro), produse ale industriei chimice şi ale industriilor conexe (+238 mii euro), materiale plastice, cauciuc şi articole din acestea (+219 mii euro), produse alimentare, băuturi, tutun (+117 mii euro),  mărfuri şi produse diverse (+80 mii euro), produse din lemn, plută şi împletituri din  nuiele  (+53 mii euro), încălţăminte, pălării, umbrele şi articole similare (+39 mii euro), articole din piatră, ciment, ceramică, sticlă şi din alte materiale similare (+33 mii euro),  animale vii şi produse animale  (+25 mii euro), instrumente şi aparate optice, fotografice, cinematografice, de măsură, de control sau precizie (+24 mii euro), alte produse nenominalizate în altă parte (+14 mii euro),   piei crude, piei tăbăcite, blănuri şi produse din acestea (+12 mii euro), pastă de lemn, deşeuri de hârtie sau de carton; hârtie şi carton şi articole din acestea (+10 mii euro), grăsimi şi uleiuri animale sau vegetale                  (+4 mii euro).</w:t>
      </w:r>
    </w:p>
    <w:p w:rsidR="00420241" w:rsidRPr="00420241" w:rsidRDefault="00420241" w:rsidP="00420241">
      <w:pPr>
        <w:spacing w:line="360" w:lineRule="auto"/>
        <w:jc w:val="both"/>
        <w:rPr>
          <w:rFonts w:ascii="Arial" w:hAnsi="Arial" w:cs="Arial"/>
          <w:sz w:val="24"/>
          <w:szCs w:val="24"/>
          <w:lang w:val="ro-RO"/>
        </w:rPr>
      </w:pPr>
      <w:r w:rsidRPr="00420241">
        <w:rPr>
          <w:rFonts w:ascii="Arial" w:hAnsi="Arial" w:cs="Arial"/>
          <w:sz w:val="24"/>
          <w:szCs w:val="24"/>
          <w:lang w:val="ro-RO"/>
        </w:rPr>
        <w:t>Secţiunile care au înregistrat scăderi sunt: maşini, aparate şi echipamente electrice; aparate de înregistrat sau de reprodus sunetul şi imaginile (-229 mii euro), produse minerale (-2 mii euro).</w:t>
      </w:r>
    </w:p>
    <w:p w:rsidR="00420241" w:rsidRDefault="00420241" w:rsidP="00444B65">
      <w:pPr>
        <w:spacing w:line="360" w:lineRule="auto"/>
        <w:rPr>
          <w:rFonts w:ascii="Arial" w:hAnsi="Arial" w:cs="Arial"/>
          <w:lang w:val="ro-RO"/>
        </w:rPr>
      </w:pPr>
    </w:p>
    <w:p w:rsidR="00755C84" w:rsidRPr="00023B45" w:rsidRDefault="00755C84" w:rsidP="00444B65">
      <w:pPr>
        <w:spacing w:line="360" w:lineRule="auto"/>
        <w:rPr>
          <w:rFonts w:ascii="Arial" w:hAnsi="Arial" w:cs="Arial"/>
          <w:lang w:val="ro-RO"/>
        </w:rPr>
      </w:pPr>
      <w:r w:rsidRPr="00023B45">
        <w:rPr>
          <w:rFonts w:ascii="Arial" w:hAnsi="Arial" w:cs="Arial"/>
          <w:lang w:val="ro-RO"/>
        </w:rPr>
        <w:t>Sursa : Baza de date a INS</w:t>
      </w:r>
    </w:p>
    <w:p w:rsidR="00755C84" w:rsidRPr="00023B45" w:rsidRDefault="00755C84" w:rsidP="00444B65">
      <w:pPr>
        <w:spacing w:line="360" w:lineRule="auto"/>
        <w:rPr>
          <w:rFonts w:ascii="Arial" w:hAnsi="Arial" w:cs="Arial"/>
          <w:sz w:val="24"/>
          <w:szCs w:val="24"/>
          <w:lang w:val="ro-RO"/>
        </w:rPr>
      </w:pPr>
    </w:p>
    <w:p w:rsidR="00755C84" w:rsidRPr="00023B45" w:rsidRDefault="00755C84" w:rsidP="00444B65">
      <w:pPr>
        <w:spacing w:line="360" w:lineRule="auto"/>
        <w:rPr>
          <w:rFonts w:ascii="Arial" w:hAnsi="Arial" w:cs="Arial"/>
          <w:sz w:val="24"/>
          <w:szCs w:val="24"/>
          <w:lang w:val="ro-RO"/>
        </w:rPr>
      </w:pPr>
    </w:p>
    <w:p w:rsidR="002A24B8" w:rsidRPr="00023B45" w:rsidRDefault="002A24B8" w:rsidP="00444B65">
      <w:pPr>
        <w:spacing w:line="360" w:lineRule="auto"/>
        <w:rPr>
          <w:rFonts w:ascii="Arial" w:hAnsi="Arial" w:cs="Arial"/>
          <w:b/>
          <w:sz w:val="24"/>
          <w:szCs w:val="24"/>
          <w:lang w:val="ro-RO"/>
        </w:rPr>
      </w:pPr>
      <w:r w:rsidRPr="00023B45">
        <w:rPr>
          <w:rFonts w:ascii="Arial" w:hAnsi="Arial" w:cs="Arial"/>
          <w:b/>
          <w:sz w:val="24"/>
          <w:szCs w:val="24"/>
          <w:lang w:val="ro-RO"/>
        </w:rPr>
        <w:t xml:space="preserve">   X.1.2. Locuințe </w:t>
      </w:r>
    </w:p>
    <w:p w:rsidR="004E2A97" w:rsidRPr="00023B45" w:rsidRDefault="004E2A97" w:rsidP="00444B65">
      <w:pPr>
        <w:spacing w:line="360" w:lineRule="auto"/>
        <w:rPr>
          <w:rFonts w:ascii="Arial" w:hAnsi="Arial" w:cs="Arial"/>
          <w:b/>
          <w:sz w:val="24"/>
          <w:szCs w:val="24"/>
          <w:lang w:val="ro-RO"/>
        </w:rPr>
      </w:pPr>
    </w:p>
    <w:p w:rsidR="00B74F67" w:rsidRPr="00023B45" w:rsidRDefault="00420241" w:rsidP="00444B65">
      <w:pPr>
        <w:spacing w:line="360" w:lineRule="auto"/>
        <w:jc w:val="both"/>
        <w:rPr>
          <w:rFonts w:ascii="Arial" w:hAnsi="Arial" w:cs="Arial"/>
          <w:sz w:val="24"/>
          <w:szCs w:val="24"/>
          <w:lang w:val="ro-RO"/>
        </w:rPr>
      </w:pPr>
      <w:r w:rsidRPr="00420241">
        <w:rPr>
          <w:rFonts w:ascii="Arial" w:hAnsi="Arial" w:cs="Arial"/>
          <w:sz w:val="24"/>
          <w:szCs w:val="24"/>
          <w:lang w:val="ro-RO"/>
        </w:rPr>
        <w:t>AUTORIZAŢIILE DE CONSTRUIRE, ELIBERATE PENTRU CLĂDIRI REZIDENŢIALE în luna noiembrie 2021 au fost în număr de 52, înregistrând o creştere cu 23,8% faţă de luna noiembrie 2020.</w:t>
      </w:r>
    </w:p>
    <w:p w:rsidR="00D46E54" w:rsidRPr="00023B45" w:rsidRDefault="00D46E54" w:rsidP="002A24B8">
      <w:pPr>
        <w:jc w:val="center"/>
        <w:rPr>
          <w:rFonts w:ascii="Arial" w:hAnsi="Arial" w:cs="Arial"/>
          <w:b/>
          <w:lang w:val="ro-RO"/>
        </w:rPr>
      </w:pPr>
    </w:p>
    <w:p w:rsidR="002A24B8" w:rsidRPr="00023B45" w:rsidRDefault="002A24B8" w:rsidP="002A24B8">
      <w:pPr>
        <w:rPr>
          <w:rFonts w:ascii="Arial" w:hAnsi="Arial" w:cs="Arial"/>
          <w:b/>
          <w:sz w:val="24"/>
          <w:szCs w:val="24"/>
          <w:lang w:val="ro-RO"/>
        </w:rPr>
      </w:pPr>
      <w:r w:rsidRPr="00023B45">
        <w:rPr>
          <w:rFonts w:ascii="Arial" w:hAnsi="Arial" w:cs="Arial"/>
          <w:b/>
          <w:sz w:val="24"/>
          <w:szCs w:val="24"/>
          <w:lang w:val="ro-RO"/>
        </w:rPr>
        <w:t xml:space="preserve">   X.1.3. Mobilitate </w:t>
      </w:r>
    </w:p>
    <w:p w:rsidR="002A24B8" w:rsidRPr="00023B45" w:rsidRDefault="002A24B8" w:rsidP="002A24B8">
      <w:pPr>
        <w:rPr>
          <w:rFonts w:ascii="Arial" w:hAnsi="Arial" w:cs="Arial"/>
          <w:sz w:val="24"/>
          <w:szCs w:val="24"/>
          <w:lang w:val="ro-RO"/>
        </w:rPr>
      </w:pPr>
    </w:p>
    <w:p w:rsidR="002A24B8" w:rsidRPr="00023B45" w:rsidRDefault="00E377AB" w:rsidP="00B605F2">
      <w:pPr>
        <w:rPr>
          <w:rFonts w:ascii="Arial" w:hAnsi="Arial" w:cs="Arial"/>
          <w:sz w:val="24"/>
          <w:szCs w:val="24"/>
          <w:lang w:val="ro-RO"/>
        </w:rPr>
      </w:pPr>
      <w:r w:rsidRPr="00023B45">
        <w:rPr>
          <w:rFonts w:ascii="Arial" w:hAnsi="Arial" w:cs="Arial"/>
          <w:sz w:val="24"/>
          <w:szCs w:val="24"/>
          <w:lang w:val="ro-RO"/>
        </w:rPr>
        <w:t xml:space="preserve">      X.1.3.1.</w:t>
      </w:r>
      <w:r w:rsidR="002A24B8" w:rsidRPr="00023B45">
        <w:rPr>
          <w:rFonts w:ascii="Arial" w:hAnsi="Arial" w:cs="Arial"/>
          <w:sz w:val="24"/>
          <w:szCs w:val="24"/>
          <w:lang w:val="ro-RO"/>
        </w:rPr>
        <w:t xml:space="preserve">  Transportul de pasageri</w:t>
      </w:r>
    </w:p>
    <w:p w:rsidR="002A24B8" w:rsidRPr="00023B45" w:rsidRDefault="002A24B8" w:rsidP="00B605F2">
      <w:pPr>
        <w:rPr>
          <w:rFonts w:ascii="Arial" w:hAnsi="Arial" w:cs="Arial"/>
          <w:sz w:val="24"/>
          <w:szCs w:val="24"/>
          <w:lang w:val="ro-RO"/>
        </w:rPr>
      </w:pPr>
    </w:p>
    <w:p w:rsidR="002A24B8" w:rsidRPr="00023B45" w:rsidRDefault="002A24B8" w:rsidP="00D6368D">
      <w:pPr>
        <w:spacing w:line="360" w:lineRule="auto"/>
        <w:ind w:firstLine="708"/>
        <w:jc w:val="both"/>
        <w:rPr>
          <w:rFonts w:ascii="Arial" w:hAnsi="Arial" w:cs="Arial"/>
          <w:sz w:val="24"/>
          <w:szCs w:val="24"/>
          <w:lang w:val="ro-RO"/>
        </w:rPr>
      </w:pPr>
      <w:r w:rsidRPr="00023B45">
        <w:rPr>
          <w:rFonts w:ascii="Arial" w:hAnsi="Arial" w:cs="Arial"/>
          <w:sz w:val="24"/>
          <w:szCs w:val="24"/>
          <w:lang w:val="ro-RO"/>
        </w:rPr>
        <w:t>Transportul de pasageri este una dintre sursele relevante de emisii de gaze cu efect de seră, are un aport important la poluarea aerului precum şi la zgomotul ambiental, având efect asupra sănătăţii populaţiei şi ecosistemelor.</w:t>
      </w:r>
      <w:r w:rsidR="00C0454B" w:rsidRPr="00023B45">
        <w:rPr>
          <w:rFonts w:ascii="Arial" w:hAnsi="Arial" w:cs="Arial"/>
          <w:sz w:val="24"/>
          <w:szCs w:val="24"/>
          <w:lang w:val="ro-RO"/>
        </w:rPr>
        <w:t xml:space="preserve"> Pe parcursul </w:t>
      </w:r>
      <w:r w:rsidR="00C0454B" w:rsidRPr="00023B45">
        <w:rPr>
          <w:rFonts w:ascii="Arial" w:hAnsi="Arial" w:cs="Arial"/>
          <w:sz w:val="24"/>
          <w:szCs w:val="24"/>
          <w:lang w:val="ro-RO"/>
        </w:rPr>
        <w:lastRenderedPageBreak/>
        <w:t xml:space="preserve">anului 2020, în județul Gorj, au folosit autobuze și microbuze 1.563.000 pasageri, în </w:t>
      </w:r>
      <w:r w:rsidR="005B119D" w:rsidRPr="00023B45">
        <w:rPr>
          <w:rFonts w:ascii="Arial" w:hAnsi="Arial" w:cs="Arial"/>
          <w:sz w:val="24"/>
          <w:szCs w:val="24"/>
          <w:lang w:val="ro-RO"/>
        </w:rPr>
        <w:t xml:space="preserve">timp ce troleibuzele au fost folosiste de </w:t>
      </w:r>
      <w:r w:rsidR="00D6368D" w:rsidRPr="00023B45">
        <w:rPr>
          <w:rFonts w:ascii="Arial" w:hAnsi="Arial" w:cs="Arial"/>
          <w:sz w:val="24"/>
          <w:szCs w:val="24"/>
          <w:lang w:val="ro-RO"/>
        </w:rPr>
        <w:t>871.000 pasageri.</w:t>
      </w:r>
    </w:p>
    <w:p w:rsidR="008249BA" w:rsidRPr="00023B45" w:rsidRDefault="008249BA" w:rsidP="00B605F2">
      <w:pPr>
        <w:rPr>
          <w:rFonts w:ascii="Arial" w:hAnsi="Arial" w:cs="Arial"/>
          <w:sz w:val="24"/>
          <w:szCs w:val="24"/>
          <w:lang w:val="ro-RO"/>
        </w:rPr>
      </w:pPr>
    </w:p>
    <w:p w:rsidR="002A24B8" w:rsidRPr="00023B45" w:rsidRDefault="00E377AB" w:rsidP="00B605F2">
      <w:pPr>
        <w:rPr>
          <w:rFonts w:ascii="Arial" w:hAnsi="Arial" w:cs="Arial"/>
          <w:sz w:val="24"/>
          <w:szCs w:val="24"/>
          <w:lang w:val="ro-RO"/>
        </w:rPr>
      </w:pPr>
      <w:r w:rsidRPr="00023B45">
        <w:rPr>
          <w:rFonts w:ascii="Arial" w:hAnsi="Arial" w:cs="Arial"/>
          <w:sz w:val="24"/>
          <w:szCs w:val="24"/>
          <w:lang w:val="ro-RO"/>
        </w:rPr>
        <w:t xml:space="preserve">      X. 1.3.2. </w:t>
      </w:r>
      <w:r w:rsidR="002A24B8" w:rsidRPr="00023B45">
        <w:rPr>
          <w:rFonts w:ascii="Arial" w:hAnsi="Arial" w:cs="Arial"/>
          <w:sz w:val="24"/>
          <w:szCs w:val="24"/>
          <w:lang w:val="ro-RO"/>
        </w:rPr>
        <w:t>Transportul de mărfuri</w:t>
      </w:r>
    </w:p>
    <w:p w:rsidR="00955E27" w:rsidRPr="00023B45" w:rsidRDefault="00955E27" w:rsidP="00B605F2">
      <w:pPr>
        <w:rPr>
          <w:rFonts w:ascii="Arial" w:hAnsi="Arial" w:cs="Arial"/>
          <w:sz w:val="24"/>
          <w:szCs w:val="24"/>
          <w:lang w:val="ro-RO"/>
        </w:rPr>
      </w:pPr>
    </w:p>
    <w:p w:rsidR="00955E27" w:rsidRPr="00023B45" w:rsidRDefault="00955E27" w:rsidP="00B605F2">
      <w:pPr>
        <w:rPr>
          <w:rFonts w:ascii="Arial" w:hAnsi="Arial" w:cs="Arial"/>
          <w:sz w:val="24"/>
          <w:szCs w:val="24"/>
          <w:lang w:val="ro-RO"/>
        </w:rPr>
      </w:pPr>
      <w:r w:rsidRPr="00023B45">
        <w:rPr>
          <w:rFonts w:ascii="Arial" w:hAnsi="Arial" w:cs="Arial"/>
          <w:sz w:val="24"/>
          <w:szCs w:val="24"/>
          <w:lang w:val="ro-RO"/>
        </w:rPr>
        <w:t>Nu deținem date.</w:t>
      </w:r>
    </w:p>
    <w:p w:rsidR="002A24B8" w:rsidRPr="00023B45" w:rsidRDefault="002A24B8" w:rsidP="00B605F2">
      <w:pPr>
        <w:rPr>
          <w:rFonts w:ascii="Arial" w:hAnsi="Arial" w:cs="Arial"/>
          <w:sz w:val="24"/>
          <w:szCs w:val="24"/>
          <w:lang w:val="ro-RO"/>
        </w:rPr>
      </w:pPr>
    </w:p>
    <w:p w:rsidR="00C07F6B" w:rsidRPr="00023B45" w:rsidRDefault="00C07F6B" w:rsidP="00B605F2">
      <w:pPr>
        <w:rPr>
          <w:rFonts w:ascii="Arial" w:hAnsi="Arial" w:cs="Arial"/>
          <w:b/>
          <w:sz w:val="24"/>
          <w:szCs w:val="24"/>
          <w:lang w:val="ro-RO"/>
        </w:rPr>
      </w:pP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 xml:space="preserve"> X.2.</w:t>
      </w:r>
      <w:r w:rsidR="00023B45" w:rsidRPr="00023B45">
        <w:rPr>
          <w:rFonts w:ascii="Arial" w:hAnsi="Arial" w:cs="Arial"/>
          <w:b/>
          <w:sz w:val="24"/>
          <w:szCs w:val="24"/>
          <w:lang w:val="ro-RO"/>
        </w:rPr>
        <w:t xml:space="preserve"> </w:t>
      </w:r>
      <w:r w:rsidRPr="00023B45">
        <w:rPr>
          <w:rFonts w:ascii="Arial" w:hAnsi="Arial" w:cs="Arial"/>
          <w:b/>
          <w:sz w:val="24"/>
          <w:szCs w:val="24"/>
          <w:lang w:val="ro-RO"/>
        </w:rPr>
        <w:t>Factori care influențează consumul</w:t>
      </w:r>
    </w:p>
    <w:p w:rsidR="002A24B8" w:rsidRPr="00023B45" w:rsidRDefault="002A24B8" w:rsidP="00B605F2">
      <w:pPr>
        <w:rPr>
          <w:rFonts w:ascii="Arial" w:hAnsi="Arial" w:cs="Arial"/>
          <w:b/>
          <w:sz w:val="24"/>
          <w:szCs w:val="24"/>
          <w:lang w:val="ro-RO"/>
        </w:rPr>
      </w:pPr>
    </w:p>
    <w:p w:rsidR="002A24B8" w:rsidRPr="00023B45" w:rsidRDefault="002A24B8" w:rsidP="00444B65">
      <w:pPr>
        <w:spacing w:line="360" w:lineRule="auto"/>
        <w:rPr>
          <w:rFonts w:ascii="Arial" w:hAnsi="Arial" w:cs="Arial"/>
          <w:sz w:val="24"/>
          <w:szCs w:val="24"/>
          <w:lang w:val="ro-RO"/>
        </w:rPr>
      </w:pPr>
      <w:r w:rsidRPr="00023B45">
        <w:rPr>
          <w:rFonts w:ascii="Arial" w:hAnsi="Arial" w:cs="Arial"/>
          <w:sz w:val="24"/>
          <w:szCs w:val="24"/>
          <w:lang w:val="ro-RO"/>
        </w:rPr>
        <w:t>Principalii factori care pot influența consumul la nivelul județului Gorj sunt :</w:t>
      </w:r>
    </w:p>
    <w:p w:rsidR="002A24B8" w:rsidRPr="00023B45" w:rsidRDefault="002A24B8" w:rsidP="00444B65">
      <w:pPr>
        <w:spacing w:line="360" w:lineRule="auto"/>
        <w:rPr>
          <w:rFonts w:ascii="Arial" w:hAnsi="Arial" w:cs="Arial"/>
          <w:b/>
          <w:sz w:val="24"/>
          <w:szCs w:val="24"/>
          <w:lang w:val="ro-RO"/>
        </w:rPr>
      </w:pPr>
    </w:p>
    <w:p w:rsidR="002A24B8" w:rsidRPr="00023B45" w:rsidRDefault="002A24B8" w:rsidP="00444B65">
      <w:pPr>
        <w:pStyle w:val="ListParagraph"/>
        <w:numPr>
          <w:ilvl w:val="0"/>
          <w:numId w:val="15"/>
        </w:numPr>
        <w:spacing w:line="360" w:lineRule="auto"/>
        <w:ind w:left="0" w:firstLine="0"/>
        <w:jc w:val="both"/>
        <w:rPr>
          <w:rFonts w:ascii="Arial" w:hAnsi="Arial" w:cs="Arial"/>
          <w:sz w:val="24"/>
          <w:szCs w:val="24"/>
          <w:lang w:val="ro-RO"/>
        </w:rPr>
      </w:pPr>
      <w:r w:rsidRPr="00023B45">
        <w:rPr>
          <w:rFonts w:ascii="Arial" w:hAnsi="Arial" w:cs="Arial"/>
          <w:b/>
          <w:sz w:val="24"/>
          <w:szCs w:val="24"/>
          <w:lang w:val="ro-RO"/>
        </w:rPr>
        <w:t xml:space="preserve">Factorii economici – </w:t>
      </w:r>
      <w:r w:rsidRPr="00023B45">
        <w:rPr>
          <w:rFonts w:ascii="Arial" w:hAnsi="Arial" w:cs="Arial"/>
          <w:sz w:val="24"/>
          <w:szCs w:val="24"/>
          <w:lang w:val="ro-RO"/>
        </w:rPr>
        <w:t>cu cât veniturile populației sunt mai mari, cu atât consumul și implicit impactul asupra mediului vor înregistra la rândul lor o tendința ascendentă.</w:t>
      </w:r>
      <w:r w:rsidR="004D0903" w:rsidRPr="00023B45">
        <w:rPr>
          <w:rFonts w:ascii="Arial" w:hAnsi="Arial" w:cs="Arial"/>
          <w:sz w:val="24"/>
          <w:szCs w:val="24"/>
          <w:lang w:val="ro-RO"/>
        </w:rPr>
        <w:t>.</w:t>
      </w:r>
      <w:r w:rsidRPr="00023B45">
        <w:rPr>
          <w:rFonts w:ascii="Arial" w:hAnsi="Arial" w:cs="Arial"/>
          <w:sz w:val="24"/>
          <w:szCs w:val="24"/>
          <w:lang w:val="ro-RO"/>
        </w:rPr>
        <w:t xml:space="preserve"> </w:t>
      </w:r>
    </w:p>
    <w:p w:rsidR="00420241" w:rsidRDefault="00420241" w:rsidP="00D6368D">
      <w:pPr>
        <w:spacing w:line="360" w:lineRule="auto"/>
        <w:ind w:firstLine="708"/>
        <w:jc w:val="both"/>
        <w:rPr>
          <w:rFonts w:ascii="Arial" w:hAnsi="Arial" w:cs="Arial"/>
          <w:bCs/>
          <w:sz w:val="24"/>
          <w:szCs w:val="24"/>
          <w:lang w:val="ro-RO" w:eastAsia="en-US"/>
        </w:rPr>
      </w:pPr>
      <w:r w:rsidRPr="00420241">
        <w:rPr>
          <w:rFonts w:ascii="Arial" w:hAnsi="Arial" w:cs="Arial"/>
          <w:bCs/>
          <w:sz w:val="24"/>
          <w:szCs w:val="24"/>
          <w:lang w:val="ro-RO" w:eastAsia="en-US"/>
        </w:rPr>
        <w:t>E</w:t>
      </w:r>
      <w:r w:rsidR="00111E24">
        <w:rPr>
          <w:rFonts w:ascii="Arial" w:hAnsi="Arial" w:cs="Arial"/>
          <w:bCs/>
          <w:sz w:val="24"/>
          <w:szCs w:val="24"/>
          <w:lang w:val="ro-RO" w:eastAsia="en-US"/>
        </w:rPr>
        <w:t>fectivul salariațulor</w:t>
      </w:r>
      <w:r w:rsidRPr="00420241">
        <w:rPr>
          <w:rFonts w:ascii="Arial" w:hAnsi="Arial" w:cs="Arial"/>
          <w:bCs/>
          <w:sz w:val="24"/>
          <w:szCs w:val="24"/>
          <w:lang w:val="ro-RO" w:eastAsia="en-US"/>
        </w:rPr>
        <w:t xml:space="preserve"> din economia judeţului Gorj, la sfârşitul lunii noiembrie 2021, a fost de 78021 persoane, în creştere cu 100 persoane faţă de luna precedentă. Din totalul salariaţilor înregistrat la nivel naţional, efectivul judeţului Gorj reprezintă o pondere de 1,42%, ocupând astfel locul 26 în clasamentul judeţelor ordonate descrescător.</w:t>
      </w:r>
    </w:p>
    <w:p w:rsidR="00420241" w:rsidRPr="00420241" w:rsidRDefault="00420241" w:rsidP="00420241">
      <w:pPr>
        <w:pStyle w:val="ListParagraph"/>
        <w:numPr>
          <w:ilvl w:val="0"/>
          <w:numId w:val="15"/>
        </w:numPr>
        <w:spacing w:line="360" w:lineRule="auto"/>
        <w:ind w:left="0" w:firstLine="360"/>
        <w:jc w:val="both"/>
        <w:rPr>
          <w:rFonts w:ascii="Arial" w:hAnsi="Arial" w:cs="Arial"/>
          <w:sz w:val="24"/>
          <w:szCs w:val="24"/>
          <w:lang w:val="ro-RO"/>
        </w:rPr>
      </w:pPr>
      <w:r w:rsidRPr="00420241">
        <w:rPr>
          <w:rFonts w:ascii="Arial" w:hAnsi="Arial" w:cs="Arial"/>
          <w:bCs/>
          <w:sz w:val="24"/>
          <w:szCs w:val="24"/>
          <w:lang w:val="ro-RO"/>
        </w:rPr>
        <w:t>C</w:t>
      </w:r>
      <w:r w:rsidR="00111E24">
        <w:rPr>
          <w:rFonts w:ascii="Arial" w:hAnsi="Arial" w:cs="Arial"/>
          <w:bCs/>
          <w:sz w:val="24"/>
          <w:szCs w:val="24"/>
          <w:lang w:val="ro-RO"/>
        </w:rPr>
        <w:t>âștigul</w:t>
      </w:r>
      <w:r w:rsidRPr="00420241">
        <w:rPr>
          <w:rFonts w:ascii="Arial" w:hAnsi="Arial" w:cs="Arial"/>
          <w:bCs/>
          <w:sz w:val="24"/>
          <w:szCs w:val="24"/>
          <w:lang w:val="ro-RO"/>
        </w:rPr>
        <w:t xml:space="preserve"> </w:t>
      </w:r>
      <w:r w:rsidR="00111E24">
        <w:rPr>
          <w:rFonts w:ascii="Arial" w:hAnsi="Arial" w:cs="Arial"/>
          <w:bCs/>
          <w:sz w:val="24"/>
          <w:szCs w:val="24"/>
          <w:lang w:val="ro-RO"/>
        </w:rPr>
        <w:t>salarial</w:t>
      </w:r>
      <w:r w:rsidRPr="00420241">
        <w:rPr>
          <w:rFonts w:ascii="Arial" w:hAnsi="Arial" w:cs="Arial"/>
          <w:bCs/>
          <w:sz w:val="24"/>
          <w:szCs w:val="24"/>
          <w:lang w:val="ro-RO"/>
        </w:rPr>
        <w:t xml:space="preserve"> </w:t>
      </w:r>
      <w:r w:rsidR="00111E24">
        <w:rPr>
          <w:rFonts w:ascii="Arial" w:hAnsi="Arial" w:cs="Arial"/>
          <w:bCs/>
          <w:sz w:val="24"/>
          <w:szCs w:val="24"/>
          <w:lang w:val="ro-RO"/>
        </w:rPr>
        <w:t>mediu nominal</w:t>
      </w:r>
      <w:r w:rsidRPr="00420241">
        <w:rPr>
          <w:rFonts w:ascii="Arial" w:hAnsi="Arial" w:cs="Arial"/>
          <w:bCs/>
          <w:sz w:val="24"/>
          <w:szCs w:val="24"/>
          <w:lang w:val="ro-RO"/>
        </w:rPr>
        <w:t xml:space="preserve"> </w:t>
      </w:r>
      <w:r w:rsidR="00111E24">
        <w:rPr>
          <w:rFonts w:ascii="Arial" w:hAnsi="Arial" w:cs="Arial"/>
          <w:bCs/>
          <w:sz w:val="24"/>
          <w:szCs w:val="24"/>
          <w:lang w:val="ro-RO"/>
        </w:rPr>
        <w:t>brut</w:t>
      </w:r>
      <w:bookmarkStart w:id="0" w:name="_GoBack"/>
      <w:bookmarkEnd w:id="0"/>
      <w:r w:rsidRPr="00420241">
        <w:rPr>
          <w:rFonts w:ascii="Arial" w:hAnsi="Arial" w:cs="Arial"/>
          <w:bCs/>
          <w:sz w:val="24"/>
          <w:szCs w:val="24"/>
          <w:lang w:val="ro-RO"/>
        </w:rPr>
        <w:t xml:space="preserve"> pe economie în luna noiembrie 2021, a fost de  5944 lei,  cu 171 lei (+3,0%)  mai mare decât în luna octombrie  2021. Câştigul salarial mediu nominal net a fost de  3645 lei, în creştere faţă de luna precedentă cu 101 lei (+2,8%). Valorile cele mai mari ale câştigului salarial mediu nominal net s-au înregistrat în activităţi de servicii în tehnologia informaţiei (inclusiv activităţi de servicii informatice) (9055 lei), iar cele mai mici în hoteluri şi restaurante (1875 lei). Comparativ cu luna noiembrie a anului precedent, câştigul salarial mediu nominal net a crescut cu 6,9%.</w:t>
      </w:r>
    </w:p>
    <w:p w:rsidR="00420241" w:rsidRPr="00420241" w:rsidRDefault="00420241" w:rsidP="00420241">
      <w:pPr>
        <w:pStyle w:val="ListParagraph"/>
        <w:spacing w:line="360" w:lineRule="auto"/>
        <w:ind w:left="360"/>
        <w:jc w:val="both"/>
        <w:rPr>
          <w:rFonts w:ascii="Arial" w:hAnsi="Arial" w:cs="Arial"/>
          <w:sz w:val="24"/>
          <w:szCs w:val="24"/>
          <w:lang w:val="ro-RO"/>
        </w:rPr>
      </w:pPr>
    </w:p>
    <w:p w:rsidR="002A24B8" w:rsidRDefault="00420241" w:rsidP="007044EA">
      <w:pPr>
        <w:pStyle w:val="ListParagraph"/>
        <w:numPr>
          <w:ilvl w:val="0"/>
          <w:numId w:val="15"/>
        </w:numPr>
        <w:spacing w:line="360" w:lineRule="auto"/>
        <w:ind w:left="0" w:firstLine="360"/>
        <w:jc w:val="both"/>
        <w:rPr>
          <w:rFonts w:ascii="Arial" w:hAnsi="Arial" w:cs="Arial"/>
          <w:sz w:val="24"/>
          <w:szCs w:val="24"/>
          <w:lang w:val="ro-RO"/>
        </w:rPr>
      </w:pPr>
      <w:r w:rsidRPr="00420241">
        <w:rPr>
          <w:rFonts w:ascii="Arial" w:hAnsi="Arial" w:cs="Arial"/>
          <w:bCs/>
          <w:sz w:val="24"/>
          <w:szCs w:val="24"/>
          <w:lang w:val="ro-RO"/>
        </w:rPr>
        <w:t xml:space="preserve"> </w:t>
      </w:r>
      <w:r w:rsidR="002A24B8" w:rsidRPr="00023B45">
        <w:rPr>
          <w:rFonts w:ascii="Arial" w:hAnsi="Arial" w:cs="Arial"/>
          <w:b/>
          <w:sz w:val="24"/>
          <w:szCs w:val="24"/>
          <w:lang w:val="ro-RO"/>
        </w:rPr>
        <w:t xml:space="preserve">Factorii demografici </w:t>
      </w:r>
      <w:r w:rsidR="002A24B8" w:rsidRPr="00023B45">
        <w:rPr>
          <w:rFonts w:ascii="Arial" w:hAnsi="Arial" w:cs="Arial"/>
          <w:sz w:val="24"/>
          <w:szCs w:val="24"/>
          <w:lang w:val="ro-RO"/>
        </w:rPr>
        <w:t xml:space="preserve">– cele mai populate regiuni au întâmpinat  întotdeauna și cele mai mari provocări pentru a diminua poluarea în special și impactul asupra mediului, în general. </w:t>
      </w:r>
    </w:p>
    <w:p w:rsidR="007044EA" w:rsidRPr="007044EA" w:rsidRDefault="007044EA" w:rsidP="007044EA">
      <w:pPr>
        <w:pStyle w:val="BodyTextIndent2"/>
        <w:spacing w:line="360" w:lineRule="auto"/>
        <w:ind w:firstLine="0"/>
        <w:rPr>
          <w:rFonts w:ascii="Arial" w:hAnsi="Arial" w:cs="Arial"/>
          <w:szCs w:val="24"/>
        </w:rPr>
      </w:pPr>
      <w:r w:rsidRPr="007044EA">
        <w:rPr>
          <w:rFonts w:ascii="Arial" w:hAnsi="Arial" w:cs="Arial"/>
          <w:szCs w:val="24"/>
        </w:rPr>
        <w:t xml:space="preserve">Natalitate și moratelitate - în luna noiembrie 2021, evoluţia fenomenelor demografice înregistrate în judeţul Gorj s-a caracterizat prin creşterea  </w:t>
      </w:r>
      <w:r w:rsidRPr="007044EA">
        <w:rPr>
          <w:rFonts w:ascii="Arial" w:hAnsi="Arial" w:cs="Arial"/>
          <w:b/>
          <w:szCs w:val="24"/>
        </w:rPr>
        <w:t>natalităţii</w:t>
      </w:r>
      <w:r w:rsidRPr="007044EA">
        <w:rPr>
          <w:rFonts w:ascii="Arial" w:hAnsi="Arial" w:cs="Arial"/>
          <w:szCs w:val="24"/>
        </w:rPr>
        <w:t xml:space="preserve"> faţă de perioada corespunzătoare din anul precedent (188 născuţi vii faţă de 162 născuţi vii) şi creşterea </w:t>
      </w:r>
      <w:r w:rsidRPr="007044EA">
        <w:rPr>
          <w:rFonts w:ascii="Arial" w:hAnsi="Arial" w:cs="Arial"/>
          <w:b/>
          <w:szCs w:val="24"/>
        </w:rPr>
        <w:t>mortalităţii generale</w:t>
      </w:r>
      <w:r w:rsidRPr="007044EA">
        <w:rPr>
          <w:rFonts w:ascii="Arial" w:hAnsi="Arial" w:cs="Arial"/>
          <w:szCs w:val="24"/>
        </w:rPr>
        <w:t xml:space="preserve"> (558 decese faţă de  507 decese), rezultând un </w:t>
      </w:r>
      <w:r w:rsidRPr="007044EA">
        <w:rPr>
          <w:rFonts w:ascii="Arial" w:hAnsi="Arial" w:cs="Arial"/>
          <w:b/>
          <w:szCs w:val="24"/>
        </w:rPr>
        <w:t>spor natural</w:t>
      </w:r>
      <w:r w:rsidRPr="007044EA">
        <w:rPr>
          <w:rFonts w:ascii="Arial" w:hAnsi="Arial" w:cs="Arial"/>
          <w:szCs w:val="24"/>
        </w:rPr>
        <w:t xml:space="preserve"> negativ (-370 persoane).</w:t>
      </w:r>
    </w:p>
    <w:p w:rsidR="00420241" w:rsidRPr="00A948A0" w:rsidRDefault="002A24B8" w:rsidP="00A948A0">
      <w:pPr>
        <w:pStyle w:val="BodyTextIndent2"/>
        <w:numPr>
          <w:ilvl w:val="0"/>
          <w:numId w:val="16"/>
        </w:numPr>
        <w:tabs>
          <w:tab w:val="left" w:pos="284"/>
        </w:tabs>
        <w:spacing w:line="360" w:lineRule="auto"/>
        <w:ind w:left="0" w:firstLine="284"/>
        <w:rPr>
          <w:rFonts w:ascii="Arial" w:hAnsi="Arial" w:cs="Arial"/>
          <w:szCs w:val="24"/>
        </w:rPr>
      </w:pPr>
      <w:r w:rsidRPr="00023B45">
        <w:rPr>
          <w:rFonts w:ascii="Arial" w:hAnsi="Arial" w:cs="Arial"/>
          <w:b/>
          <w:szCs w:val="24"/>
        </w:rPr>
        <w:lastRenderedPageBreak/>
        <w:t>Factorii sociali</w:t>
      </w:r>
      <w:r w:rsidR="00444B65" w:rsidRPr="00023B45">
        <w:rPr>
          <w:rFonts w:ascii="Arial" w:hAnsi="Arial" w:cs="Arial"/>
          <w:b/>
          <w:szCs w:val="24"/>
        </w:rPr>
        <w:t xml:space="preserve"> </w:t>
      </w:r>
      <w:r w:rsidR="00A948A0">
        <w:rPr>
          <w:rFonts w:ascii="Arial" w:hAnsi="Arial" w:cs="Arial"/>
          <w:b/>
          <w:szCs w:val="24"/>
        </w:rPr>
        <w:t xml:space="preserve">– </w:t>
      </w:r>
      <w:r w:rsidR="00A948A0" w:rsidRPr="00A948A0">
        <w:rPr>
          <w:rFonts w:ascii="Arial" w:hAnsi="Arial" w:cs="Arial"/>
          <w:szCs w:val="24"/>
        </w:rPr>
        <w:t>numărul total de șomeri</w:t>
      </w:r>
      <w:r w:rsidR="00420241" w:rsidRPr="00A948A0">
        <w:rPr>
          <w:szCs w:val="24"/>
        </w:rPr>
        <w:t xml:space="preserve"> </w:t>
      </w:r>
      <w:r w:rsidR="00420241" w:rsidRPr="00A948A0">
        <w:rPr>
          <w:rFonts w:ascii="Arial" w:hAnsi="Arial" w:cs="Arial"/>
          <w:szCs w:val="24"/>
        </w:rPr>
        <w:t>înregistra</w:t>
      </w:r>
      <w:r w:rsidR="00420241" w:rsidRPr="00A948A0">
        <w:rPr>
          <w:rFonts w:ascii="Arial" w:hAnsi="Arial" w:cs="Arial"/>
          <w:szCs w:val="24"/>
        </w:rPr>
        <w:sym w:font="Times New Roman" w:char="0163"/>
      </w:r>
      <w:r w:rsidR="00420241" w:rsidRPr="00A948A0">
        <w:rPr>
          <w:rFonts w:ascii="Arial" w:hAnsi="Arial" w:cs="Arial"/>
          <w:szCs w:val="24"/>
        </w:rPr>
        <w:t>i în jude</w:t>
      </w:r>
      <w:r w:rsidR="00420241" w:rsidRPr="00A948A0">
        <w:rPr>
          <w:rFonts w:ascii="Arial" w:hAnsi="Arial" w:cs="Arial"/>
          <w:szCs w:val="24"/>
        </w:rPr>
        <w:sym w:font="Times New Roman" w:char="0163"/>
      </w:r>
      <w:r w:rsidR="00420241" w:rsidRPr="00A948A0">
        <w:rPr>
          <w:rFonts w:ascii="Arial" w:hAnsi="Arial" w:cs="Arial"/>
          <w:szCs w:val="24"/>
        </w:rPr>
        <w:t>ul Gorj la sf</w:t>
      </w:r>
      <w:r w:rsidR="00420241" w:rsidRPr="00A948A0">
        <w:rPr>
          <w:rFonts w:ascii="Arial" w:hAnsi="Arial" w:cs="Arial"/>
          <w:szCs w:val="24"/>
        </w:rPr>
        <w:sym w:font="Times New Roman" w:char="00E2"/>
      </w:r>
      <w:r w:rsidR="00420241" w:rsidRPr="00A948A0">
        <w:rPr>
          <w:rFonts w:ascii="Arial" w:hAnsi="Arial" w:cs="Arial"/>
          <w:szCs w:val="24"/>
        </w:rPr>
        <w:t>r</w:t>
      </w:r>
      <w:r w:rsidR="00420241" w:rsidRPr="00A948A0">
        <w:rPr>
          <w:rFonts w:ascii="Arial" w:hAnsi="Arial" w:cs="Arial"/>
          <w:szCs w:val="24"/>
        </w:rPr>
        <w:sym w:font="Times New Roman" w:char="015F"/>
      </w:r>
      <w:r w:rsidR="00420241" w:rsidRPr="00A948A0">
        <w:rPr>
          <w:rFonts w:ascii="Arial" w:hAnsi="Arial" w:cs="Arial"/>
          <w:szCs w:val="24"/>
        </w:rPr>
        <w:t>itul lunii noiembrie 2021, potrivit datelor furnizate de Agen</w:t>
      </w:r>
      <w:r w:rsidR="00420241" w:rsidRPr="00A948A0">
        <w:rPr>
          <w:rFonts w:ascii="Arial" w:hAnsi="Arial" w:cs="Arial"/>
          <w:szCs w:val="24"/>
        </w:rPr>
        <w:sym w:font="Times New Roman" w:char="0163"/>
      </w:r>
      <w:r w:rsidR="00420241" w:rsidRPr="00A948A0">
        <w:rPr>
          <w:rFonts w:ascii="Arial" w:hAnsi="Arial" w:cs="Arial"/>
          <w:szCs w:val="24"/>
        </w:rPr>
        <w:t>ia Jude</w:t>
      </w:r>
      <w:r w:rsidR="00420241" w:rsidRPr="00A948A0">
        <w:rPr>
          <w:rFonts w:ascii="Arial" w:hAnsi="Arial" w:cs="Arial"/>
          <w:szCs w:val="24"/>
        </w:rPr>
        <w:sym w:font="Times New Roman" w:char="0163"/>
      </w:r>
      <w:r w:rsidR="00420241" w:rsidRPr="00A948A0">
        <w:rPr>
          <w:rFonts w:ascii="Arial" w:hAnsi="Arial" w:cs="Arial"/>
          <w:szCs w:val="24"/>
        </w:rPr>
        <w:t>ean</w:t>
      </w:r>
      <w:r w:rsidR="00420241" w:rsidRPr="00A948A0">
        <w:rPr>
          <w:rFonts w:ascii="Arial" w:hAnsi="Arial" w:cs="Arial"/>
          <w:szCs w:val="24"/>
        </w:rPr>
        <w:sym w:font="Times New Roman" w:char="0103"/>
      </w:r>
      <w:r w:rsidR="00420241" w:rsidRPr="00A948A0">
        <w:rPr>
          <w:rFonts w:ascii="Arial" w:hAnsi="Arial" w:cs="Arial"/>
          <w:szCs w:val="24"/>
        </w:rPr>
        <w:t xml:space="preserve"> pentru Ocupare </w:t>
      </w:r>
      <w:r w:rsidR="00420241" w:rsidRPr="00A948A0">
        <w:rPr>
          <w:rFonts w:ascii="Arial" w:hAnsi="Arial" w:cs="Arial"/>
          <w:szCs w:val="24"/>
        </w:rPr>
        <w:sym w:font="Times New Roman" w:char="015F"/>
      </w:r>
      <w:r w:rsidR="00420241" w:rsidRPr="00A948A0">
        <w:rPr>
          <w:rFonts w:ascii="Arial" w:hAnsi="Arial" w:cs="Arial"/>
          <w:szCs w:val="24"/>
        </w:rPr>
        <w:t>i Formare Profesional</w:t>
      </w:r>
      <w:r w:rsidR="00420241" w:rsidRPr="00A948A0">
        <w:rPr>
          <w:rFonts w:ascii="Arial" w:hAnsi="Arial" w:cs="Arial"/>
          <w:szCs w:val="24"/>
        </w:rPr>
        <w:sym w:font="Times New Roman" w:char="0103"/>
      </w:r>
      <w:r w:rsidR="00420241" w:rsidRPr="00A948A0">
        <w:rPr>
          <w:rFonts w:ascii="Arial" w:hAnsi="Arial" w:cs="Arial"/>
          <w:szCs w:val="24"/>
        </w:rPr>
        <w:t xml:space="preserve"> Gorj, era de 4313 persoane (reprezentând 1,81% din </w:t>
      </w:r>
      <w:r w:rsidR="00420241" w:rsidRPr="00A948A0">
        <w:rPr>
          <w:rFonts w:ascii="Arial" w:hAnsi="Arial" w:cs="Arial"/>
          <w:bCs/>
          <w:szCs w:val="24"/>
        </w:rPr>
        <w:t>persoanele fără loc de muncă la nivel naţional</w:t>
      </w:r>
      <w:r w:rsidR="00420241" w:rsidRPr="00A948A0">
        <w:rPr>
          <w:rFonts w:ascii="Arial" w:hAnsi="Arial" w:cs="Arial"/>
          <w:szCs w:val="24"/>
        </w:rPr>
        <w:t>).</w:t>
      </w:r>
    </w:p>
    <w:tbl>
      <w:tblPr>
        <w:tblW w:w="91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61"/>
        <w:gridCol w:w="1533"/>
        <w:gridCol w:w="1789"/>
        <w:gridCol w:w="1916"/>
        <w:gridCol w:w="1278"/>
        <w:gridCol w:w="1022"/>
      </w:tblGrid>
      <w:tr w:rsidR="00A948A0" w:rsidRPr="00A948A0" w:rsidTr="00A948A0">
        <w:tblPrEx>
          <w:tblCellMar>
            <w:top w:w="0" w:type="dxa"/>
            <w:bottom w:w="0" w:type="dxa"/>
          </w:tblCellMar>
        </w:tblPrEx>
        <w:trPr>
          <w:cantSplit/>
          <w:trHeight w:val="203"/>
        </w:trPr>
        <w:tc>
          <w:tcPr>
            <w:tcW w:w="1661" w:type="dxa"/>
            <w:vMerge w:val="restart"/>
            <w:tcBorders>
              <w:top w:val="double" w:sz="12" w:space="0" w:color="auto"/>
              <w:left w:val="single" w:sz="8" w:space="0" w:color="auto"/>
              <w:right w:val="single" w:sz="8" w:space="0" w:color="auto"/>
            </w:tcBorders>
            <w:shd w:val="pct10" w:color="auto" w:fill="auto"/>
          </w:tcPr>
          <w:p w:rsidR="00A948A0" w:rsidRPr="00A948A0" w:rsidRDefault="00A948A0" w:rsidP="00A948A0">
            <w:pPr>
              <w:ind w:firstLine="720"/>
              <w:jc w:val="both"/>
              <w:rPr>
                <w:sz w:val="16"/>
                <w:szCs w:val="16"/>
                <w:lang w:val="ro-RO" w:eastAsia="en-US"/>
              </w:rPr>
            </w:pPr>
            <w:r w:rsidRPr="00A948A0">
              <w:rPr>
                <w:b/>
                <w:sz w:val="16"/>
                <w:szCs w:val="16"/>
                <w:lang w:val="ro-RO" w:eastAsia="en-US"/>
              </w:rPr>
              <w:t xml:space="preserve">     </w:t>
            </w:r>
          </w:p>
        </w:tc>
        <w:tc>
          <w:tcPr>
            <w:tcW w:w="1533" w:type="dxa"/>
            <w:vMerge w:val="restart"/>
            <w:tcBorders>
              <w:top w:val="double" w:sz="12" w:space="0" w:color="auto"/>
              <w:left w:val="single" w:sz="8" w:space="0" w:color="auto"/>
              <w:bottom w:val="nil"/>
              <w:right w:val="single" w:sz="8" w:space="0" w:color="auto"/>
            </w:tcBorders>
            <w:shd w:val="pct10" w:color="auto" w:fill="auto"/>
            <w:vAlign w:val="center"/>
          </w:tcPr>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t>TOTAL</w:t>
            </w:r>
          </w:p>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sym w:font="Times New Roman" w:char="015F"/>
            </w:r>
            <w:r w:rsidRPr="00A948A0">
              <w:rPr>
                <w:rFonts w:ascii="Arial Narrow" w:hAnsi="Arial Narrow"/>
                <w:b/>
                <w:sz w:val="18"/>
                <w:szCs w:val="18"/>
                <w:lang w:val="ro-RO" w:eastAsia="en-US"/>
              </w:rPr>
              <w:t xml:space="preserve">omeri  </w:t>
            </w:r>
            <w:r w:rsidRPr="00A948A0">
              <w:rPr>
                <w:rFonts w:ascii="Arial Narrow" w:hAnsi="Arial Narrow"/>
                <w:b/>
                <w:sz w:val="18"/>
                <w:szCs w:val="18"/>
                <w:lang w:val="ro-RO" w:eastAsia="en-US"/>
              </w:rPr>
              <w:sym w:font="Times New Roman" w:char="00EE"/>
            </w:r>
            <w:r w:rsidRPr="00A948A0">
              <w:rPr>
                <w:rFonts w:ascii="Arial Narrow" w:hAnsi="Arial Narrow"/>
                <w:b/>
                <w:sz w:val="18"/>
                <w:szCs w:val="18"/>
                <w:lang w:val="ro-RO" w:eastAsia="en-US"/>
              </w:rPr>
              <w:t>nregistra</w:t>
            </w:r>
            <w:r w:rsidRPr="00A948A0">
              <w:rPr>
                <w:rFonts w:ascii="Arial Narrow" w:hAnsi="Arial Narrow"/>
                <w:b/>
                <w:sz w:val="18"/>
                <w:szCs w:val="18"/>
                <w:lang w:val="ro-RO" w:eastAsia="en-US"/>
              </w:rPr>
              <w:sym w:font="Times New Roman" w:char="0163"/>
            </w:r>
            <w:r w:rsidRPr="00A948A0">
              <w:rPr>
                <w:rFonts w:ascii="Arial Narrow" w:hAnsi="Arial Narrow"/>
                <w:b/>
                <w:sz w:val="18"/>
                <w:szCs w:val="18"/>
                <w:lang w:val="ro-RO" w:eastAsia="en-US"/>
              </w:rPr>
              <w:t>i</w:t>
            </w:r>
          </w:p>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t>- persoane -</w:t>
            </w:r>
          </w:p>
        </w:tc>
        <w:tc>
          <w:tcPr>
            <w:tcW w:w="4983" w:type="dxa"/>
            <w:gridSpan w:val="3"/>
            <w:tcBorders>
              <w:top w:val="double" w:sz="12" w:space="0" w:color="auto"/>
              <w:left w:val="single" w:sz="8" w:space="0" w:color="auto"/>
              <w:bottom w:val="single" w:sz="8" w:space="0" w:color="auto"/>
              <w:right w:val="single" w:sz="8" w:space="0" w:color="auto"/>
            </w:tcBorders>
            <w:shd w:val="pct10" w:color="auto" w:fill="auto"/>
            <w:vAlign w:val="center"/>
          </w:tcPr>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t>Din care:</w:t>
            </w:r>
          </w:p>
        </w:tc>
        <w:tc>
          <w:tcPr>
            <w:tcW w:w="1022" w:type="dxa"/>
            <w:vMerge w:val="restart"/>
            <w:tcBorders>
              <w:top w:val="double" w:sz="12" w:space="0" w:color="auto"/>
              <w:left w:val="single" w:sz="8" w:space="0" w:color="auto"/>
              <w:bottom w:val="nil"/>
              <w:right w:val="single" w:sz="8" w:space="0" w:color="auto"/>
            </w:tcBorders>
            <w:shd w:val="pct10" w:color="auto" w:fill="auto"/>
            <w:vAlign w:val="center"/>
          </w:tcPr>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t>Rata</w:t>
            </w:r>
          </w:p>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sym w:font="Times New Roman" w:char="015F"/>
            </w:r>
            <w:r w:rsidRPr="00A948A0">
              <w:rPr>
                <w:rFonts w:ascii="Arial Narrow" w:hAnsi="Arial Narrow"/>
                <w:b/>
                <w:sz w:val="18"/>
                <w:szCs w:val="18"/>
                <w:lang w:val="ro-RO" w:eastAsia="en-US"/>
              </w:rPr>
              <w:t>omajului</w:t>
            </w:r>
          </w:p>
          <w:p w:rsidR="00A948A0" w:rsidRPr="00A948A0" w:rsidRDefault="00A948A0" w:rsidP="00A948A0">
            <w:pPr>
              <w:ind w:right="-108"/>
              <w:jc w:val="center"/>
              <w:rPr>
                <w:rFonts w:ascii="Arial Narrow" w:hAnsi="Arial Narrow"/>
                <w:b/>
                <w:lang w:val="ro-RO" w:eastAsia="en-US"/>
              </w:rPr>
            </w:pPr>
            <w:r w:rsidRPr="00A948A0">
              <w:rPr>
                <w:rFonts w:ascii="Arial Narrow" w:hAnsi="Arial Narrow"/>
                <w:b/>
                <w:sz w:val="18"/>
                <w:szCs w:val="18"/>
                <w:lang w:val="ro-RO" w:eastAsia="en-US"/>
              </w:rPr>
              <w:t>(%)</w:t>
            </w:r>
          </w:p>
        </w:tc>
      </w:tr>
      <w:tr w:rsidR="00A948A0" w:rsidRPr="00A948A0" w:rsidTr="00A948A0">
        <w:tblPrEx>
          <w:tblCellMar>
            <w:top w:w="0" w:type="dxa"/>
            <w:bottom w:w="0" w:type="dxa"/>
          </w:tblCellMar>
        </w:tblPrEx>
        <w:trPr>
          <w:cantSplit/>
          <w:trHeight w:val="241"/>
        </w:trPr>
        <w:tc>
          <w:tcPr>
            <w:tcW w:w="1661" w:type="dxa"/>
            <w:vMerge/>
            <w:tcBorders>
              <w:left w:val="single" w:sz="8" w:space="0" w:color="auto"/>
              <w:bottom w:val="single" w:sz="4" w:space="0" w:color="auto"/>
              <w:right w:val="single" w:sz="8" w:space="0" w:color="auto"/>
            </w:tcBorders>
          </w:tcPr>
          <w:p w:rsidR="00A948A0" w:rsidRPr="00A948A0" w:rsidRDefault="00A948A0" w:rsidP="00A948A0">
            <w:pPr>
              <w:ind w:firstLine="720"/>
              <w:jc w:val="both"/>
              <w:rPr>
                <w:sz w:val="16"/>
                <w:szCs w:val="16"/>
                <w:lang w:val="ro-RO" w:eastAsia="en-US"/>
              </w:rPr>
            </w:pPr>
          </w:p>
        </w:tc>
        <w:tc>
          <w:tcPr>
            <w:tcW w:w="1533" w:type="dxa"/>
            <w:vMerge/>
            <w:tcBorders>
              <w:top w:val="nil"/>
              <w:left w:val="single" w:sz="8" w:space="0" w:color="auto"/>
              <w:bottom w:val="single" w:sz="4" w:space="0" w:color="auto"/>
              <w:right w:val="single" w:sz="8" w:space="0" w:color="auto"/>
            </w:tcBorders>
            <w:vAlign w:val="center"/>
          </w:tcPr>
          <w:p w:rsidR="00A948A0" w:rsidRPr="00A948A0" w:rsidRDefault="00A948A0" w:rsidP="00A948A0">
            <w:pPr>
              <w:ind w:firstLine="720"/>
              <w:jc w:val="center"/>
              <w:rPr>
                <w:b/>
                <w:sz w:val="18"/>
                <w:szCs w:val="18"/>
                <w:lang w:val="ro-RO" w:eastAsia="en-US"/>
              </w:rPr>
            </w:pPr>
          </w:p>
        </w:tc>
        <w:tc>
          <w:tcPr>
            <w:tcW w:w="1789" w:type="dxa"/>
            <w:tcBorders>
              <w:top w:val="single" w:sz="8" w:space="0" w:color="auto"/>
              <w:left w:val="single" w:sz="8" w:space="0" w:color="auto"/>
              <w:bottom w:val="single" w:sz="4" w:space="0" w:color="auto"/>
              <w:right w:val="single" w:sz="8" w:space="0" w:color="auto"/>
            </w:tcBorders>
            <w:shd w:val="pct10" w:color="auto" w:fill="auto"/>
            <w:vAlign w:val="center"/>
          </w:tcPr>
          <w:p w:rsidR="00A948A0" w:rsidRPr="00A948A0" w:rsidRDefault="00A948A0" w:rsidP="00A948A0">
            <w:pPr>
              <w:ind w:right="-113"/>
              <w:jc w:val="center"/>
              <w:rPr>
                <w:rFonts w:ascii="Arial Narrow" w:hAnsi="Arial Narrow"/>
                <w:b/>
                <w:sz w:val="18"/>
                <w:szCs w:val="18"/>
                <w:lang w:val="pt-PT" w:eastAsia="en-US"/>
              </w:rPr>
            </w:pPr>
            <w:r w:rsidRPr="00A948A0">
              <w:rPr>
                <w:rFonts w:ascii="Arial Narrow" w:hAnsi="Arial Narrow"/>
                <w:b/>
                <w:sz w:val="18"/>
                <w:szCs w:val="18"/>
                <w:lang w:val="pt-PT" w:eastAsia="en-US"/>
              </w:rPr>
              <w:t>Beneficiari</w:t>
            </w:r>
          </w:p>
          <w:p w:rsidR="00A948A0" w:rsidRPr="00A948A0" w:rsidRDefault="00A948A0" w:rsidP="00A948A0">
            <w:pPr>
              <w:ind w:left="-170" w:right="-113"/>
              <w:jc w:val="center"/>
              <w:rPr>
                <w:rFonts w:ascii="Arial Narrow" w:hAnsi="Arial Narrow"/>
                <w:b/>
                <w:sz w:val="18"/>
                <w:szCs w:val="18"/>
                <w:lang w:val="pt-PT" w:eastAsia="en-US"/>
              </w:rPr>
            </w:pPr>
            <w:r w:rsidRPr="00A948A0">
              <w:rPr>
                <w:rFonts w:ascii="Arial Narrow" w:hAnsi="Arial Narrow"/>
                <w:b/>
                <w:sz w:val="18"/>
                <w:szCs w:val="18"/>
                <w:lang w:val="pt-PT" w:eastAsia="en-US"/>
              </w:rPr>
              <w:t xml:space="preserve">de ajutor de </w:t>
            </w:r>
            <w:r w:rsidRPr="00A948A0">
              <w:rPr>
                <w:rFonts w:ascii="Arial Narrow" w:hAnsi="Arial Narrow"/>
                <w:b/>
                <w:sz w:val="18"/>
                <w:szCs w:val="18"/>
                <w:lang w:val="ro-RO" w:eastAsia="en-US"/>
              </w:rPr>
              <w:sym w:font="Times New Roman" w:char="015F"/>
            </w:r>
            <w:r w:rsidRPr="00A948A0">
              <w:rPr>
                <w:rFonts w:ascii="Arial Narrow" w:hAnsi="Arial Narrow"/>
                <w:b/>
                <w:sz w:val="18"/>
                <w:szCs w:val="18"/>
                <w:lang w:val="pt-PT" w:eastAsia="en-US"/>
              </w:rPr>
              <w:t>omaj (75%)</w:t>
            </w:r>
          </w:p>
        </w:tc>
        <w:tc>
          <w:tcPr>
            <w:tcW w:w="1916" w:type="dxa"/>
            <w:tcBorders>
              <w:top w:val="single" w:sz="8" w:space="0" w:color="auto"/>
              <w:left w:val="single" w:sz="8" w:space="0" w:color="auto"/>
              <w:bottom w:val="single" w:sz="4" w:space="0" w:color="auto"/>
              <w:right w:val="single" w:sz="8" w:space="0" w:color="auto"/>
            </w:tcBorders>
            <w:shd w:val="pct10" w:color="auto" w:fill="auto"/>
            <w:vAlign w:val="center"/>
          </w:tcPr>
          <w:p w:rsidR="00A948A0" w:rsidRPr="00A948A0" w:rsidRDefault="00A948A0" w:rsidP="00A948A0">
            <w:pPr>
              <w:ind w:left="-57" w:right="-113"/>
              <w:jc w:val="center"/>
              <w:rPr>
                <w:rFonts w:ascii="Arial Narrow" w:hAnsi="Arial Narrow"/>
                <w:b/>
                <w:sz w:val="18"/>
                <w:szCs w:val="18"/>
                <w:lang w:val="ro-RO" w:eastAsia="en-US"/>
              </w:rPr>
            </w:pPr>
            <w:r w:rsidRPr="00A948A0">
              <w:rPr>
                <w:rFonts w:ascii="Arial Narrow" w:hAnsi="Arial Narrow"/>
                <w:b/>
                <w:sz w:val="18"/>
                <w:szCs w:val="18"/>
                <w:lang w:val="ro-RO" w:eastAsia="en-US"/>
              </w:rPr>
              <w:t>Beneficiari de ajutor de integrare profesional</w:t>
            </w:r>
            <w:r w:rsidRPr="00A948A0">
              <w:rPr>
                <w:rFonts w:ascii="Arial Narrow" w:hAnsi="Arial Narrow"/>
                <w:b/>
                <w:sz w:val="18"/>
                <w:szCs w:val="18"/>
                <w:lang w:val="ro-RO" w:eastAsia="en-US"/>
              </w:rPr>
              <w:sym w:font="Times New Roman" w:char="0103"/>
            </w:r>
            <w:r w:rsidRPr="00A948A0">
              <w:rPr>
                <w:rFonts w:ascii="Arial Narrow" w:hAnsi="Arial Narrow"/>
                <w:b/>
                <w:sz w:val="18"/>
                <w:szCs w:val="18"/>
                <w:lang w:val="ro-RO" w:eastAsia="en-US"/>
              </w:rPr>
              <w:t xml:space="preserve"> (50%)</w:t>
            </w:r>
          </w:p>
        </w:tc>
        <w:tc>
          <w:tcPr>
            <w:tcW w:w="1277" w:type="dxa"/>
            <w:tcBorders>
              <w:top w:val="single" w:sz="8" w:space="0" w:color="auto"/>
              <w:left w:val="single" w:sz="8" w:space="0" w:color="auto"/>
              <w:bottom w:val="single" w:sz="4" w:space="0" w:color="auto"/>
              <w:right w:val="single" w:sz="8" w:space="0" w:color="auto"/>
            </w:tcBorders>
            <w:shd w:val="pct10" w:color="auto" w:fill="auto"/>
            <w:vAlign w:val="center"/>
          </w:tcPr>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sym w:font="Times New Roman" w:char="015E"/>
            </w:r>
            <w:r w:rsidRPr="00A948A0">
              <w:rPr>
                <w:rFonts w:ascii="Arial Narrow" w:hAnsi="Arial Narrow"/>
                <w:b/>
                <w:sz w:val="18"/>
                <w:szCs w:val="18"/>
                <w:lang w:val="ro-RO" w:eastAsia="en-US"/>
              </w:rPr>
              <w:t>omeri</w:t>
            </w:r>
          </w:p>
          <w:p w:rsidR="00A948A0" w:rsidRPr="00A948A0" w:rsidRDefault="00A948A0" w:rsidP="00A948A0">
            <w:pPr>
              <w:jc w:val="center"/>
              <w:rPr>
                <w:rFonts w:ascii="Arial Narrow" w:hAnsi="Arial Narrow"/>
                <w:b/>
                <w:sz w:val="18"/>
                <w:szCs w:val="18"/>
                <w:lang w:val="ro-RO" w:eastAsia="en-US"/>
              </w:rPr>
            </w:pPr>
            <w:r w:rsidRPr="00A948A0">
              <w:rPr>
                <w:rFonts w:ascii="Arial Narrow" w:hAnsi="Arial Narrow"/>
                <w:b/>
                <w:sz w:val="18"/>
                <w:szCs w:val="18"/>
                <w:lang w:val="ro-RO" w:eastAsia="en-US"/>
              </w:rPr>
              <w:t>neindemniza</w:t>
            </w:r>
            <w:r w:rsidRPr="00A948A0">
              <w:rPr>
                <w:rFonts w:ascii="Arial Narrow" w:hAnsi="Arial Narrow"/>
                <w:b/>
                <w:sz w:val="18"/>
                <w:szCs w:val="18"/>
                <w:lang w:val="ro-RO" w:eastAsia="en-US"/>
              </w:rPr>
              <w:sym w:font="Times New Roman" w:char="0163"/>
            </w:r>
            <w:r w:rsidRPr="00A948A0">
              <w:rPr>
                <w:rFonts w:ascii="Arial Narrow" w:hAnsi="Arial Narrow"/>
                <w:b/>
                <w:sz w:val="18"/>
                <w:szCs w:val="18"/>
                <w:lang w:val="ro-RO" w:eastAsia="en-US"/>
              </w:rPr>
              <w:t>i</w:t>
            </w:r>
          </w:p>
        </w:tc>
        <w:tc>
          <w:tcPr>
            <w:tcW w:w="1022" w:type="dxa"/>
            <w:vMerge/>
            <w:tcBorders>
              <w:left w:val="single" w:sz="8" w:space="0" w:color="auto"/>
              <w:bottom w:val="single" w:sz="4" w:space="0" w:color="auto"/>
              <w:right w:val="single" w:sz="8" w:space="0" w:color="auto"/>
            </w:tcBorders>
            <w:vAlign w:val="center"/>
          </w:tcPr>
          <w:p w:rsidR="00A948A0" w:rsidRPr="00A948A0" w:rsidRDefault="00A948A0" w:rsidP="00A948A0">
            <w:pPr>
              <w:ind w:right="-108" w:firstLine="720"/>
              <w:jc w:val="both"/>
              <w:rPr>
                <w:b/>
                <w:sz w:val="24"/>
                <w:szCs w:val="24"/>
                <w:lang w:val="ro-RO" w:eastAsia="en-US"/>
              </w:rPr>
            </w:pPr>
          </w:p>
        </w:tc>
      </w:tr>
      <w:tr w:rsidR="00A948A0" w:rsidRPr="00A948A0" w:rsidTr="00A948A0">
        <w:tblPrEx>
          <w:tblCellMar>
            <w:top w:w="0" w:type="dxa"/>
            <w:bottom w:w="0" w:type="dxa"/>
          </w:tblCellMar>
        </w:tblPrEx>
        <w:trPr>
          <w:trHeight w:hRule="exact" w:val="811"/>
        </w:trPr>
        <w:tc>
          <w:tcPr>
            <w:tcW w:w="1661" w:type="dxa"/>
            <w:tcBorders>
              <w:top w:val="single" w:sz="4" w:space="0" w:color="auto"/>
              <w:left w:val="single" w:sz="4" w:space="0" w:color="auto"/>
              <w:bottom w:val="single" w:sz="4" w:space="0" w:color="auto"/>
              <w:right w:val="single" w:sz="4" w:space="0" w:color="auto"/>
            </w:tcBorders>
            <w:vAlign w:val="center"/>
          </w:tcPr>
          <w:p w:rsidR="00A948A0" w:rsidRPr="00A948A0" w:rsidRDefault="00A948A0" w:rsidP="00A948A0">
            <w:pPr>
              <w:jc w:val="both"/>
              <w:rPr>
                <w:rFonts w:ascii="Arial Narrow" w:hAnsi="Arial Narrow"/>
                <w:b/>
                <w:lang w:val="ro-RO" w:eastAsia="en-US"/>
              </w:rPr>
            </w:pPr>
            <w:bookmarkStart w:id="1" w:name="_Hlk431992755"/>
            <w:r w:rsidRPr="00A948A0">
              <w:rPr>
                <w:rFonts w:ascii="Arial Narrow" w:hAnsi="Arial Narrow"/>
                <w:b/>
                <w:lang w:val="ro-RO" w:eastAsia="en-US"/>
              </w:rPr>
              <w:t xml:space="preserve">TOTAL, </w:t>
            </w:r>
            <w:r w:rsidRPr="00A948A0">
              <w:rPr>
                <w:rFonts w:ascii="Arial Narrow" w:hAnsi="Arial Narrow"/>
                <w:lang w:val="ro-RO" w:eastAsia="en-US"/>
              </w:rPr>
              <w:t>din care:</w:t>
            </w:r>
          </w:p>
        </w:tc>
        <w:tc>
          <w:tcPr>
            <w:tcW w:w="1533"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b/>
                <w:bCs/>
                <w:sz w:val="16"/>
                <w:szCs w:val="16"/>
                <w:lang w:val="ro-RO" w:eastAsia="en-US"/>
              </w:rPr>
            </w:pPr>
            <w:r w:rsidRPr="00A948A0">
              <w:rPr>
                <w:rFonts w:ascii="Arial Narrow" w:hAnsi="Arial Narrow" w:cs="Arial"/>
                <w:b/>
                <w:bCs/>
                <w:sz w:val="16"/>
                <w:szCs w:val="16"/>
                <w:lang w:val="ro-RO" w:eastAsia="en-US"/>
              </w:rPr>
              <w:t>4313</w:t>
            </w:r>
          </w:p>
        </w:tc>
        <w:tc>
          <w:tcPr>
            <w:tcW w:w="1789"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b/>
                <w:bCs/>
                <w:sz w:val="16"/>
                <w:szCs w:val="16"/>
                <w:lang w:val="ro-RO" w:eastAsia="en-US"/>
              </w:rPr>
            </w:pPr>
            <w:r w:rsidRPr="00A948A0">
              <w:rPr>
                <w:rFonts w:ascii="Arial Narrow" w:hAnsi="Arial Narrow" w:cs="Arial"/>
                <w:b/>
                <w:bCs/>
                <w:sz w:val="16"/>
                <w:szCs w:val="16"/>
                <w:lang w:val="ro-RO" w:eastAsia="en-US"/>
              </w:rPr>
              <w:t>1362</w:t>
            </w:r>
          </w:p>
        </w:tc>
        <w:tc>
          <w:tcPr>
            <w:tcW w:w="1916"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b/>
                <w:bCs/>
                <w:sz w:val="16"/>
                <w:szCs w:val="16"/>
                <w:lang w:val="ro-RO" w:eastAsia="en-US"/>
              </w:rPr>
            </w:pPr>
            <w:r w:rsidRPr="00A948A0">
              <w:rPr>
                <w:rFonts w:ascii="Arial Narrow" w:hAnsi="Arial Narrow" w:cs="Arial"/>
                <w:b/>
                <w:bCs/>
                <w:sz w:val="16"/>
                <w:szCs w:val="16"/>
                <w:lang w:val="ro-RO" w:eastAsia="en-US"/>
              </w:rPr>
              <w:t>201</w:t>
            </w:r>
          </w:p>
        </w:tc>
        <w:tc>
          <w:tcPr>
            <w:tcW w:w="1277"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b/>
                <w:bCs/>
                <w:sz w:val="16"/>
                <w:szCs w:val="16"/>
                <w:lang w:val="ro-RO" w:eastAsia="en-US"/>
              </w:rPr>
            </w:pPr>
            <w:r w:rsidRPr="00A948A0">
              <w:rPr>
                <w:rFonts w:ascii="Arial Narrow" w:hAnsi="Arial Narrow" w:cs="Arial"/>
                <w:b/>
                <w:bCs/>
                <w:sz w:val="16"/>
                <w:szCs w:val="16"/>
                <w:lang w:val="ro-RO" w:eastAsia="en-US"/>
              </w:rPr>
              <w:t>2750</w:t>
            </w:r>
          </w:p>
        </w:tc>
        <w:tc>
          <w:tcPr>
            <w:tcW w:w="1022" w:type="dxa"/>
            <w:tcBorders>
              <w:top w:val="single" w:sz="4" w:space="0" w:color="auto"/>
              <w:left w:val="single" w:sz="4" w:space="0" w:color="auto"/>
              <w:bottom w:val="single" w:sz="4" w:space="0" w:color="auto"/>
              <w:right w:val="single" w:sz="4" w:space="0" w:color="auto"/>
            </w:tcBorders>
            <w:vAlign w:val="center"/>
          </w:tcPr>
          <w:p w:rsidR="00A948A0" w:rsidRPr="00A948A0" w:rsidRDefault="00A948A0" w:rsidP="00A948A0">
            <w:pPr>
              <w:jc w:val="center"/>
              <w:rPr>
                <w:rFonts w:ascii="Arial Narrow" w:hAnsi="Arial Narrow" w:cs="Arial"/>
                <w:b/>
                <w:bCs/>
                <w:sz w:val="16"/>
                <w:szCs w:val="16"/>
                <w:lang w:val="ro-RO" w:eastAsia="en-US"/>
              </w:rPr>
            </w:pPr>
            <w:r w:rsidRPr="00A948A0">
              <w:rPr>
                <w:rFonts w:ascii="Arial Narrow" w:hAnsi="Arial Narrow" w:cs="Arial"/>
                <w:b/>
                <w:bCs/>
                <w:sz w:val="16"/>
                <w:szCs w:val="16"/>
                <w:lang w:val="ro-RO" w:eastAsia="en-US"/>
              </w:rPr>
              <w:t>3,2</w:t>
            </w:r>
          </w:p>
        </w:tc>
      </w:tr>
      <w:tr w:rsidR="00A948A0" w:rsidRPr="00A948A0" w:rsidTr="00A948A0">
        <w:tblPrEx>
          <w:tblCellMar>
            <w:top w:w="0" w:type="dxa"/>
            <w:bottom w:w="0" w:type="dxa"/>
          </w:tblCellMar>
        </w:tblPrEx>
        <w:trPr>
          <w:trHeight w:hRule="exact" w:val="816"/>
        </w:trPr>
        <w:tc>
          <w:tcPr>
            <w:tcW w:w="1661" w:type="dxa"/>
            <w:tcBorders>
              <w:top w:val="single" w:sz="4" w:space="0" w:color="auto"/>
              <w:left w:val="single" w:sz="4" w:space="0" w:color="auto"/>
              <w:bottom w:val="single" w:sz="4" w:space="0" w:color="auto"/>
              <w:right w:val="single" w:sz="4" w:space="0" w:color="auto"/>
            </w:tcBorders>
            <w:vAlign w:val="center"/>
          </w:tcPr>
          <w:p w:rsidR="00A948A0" w:rsidRPr="00A948A0" w:rsidRDefault="00A948A0" w:rsidP="00A948A0">
            <w:pPr>
              <w:jc w:val="both"/>
              <w:rPr>
                <w:rFonts w:ascii="Arial Narrow" w:hAnsi="Arial Narrow"/>
                <w:lang w:val="ro-RO" w:eastAsia="en-US"/>
              </w:rPr>
            </w:pPr>
            <w:r w:rsidRPr="00A948A0">
              <w:rPr>
                <w:rFonts w:ascii="Arial Narrow" w:hAnsi="Arial Narrow"/>
                <w:lang w:val="ro-RO" w:eastAsia="en-US"/>
              </w:rPr>
              <w:t>- femei</w:t>
            </w:r>
          </w:p>
        </w:tc>
        <w:tc>
          <w:tcPr>
            <w:tcW w:w="1533"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sz w:val="16"/>
                <w:szCs w:val="16"/>
                <w:lang w:val="ro-RO" w:eastAsia="en-US"/>
              </w:rPr>
            </w:pPr>
            <w:r w:rsidRPr="00A948A0">
              <w:rPr>
                <w:rFonts w:ascii="Arial Narrow" w:hAnsi="Arial Narrow" w:cs="Arial"/>
                <w:sz w:val="16"/>
                <w:szCs w:val="16"/>
                <w:lang w:val="ro-RO" w:eastAsia="en-US"/>
              </w:rPr>
              <w:t>2080</w:t>
            </w:r>
          </w:p>
        </w:tc>
        <w:tc>
          <w:tcPr>
            <w:tcW w:w="1789"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sz w:val="16"/>
                <w:szCs w:val="16"/>
                <w:lang w:val="ro-RO" w:eastAsia="en-US"/>
              </w:rPr>
            </w:pPr>
            <w:r w:rsidRPr="00A948A0">
              <w:rPr>
                <w:rFonts w:ascii="Arial Narrow" w:hAnsi="Arial Narrow" w:cs="Arial"/>
                <w:sz w:val="16"/>
                <w:szCs w:val="16"/>
                <w:lang w:val="ro-RO" w:eastAsia="en-US"/>
              </w:rPr>
              <w:t>752</w:t>
            </w:r>
          </w:p>
        </w:tc>
        <w:tc>
          <w:tcPr>
            <w:tcW w:w="1916"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sz w:val="16"/>
                <w:szCs w:val="16"/>
                <w:lang w:val="ro-RO" w:eastAsia="en-US"/>
              </w:rPr>
            </w:pPr>
            <w:r w:rsidRPr="00A948A0">
              <w:rPr>
                <w:rFonts w:ascii="Arial Narrow" w:hAnsi="Arial Narrow" w:cs="Arial"/>
                <w:sz w:val="16"/>
                <w:szCs w:val="16"/>
                <w:lang w:val="ro-RO" w:eastAsia="en-US"/>
              </w:rPr>
              <w:t>120</w:t>
            </w:r>
          </w:p>
        </w:tc>
        <w:tc>
          <w:tcPr>
            <w:tcW w:w="1277" w:type="dxa"/>
            <w:tcBorders>
              <w:top w:val="single" w:sz="4" w:space="0" w:color="auto"/>
              <w:left w:val="single" w:sz="4" w:space="0" w:color="auto"/>
              <w:bottom w:val="single" w:sz="4" w:space="0" w:color="auto"/>
              <w:right w:val="single" w:sz="4" w:space="0" w:color="auto"/>
            </w:tcBorders>
            <w:vAlign w:val="bottom"/>
          </w:tcPr>
          <w:p w:rsidR="00A948A0" w:rsidRPr="00A948A0" w:rsidRDefault="00A948A0" w:rsidP="00A948A0">
            <w:pPr>
              <w:ind w:firstLine="720"/>
              <w:jc w:val="center"/>
              <w:rPr>
                <w:rFonts w:ascii="Arial Narrow" w:hAnsi="Arial Narrow" w:cs="Arial"/>
                <w:sz w:val="16"/>
                <w:szCs w:val="16"/>
                <w:lang w:val="ro-RO" w:eastAsia="en-US"/>
              </w:rPr>
            </w:pPr>
            <w:r w:rsidRPr="00A948A0">
              <w:rPr>
                <w:rFonts w:ascii="Arial Narrow" w:hAnsi="Arial Narrow" w:cs="Arial"/>
                <w:sz w:val="16"/>
                <w:szCs w:val="16"/>
                <w:lang w:val="ro-RO" w:eastAsia="en-US"/>
              </w:rPr>
              <w:t>1208</w:t>
            </w:r>
          </w:p>
        </w:tc>
        <w:tc>
          <w:tcPr>
            <w:tcW w:w="1022" w:type="dxa"/>
            <w:tcBorders>
              <w:top w:val="single" w:sz="4" w:space="0" w:color="auto"/>
              <w:left w:val="single" w:sz="4" w:space="0" w:color="auto"/>
              <w:bottom w:val="single" w:sz="4" w:space="0" w:color="auto"/>
              <w:right w:val="single" w:sz="4" w:space="0" w:color="auto"/>
            </w:tcBorders>
            <w:vAlign w:val="center"/>
          </w:tcPr>
          <w:p w:rsidR="00A948A0" w:rsidRPr="00A948A0" w:rsidRDefault="00A948A0" w:rsidP="00A948A0">
            <w:pPr>
              <w:jc w:val="center"/>
              <w:rPr>
                <w:rFonts w:ascii="Arial Narrow" w:hAnsi="Arial Narrow" w:cs="Arial"/>
                <w:sz w:val="16"/>
                <w:szCs w:val="16"/>
                <w:lang w:val="ro-RO" w:eastAsia="en-US"/>
              </w:rPr>
            </w:pPr>
            <w:r w:rsidRPr="00A948A0">
              <w:rPr>
                <w:rFonts w:ascii="Arial Narrow" w:hAnsi="Arial Narrow" w:cs="Arial"/>
                <w:sz w:val="16"/>
                <w:szCs w:val="16"/>
                <w:lang w:val="ro-RO" w:eastAsia="en-US"/>
              </w:rPr>
              <w:t>3,3</w:t>
            </w:r>
          </w:p>
        </w:tc>
      </w:tr>
    </w:tbl>
    <w:bookmarkEnd w:id="1"/>
    <w:p w:rsidR="00425A1A" w:rsidRPr="00023B45" w:rsidRDefault="00425A1A" w:rsidP="00425A1A">
      <w:pPr>
        <w:rPr>
          <w:rFonts w:ascii="Arial" w:hAnsi="Arial" w:cs="Arial"/>
          <w:lang w:val="ro-RO"/>
        </w:rPr>
      </w:pPr>
      <w:r w:rsidRPr="00023B45">
        <w:rPr>
          <w:rFonts w:ascii="Arial" w:hAnsi="Arial" w:cs="Arial"/>
          <w:lang w:val="ro-RO"/>
        </w:rPr>
        <w:t>Sursa: Baza de date a INS</w:t>
      </w:r>
    </w:p>
    <w:p w:rsidR="00D36A85" w:rsidRPr="00023B45" w:rsidRDefault="00D36A85" w:rsidP="00B605F2">
      <w:pPr>
        <w:pStyle w:val="ListParagraph"/>
        <w:rPr>
          <w:rFonts w:ascii="Arial" w:hAnsi="Arial" w:cs="Arial"/>
          <w:b/>
          <w:sz w:val="24"/>
          <w:szCs w:val="24"/>
          <w:lang w:val="ro-RO"/>
        </w:rPr>
      </w:pPr>
    </w:p>
    <w:p w:rsidR="00CB040C" w:rsidRPr="00CB040C" w:rsidRDefault="00CB040C" w:rsidP="00CB040C">
      <w:pPr>
        <w:spacing w:line="360" w:lineRule="auto"/>
        <w:ind w:firstLine="851"/>
        <w:jc w:val="both"/>
        <w:rPr>
          <w:rFonts w:ascii="Arial" w:hAnsi="Arial" w:cs="Arial"/>
          <w:sz w:val="24"/>
          <w:szCs w:val="24"/>
          <w:lang w:val="ro-RO" w:eastAsia="en-US"/>
        </w:rPr>
      </w:pPr>
      <w:r w:rsidRPr="00CB040C">
        <w:rPr>
          <w:rFonts w:ascii="Arial" w:hAnsi="Arial" w:cs="Arial"/>
          <w:sz w:val="24"/>
          <w:szCs w:val="24"/>
          <w:lang w:val="ro-RO" w:eastAsia="en-US"/>
        </w:rPr>
        <w:t>Din num</w:t>
      </w:r>
      <w:r w:rsidRPr="00CB040C">
        <w:rPr>
          <w:rFonts w:ascii="Arial" w:hAnsi="Arial" w:cs="Arial"/>
          <w:sz w:val="24"/>
          <w:szCs w:val="24"/>
          <w:lang w:val="ro-RO" w:eastAsia="en-US"/>
        </w:rPr>
        <w:sym w:font="Times New Roman" w:char="0103"/>
      </w:r>
      <w:r w:rsidRPr="00CB040C">
        <w:rPr>
          <w:rFonts w:ascii="Arial" w:hAnsi="Arial" w:cs="Arial"/>
          <w:sz w:val="24"/>
          <w:szCs w:val="24"/>
          <w:lang w:val="ro-RO" w:eastAsia="en-US"/>
        </w:rPr>
        <w:t xml:space="preserve">rul total de </w:t>
      </w:r>
      <w:r w:rsidRPr="00CB040C">
        <w:rPr>
          <w:rFonts w:ascii="Arial" w:hAnsi="Arial" w:cs="Arial"/>
          <w:sz w:val="24"/>
          <w:szCs w:val="24"/>
          <w:lang w:val="ro-RO" w:eastAsia="en-US"/>
        </w:rPr>
        <w:sym w:font="Times New Roman" w:char="015F"/>
      </w:r>
      <w:r w:rsidRPr="00CB040C">
        <w:rPr>
          <w:rFonts w:ascii="Arial" w:hAnsi="Arial" w:cs="Arial"/>
          <w:sz w:val="24"/>
          <w:szCs w:val="24"/>
          <w:lang w:val="ro-RO" w:eastAsia="en-US"/>
        </w:rPr>
        <w:t xml:space="preserve">omeri </w:t>
      </w:r>
      <w:r w:rsidRPr="00CB040C">
        <w:rPr>
          <w:rFonts w:ascii="Arial" w:hAnsi="Arial" w:cs="Arial"/>
          <w:sz w:val="24"/>
          <w:szCs w:val="24"/>
          <w:lang w:val="ro-RO" w:eastAsia="en-US"/>
        </w:rPr>
        <w:sym w:font="Times New Roman" w:char="00EE"/>
      </w:r>
      <w:r w:rsidRPr="00CB040C">
        <w:rPr>
          <w:rFonts w:ascii="Arial" w:hAnsi="Arial" w:cs="Arial"/>
          <w:sz w:val="24"/>
          <w:szCs w:val="24"/>
          <w:lang w:val="ro-RO" w:eastAsia="en-US"/>
        </w:rPr>
        <w:t>nregistra</w:t>
      </w:r>
      <w:r w:rsidRPr="00CB040C">
        <w:rPr>
          <w:rFonts w:ascii="Arial" w:hAnsi="Arial" w:cs="Arial"/>
          <w:sz w:val="24"/>
          <w:szCs w:val="24"/>
          <w:lang w:val="ro-RO" w:eastAsia="en-US"/>
        </w:rPr>
        <w:sym w:font="Times New Roman" w:char="0163"/>
      </w:r>
      <w:r w:rsidRPr="00CB040C">
        <w:rPr>
          <w:rFonts w:ascii="Arial" w:hAnsi="Arial" w:cs="Arial"/>
          <w:sz w:val="24"/>
          <w:szCs w:val="24"/>
          <w:lang w:val="ro-RO" w:eastAsia="en-US"/>
        </w:rPr>
        <w:t>i femeile reprezint</w:t>
      </w:r>
      <w:r w:rsidRPr="00CB040C">
        <w:rPr>
          <w:rFonts w:ascii="Arial" w:hAnsi="Arial" w:cs="Arial"/>
          <w:sz w:val="24"/>
          <w:szCs w:val="24"/>
          <w:lang w:val="ro-RO" w:eastAsia="en-US"/>
        </w:rPr>
        <w:sym w:font="Times New Roman" w:char="0103"/>
      </w:r>
      <w:r w:rsidRPr="00CB040C">
        <w:rPr>
          <w:rFonts w:ascii="Arial" w:hAnsi="Arial" w:cs="Arial"/>
          <w:sz w:val="24"/>
          <w:szCs w:val="24"/>
          <w:lang w:val="ro-RO" w:eastAsia="en-US"/>
        </w:rPr>
        <w:t xml:space="preserve"> 48,2%, iar din totalul </w:t>
      </w:r>
      <w:r w:rsidRPr="00CB040C">
        <w:rPr>
          <w:rFonts w:ascii="Arial" w:hAnsi="Arial" w:cs="Arial"/>
          <w:sz w:val="24"/>
          <w:szCs w:val="24"/>
          <w:lang w:val="ro-RO" w:eastAsia="en-US"/>
        </w:rPr>
        <w:sym w:font="Times New Roman" w:char="015F"/>
      </w:r>
      <w:r w:rsidRPr="00CB040C">
        <w:rPr>
          <w:rFonts w:ascii="Arial" w:hAnsi="Arial" w:cs="Arial"/>
          <w:sz w:val="24"/>
          <w:szCs w:val="24"/>
          <w:lang w:val="ro-RO" w:eastAsia="en-US"/>
        </w:rPr>
        <w:t>omerilor neindemniza</w:t>
      </w:r>
      <w:r w:rsidRPr="00CB040C">
        <w:rPr>
          <w:rFonts w:ascii="Arial" w:hAnsi="Arial" w:cs="Arial"/>
          <w:sz w:val="24"/>
          <w:szCs w:val="24"/>
          <w:lang w:val="ro-RO" w:eastAsia="en-US"/>
        </w:rPr>
        <w:sym w:font="Times New Roman" w:char="0163"/>
      </w:r>
      <w:r w:rsidRPr="00CB040C">
        <w:rPr>
          <w:rFonts w:ascii="Arial" w:hAnsi="Arial" w:cs="Arial"/>
          <w:sz w:val="24"/>
          <w:szCs w:val="24"/>
          <w:lang w:val="ro-RO" w:eastAsia="en-US"/>
        </w:rPr>
        <w:t>i femeile reprezintă 43,9%. În raport cu nivelul şcolii absolvite,  din numărul total de şomeri înregistraţi,  7,2% sunt persoane cu studii superioare,  1,9% studii postliceale, 29,6%  studii liceale, 20,3% studii profesionale, 31,0% studii gimnaziale, 10,0% studii primare.</w:t>
      </w:r>
    </w:p>
    <w:p w:rsidR="00CB040C" w:rsidRPr="00CB040C" w:rsidRDefault="00CB040C" w:rsidP="00CB040C">
      <w:pPr>
        <w:spacing w:line="360" w:lineRule="auto"/>
        <w:ind w:firstLine="851"/>
        <w:jc w:val="both"/>
        <w:rPr>
          <w:rFonts w:ascii="Arial" w:hAnsi="Arial" w:cs="Arial"/>
          <w:sz w:val="24"/>
          <w:szCs w:val="24"/>
          <w:lang w:val="ro-RO" w:eastAsia="en-US"/>
        </w:rPr>
      </w:pPr>
      <w:r w:rsidRPr="00CB040C">
        <w:rPr>
          <w:rFonts w:ascii="Arial" w:hAnsi="Arial" w:cs="Arial"/>
          <w:sz w:val="24"/>
          <w:szCs w:val="24"/>
          <w:lang w:val="ro-RO" w:eastAsia="en-US"/>
        </w:rPr>
        <w:t xml:space="preserve">Rata </w:t>
      </w:r>
      <w:r w:rsidRPr="00CB040C">
        <w:rPr>
          <w:rFonts w:ascii="Arial" w:hAnsi="Arial" w:cs="Arial"/>
          <w:sz w:val="24"/>
          <w:szCs w:val="24"/>
          <w:lang w:val="ro-RO" w:eastAsia="en-US"/>
        </w:rPr>
        <w:sym w:font="Times New Roman" w:char="015F"/>
      </w:r>
      <w:r w:rsidRPr="00CB040C">
        <w:rPr>
          <w:rFonts w:ascii="Arial" w:hAnsi="Arial" w:cs="Arial"/>
          <w:sz w:val="24"/>
          <w:szCs w:val="24"/>
          <w:lang w:val="ro-RO" w:eastAsia="en-US"/>
        </w:rPr>
        <w:t>omajului (recalculat</w:t>
      </w:r>
      <w:r w:rsidRPr="00CB040C">
        <w:rPr>
          <w:rFonts w:ascii="Arial" w:hAnsi="Arial" w:cs="Arial"/>
          <w:sz w:val="24"/>
          <w:szCs w:val="24"/>
          <w:lang w:val="ro-RO" w:eastAsia="en-US"/>
        </w:rPr>
        <w:sym w:font="Times New Roman" w:char="0103"/>
      </w:r>
      <w:r w:rsidRPr="00CB040C">
        <w:rPr>
          <w:rFonts w:ascii="Arial" w:hAnsi="Arial" w:cs="Arial"/>
          <w:sz w:val="24"/>
          <w:szCs w:val="24"/>
          <w:lang w:val="ro-RO" w:eastAsia="en-US"/>
        </w:rPr>
        <w:t xml:space="preserve"> prin raportarea num</w:t>
      </w:r>
      <w:r w:rsidRPr="00CB040C">
        <w:rPr>
          <w:rFonts w:ascii="Arial" w:hAnsi="Arial" w:cs="Arial"/>
          <w:sz w:val="24"/>
          <w:szCs w:val="24"/>
          <w:lang w:val="ro-RO" w:eastAsia="en-US"/>
        </w:rPr>
        <w:sym w:font="Times New Roman" w:char="0103"/>
      </w:r>
      <w:r w:rsidRPr="00CB040C">
        <w:rPr>
          <w:rFonts w:ascii="Arial" w:hAnsi="Arial" w:cs="Arial"/>
          <w:sz w:val="24"/>
          <w:szCs w:val="24"/>
          <w:lang w:val="ro-RO" w:eastAsia="en-US"/>
        </w:rPr>
        <w:t xml:space="preserve">rului total al </w:t>
      </w:r>
      <w:r w:rsidRPr="00CB040C">
        <w:rPr>
          <w:rFonts w:ascii="Arial" w:hAnsi="Arial" w:cs="Arial"/>
          <w:sz w:val="24"/>
          <w:szCs w:val="24"/>
          <w:lang w:val="ro-RO" w:eastAsia="en-US"/>
        </w:rPr>
        <w:sym w:font="Times New Roman" w:char="015F"/>
      </w:r>
      <w:r w:rsidRPr="00CB040C">
        <w:rPr>
          <w:rFonts w:ascii="Arial" w:hAnsi="Arial" w:cs="Arial"/>
          <w:sz w:val="24"/>
          <w:szCs w:val="24"/>
          <w:lang w:val="ro-RO" w:eastAsia="en-US"/>
        </w:rPr>
        <w:t>omerilor la popula</w:t>
      </w:r>
      <w:r w:rsidRPr="00CB040C">
        <w:rPr>
          <w:rFonts w:ascii="Arial" w:hAnsi="Arial" w:cs="Arial"/>
          <w:sz w:val="24"/>
          <w:szCs w:val="24"/>
          <w:lang w:val="ro-RO" w:eastAsia="en-US"/>
        </w:rPr>
        <w:sym w:font="Times New Roman" w:char="0163"/>
      </w:r>
      <w:r w:rsidRPr="00CB040C">
        <w:rPr>
          <w:rFonts w:ascii="Arial" w:hAnsi="Arial" w:cs="Arial"/>
          <w:sz w:val="24"/>
          <w:szCs w:val="24"/>
          <w:lang w:val="ro-RO" w:eastAsia="en-US"/>
        </w:rPr>
        <w:t>ia activ</w:t>
      </w:r>
      <w:r w:rsidRPr="00CB040C">
        <w:rPr>
          <w:rFonts w:ascii="Arial" w:hAnsi="Arial" w:cs="Arial"/>
          <w:sz w:val="24"/>
          <w:szCs w:val="24"/>
          <w:lang w:val="ro-RO" w:eastAsia="en-US"/>
        </w:rPr>
        <w:sym w:font="Times New Roman" w:char="0103"/>
      </w:r>
      <w:r w:rsidRPr="00CB040C">
        <w:rPr>
          <w:rFonts w:ascii="Arial" w:hAnsi="Arial" w:cs="Arial"/>
          <w:sz w:val="24"/>
          <w:szCs w:val="24"/>
          <w:lang w:val="ro-RO" w:eastAsia="en-US"/>
        </w:rPr>
        <w:t xml:space="preserve"> civilă de la </w:t>
      </w:r>
      <w:r w:rsidRPr="00CB040C">
        <w:rPr>
          <w:rFonts w:ascii="Arial" w:hAnsi="Arial" w:cs="Arial"/>
          <w:sz w:val="24"/>
          <w:szCs w:val="24"/>
          <w:lang w:val="ro-RO" w:eastAsia="en-US"/>
        </w:rPr>
        <w:sym w:font="Times New Roman" w:char="00EE"/>
      </w:r>
      <w:r w:rsidRPr="00CB040C">
        <w:rPr>
          <w:rFonts w:ascii="Arial" w:hAnsi="Arial" w:cs="Arial"/>
          <w:sz w:val="24"/>
          <w:szCs w:val="24"/>
          <w:lang w:val="ro-RO" w:eastAsia="en-US"/>
        </w:rPr>
        <w:t xml:space="preserve">nceputul anului 2021) a fost de 3,2% pe total (3,3% pentru femei şi 3,1% pentru bărbaţi), plasând judeţul Gorj pe locul 16 </w:t>
      </w:r>
      <w:r w:rsidRPr="00CB040C">
        <w:rPr>
          <w:rFonts w:ascii="Arial" w:hAnsi="Arial" w:cs="Arial"/>
          <w:bCs/>
          <w:sz w:val="24"/>
          <w:szCs w:val="24"/>
          <w:lang w:val="ro-RO" w:eastAsia="en-US"/>
        </w:rPr>
        <w:t>în clasamentul judeţelor ordonate descrescător</w:t>
      </w:r>
      <w:r w:rsidRPr="00CB040C">
        <w:rPr>
          <w:rFonts w:ascii="Arial" w:hAnsi="Arial" w:cs="Arial"/>
          <w:sz w:val="24"/>
          <w:szCs w:val="24"/>
          <w:lang w:val="ro-RO" w:eastAsia="en-US"/>
        </w:rPr>
        <w:t>, fiind mai mare cu 0,5 puncte procentuale faţă de rata şomajului înregistrată la nivelul ţării (2,7%).</w:t>
      </w:r>
    </w:p>
    <w:p w:rsidR="002A24B8" w:rsidRPr="00CB040C" w:rsidRDefault="002A24B8" w:rsidP="002A24B8">
      <w:pPr>
        <w:rPr>
          <w:rFonts w:ascii="Arial" w:hAnsi="Arial" w:cs="Arial"/>
          <w:b/>
          <w:sz w:val="24"/>
          <w:szCs w:val="24"/>
          <w:lang w:val="ro-RO"/>
        </w:rPr>
      </w:pP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 xml:space="preserve">   X.3.Presiunile asupra mediului cauzate de consum</w:t>
      </w:r>
    </w:p>
    <w:p w:rsidR="002A24B8" w:rsidRPr="00023B45" w:rsidRDefault="002A24B8" w:rsidP="00B605F2">
      <w:pPr>
        <w:rPr>
          <w:rFonts w:ascii="Arial" w:hAnsi="Arial" w:cs="Arial"/>
          <w:b/>
          <w:sz w:val="24"/>
          <w:szCs w:val="24"/>
          <w:lang w:val="ro-RO"/>
        </w:rPr>
      </w:pPr>
    </w:p>
    <w:p w:rsidR="002A24B8" w:rsidRPr="00023B45" w:rsidRDefault="002A24B8" w:rsidP="00B605F2">
      <w:pPr>
        <w:rPr>
          <w:rFonts w:ascii="Arial" w:hAnsi="Arial" w:cs="Arial"/>
          <w:sz w:val="24"/>
          <w:szCs w:val="24"/>
          <w:lang w:val="ro-RO"/>
        </w:rPr>
      </w:pPr>
      <w:r w:rsidRPr="00023B45">
        <w:rPr>
          <w:rFonts w:ascii="Arial" w:hAnsi="Arial" w:cs="Arial"/>
          <w:b/>
          <w:sz w:val="24"/>
          <w:szCs w:val="24"/>
          <w:lang w:val="ro-RO"/>
        </w:rPr>
        <w:t xml:space="preserve">      </w:t>
      </w:r>
      <w:r w:rsidRPr="00023B45">
        <w:rPr>
          <w:rFonts w:ascii="Arial" w:hAnsi="Arial" w:cs="Arial"/>
          <w:sz w:val="24"/>
          <w:szCs w:val="24"/>
          <w:lang w:val="ro-RO"/>
        </w:rPr>
        <w:t>X.3.1. Emisii de gaze cu efect de sera din sectorul residential</w:t>
      </w:r>
    </w:p>
    <w:p w:rsidR="00EF24D3" w:rsidRPr="00023B45" w:rsidRDefault="00EF24D3" w:rsidP="00B605F2">
      <w:pPr>
        <w:rPr>
          <w:rFonts w:ascii="Arial" w:hAnsi="Arial" w:cs="Arial"/>
          <w:sz w:val="24"/>
          <w:szCs w:val="24"/>
          <w:lang w:val="ro-RO"/>
        </w:rPr>
      </w:pPr>
    </w:p>
    <w:p w:rsidR="00EF24D3" w:rsidRPr="00023B45" w:rsidRDefault="00EF24D3" w:rsidP="00B605F2">
      <w:pPr>
        <w:rPr>
          <w:rFonts w:ascii="Arial" w:hAnsi="Arial" w:cs="Arial"/>
          <w:sz w:val="24"/>
          <w:szCs w:val="24"/>
          <w:lang w:val="ro-RO"/>
        </w:rPr>
      </w:pPr>
      <w:r w:rsidRPr="00023B45">
        <w:rPr>
          <w:rFonts w:ascii="Arial" w:hAnsi="Arial" w:cs="Arial"/>
          <w:sz w:val="24"/>
          <w:szCs w:val="24"/>
          <w:lang w:val="ro-RO"/>
        </w:rPr>
        <w:t xml:space="preserve">          Nu deținem date.</w:t>
      </w:r>
    </w:p>
    <w:p w:rsidR="002A24B8" w:rsidRPr="00023B45" w:rsidRDefault="002A24B8" w:rsidP="00B605F2">
      <w:pPr>
        <w:rPr>
          <w:rFonts w:ascii="Arial" w:hAnsi="Arial" w:cs="Arial"/>
          <w:sz w:val="24"/>
          <w:szCs w:val="24"/>
          <w:lang w:val="ro-RO"/>
        </w:rPr>
      </w:pPr>
    </w:p>
    <w:p w:rsidR="002A24B8" w:rsidRPr="00023B45" w:rsidRDefault="002A24B8" w:rsidP="00B605F2">
      <w:pPr>
        <w:rPr>
          <w:rFonts w:ascii="Arial" w:hAnsi="Arial" w:cs="Arial"/>
          <w:sz w:val="24"/>
          <w:szCs w:val="24"/>
          <w:lang w:val="ro-RO"/>
        </w:rPr>
      </w:pPr>
      <w:r w:rsidRPr="00023B45">
        <w:rPr>
          <w:rFonts w:ascii="Arial" w:hAnsi="Arial" w:cs="Arial"/>
          <w:sz w:val="24"/>
          <w:szCs w:val="24"/>
          <w:lang w:val="ro-RO"/>
        </w:rPr>
        <w:t xml:space="preserve">      X.3.2. Consumul de energie pe cap de locuitor</w:t>
      </w:r>
    </w:p>
    <w:p w:rsidR="00FE09A8" w:rsidRPr="00023B45" w:rsidRDefault="00FE09A8" w:rsidP="00B605F2">
      <w:pPr>
        <w:rPr>
          <w:rFonts w:ascii="Arial" w:hAnsi="Arial" w:cs="Arial"/>
          <w:sz w:val="24"/>
          <w:szCs w:val="24"/>
          <w:lang w:val="ro-RO"/>
        </w:rPr>
      </w:pPr>
    </w:p>
    <w:p w:rsidR="002A24B8" w:rsidRPr="00023B45" w:rsidRDefault="002A24B8" w:rsidP="00B605F2">
      <w:pPr>
        <w:rPr>
          <w:rFonts w:ascii="Arial" w:hAnsi="Arial" w:cs="Arial"/>
          <w:sz w:val="24"/>
          <w:szCs w:val="24"/>
          <w:lang w:val="ro-RO"/>
        </w:rPr>
      </w:pPr>
    </w:p>
    <w:p w:rsidR="002A24B8" w:rsidRPr="00023B45" w:rsidRDefault="002A24B8" w:rsidP="00B605F2">
      <w:pPr>
        <w:ind w:firstLine="708"/>
        <w:rPr>
          <w:rFonts w:ascii="Arial" w:hAnsi="Arial" w:cs="Arial"/>
          <w:sz w:val="24"/>
          <w:szCs w:val="24"/>
          <w:lang w:val="ro-RO"/>
        </w:rPr>
      </w:pPr>
      <w:r w:rsidRPr="00023B45">
        <w:rPr>
          <w:rFonts w:ascii="Arial" w:hAnsi="Arial" w:cs="Arial"/>
          <w:sz w:val="24"/>
          <w:szCs w:val="24"/>
          <w:lang w:val="ro-RO"/>
        </w:rPr>
        <w:t>Nu deținem date.</w:t>
      </w:r>
    </w:p>
    <w:p w:rsidR="002A24B8" w:rsidRPr="00023B45" w:rsidRDefault="002A24B8" w:rsidP="00B605F2">
      <w:pPr>
        <w:rPr>
          <w:rFonts w:ascii="Arial" w:hAnsi="Arial" w:cs="Arial"/>
          <w:sz w:val="24"/>
          <w:szCs w:val="24"/>
          <w:lang w:val="ro-RO"/>
        </w:rPr>
      </w:pPr>
    </w:p>
    <w:p w:rsidR="002A24B8" w:rsidRPr="00023B45" w:rsidRDefault="002A24B8" w:rsidP="00B605F2">
      <w:pPr>
        <w:rPr>
          <w:rFonts w:ascii="Arial" w:hAnsi="Arial" w:cs="Arial"/>
          <w:sz w:val="24"/>
          <w:szCs w:val="24"/>
          <w:lang w:val="ro-RO"/>
        </w:rPr>
      </w:pPr>
      <w:r w:rsidRPr="00023B45">
        <w:rPr>
          <w:rFonts w:ascii="Arial" w:hAnsi="Arial" w:cs="Arial"/>
          <w:sz w:val="24"/>
          <w:szCs w:val="24"/>
          <w:lang w:val="ro-RO"/>
        </w:rPr>
        <w:t xml:space="preserve">      X.3.3. Utilizarea materialelor</w:t>
      </w:r>
    </w:p>
    <w:p w:rsidR="002A24B8" w:rsidRPr="00023B45" w:rsidRDefault="002A24B8" w:rsidP="00B605F2">
      <w:pPr>
        <w:rPr>
          <w:rFonts w:ascii="Arial" w:hAnsi="Arial" w:cs="Arial"/>
          <w:sz w:val="24"/>
          <w:szCs w:val="24"/>
          <w:lang w:val="ro-RO"/>
        </w:rPr>
      </w:pPr>
    </w:p>
    <w:p w:rsidR="002A24B8" w:rsidRPr="00023B45" w:rsidRDefault="002A24B8" w:rsidP="00B605F2">
      <w:pPr>
        <w:ind w:firstLine="708"/>
        <w:rPr>
          <w:rFonts w:ascii="Arial" w:hAnsi="Arial" w:cs="Arial"/>
          <w:sz w:val="24"/>
          <w:szCs w:val="24"/>
          <w:lang w:val="ro-RO"/>
        </w:rPr>
      </w:pPr>
      <w:r w:rsidRPr="00023B45">
        <w:rPr>
          <w:rFonts w:ascii="Arial" w:hAnsi="Arial" w:cs="Arial"/>
          <w:sz w:val="24"/>
          <w:szCs w:val="24"/>
          <w:lang w:val="ro-RO"/>
        </w:rPr>
        <w:t>Nu deținem date.</w:t>
      </w:r>
    </w:p>
    <w:p w:rsidR="002A24B8" w:rsidRPr="00023B45" w:rsidRDefault="002A24B8" w:rsidP="00B605F2">
      <w:pPr>
        <w:rPr>
          <w:rFonts w:ascii="Arial" w:hAnsi="Arial" w:cs="Arial"/>
          <w:sz w:val="24"/>
          <w:szCs w:val="24"/>
          <w:lang w:val="ro-RO"/>
        </w:rPr>
      </w:pP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 xml:space="preserve">  X.4. Prognoze , politici și măsuri privind consumul și mediul </w:t>
      </w: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ab/>
      </w:r>
    </w:p>
    <w:p w:rsidR="002A24B8" w:rsidRPr="00023B45" w:rsidRDefault="002A24B8" w:rsidP="00B605F2">
      <w:pPr>
        <w:rPr>
          <w:rFonts w:ascii="Arial" w:hAnsi="Arial" w:cs="Arial"/>
          <w:sz w:val="24"/>
          <w:szCs w:val="24"/>
          <w:lang w:val="ro-RO"/>
        </w:rPr>
      </w:pPr>
      <w:r w:rsidRPr="00023B45">
        <w:rPr>
          <w:rFonts w:ascii="Arial" w:hAnsi="Arial" w:cs="Arial"/>
          <w:b/>
          <w:sz w:val="24"/>
          <w:szCs w:val="24"/>
          <w:lang w:val="ro-RO"/>
        </w:rPr>
        <w:tab/>
      </w:r>
      <w:r w:rsidRPr="00023B45">
        <w:rPr>
          <w:rFonts w:ascii="Arial" w:hAnsi="Arial" w:cs="Arial"/>
          <w:sz w:val="24"/>
          <w:szCs w:val="24"/>
          <w:lang w:val="ro-RO"/>
        </w:rPr>
        <w:t xml:space="preserve">Nu deținem date. </w:t>
      </w:r>
    </w:p>
    <w:p w:rsidR="00413154" w:rsidRPr="00023B45" w:rsidRDefault="002A24B8">
      <w:pPr>
        <w:rPr>
          <w:lang w:val="ro-RO"/>
        </w:rPr>
      </w:pPr>
      <w:r w:rsidRPr="00023B45">
        <w:rPr>
          <w:rFonts w:ascii="Arial" w:hAnsi="Arial" w:cs="Arial"/>
          <w:b/>
          <w:sz w:val="24"/>
          <w:szCs w:val="24"/>
          <w:lang w:val="ro-RO"/>
        </w:rPr>
        <w:t xml:space="preserve">  </w:t>
      </w:r>
    </w:p>
    <w:sectPr w:rsidR="00413154" w:rsidRPr="00023B45" w:rsidSect="00C07F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E3" w:rsidRDefault="004B1FE3" w:rsidP="00B13A56">
      <w:r>
        <w:separator/>
      </w:r>
    </w:p>
  </w:endnote>
  <w:endnote w:type="continuationSeparator" w:id="0">
    <w:p w:rsidR="004B1FE3" w:rsidRDefault="004B1FE3" w:rsidP="00B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E3" w:rsidRDefault="004B1FE3" w:rsidP="00B13A56">
      <w:r>
        <w:separator/>
      </w:r>
    </w:p>
  </w:footnote>
  <w:footnote w:type="continuationSeparator" w:id="0">
    <w:p w:rsidR="004B1FE3" w:rsidRDefault="004B1FE3" w:rsidP="00B1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85379"/>
    <w:multiLevelType w:val="hybridMultilevel"/>
    <w:tmpl w:val="38DA7FB0"/>
    <w:lvl w:ilvl="0" w:tplc="FFFFFFFF">
      <w:start w:val="1"/>
      <w:numFmt w:val="bullet"/>
      <w:lvlText w:val=""/>
      <w:lvlJc w:val="left"/>
      <w:pPr>
        <w:tabs>
          <w:tab w:val="num" w:pos="0"/>
        </w:tabs>
        <w:ind w:left="397" w:hanging="397"/>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256FF"/>
    <w:multiLevelType w:val="hybridMultilevel"/>
    <w:tmpl w:val="7F1A7D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191268"/>
    <w:multiLevelType w:val="hybridMultilevel"/>
    <w:tmpl w:val="829E78AC"/>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2493"/>
        </w:tabs>
        <w:ind w:left="2493" w:hanging="360"/>
      </w:pPr>
      <w:rPr>
        <w:rFonts w:ascii="Wingdings" w:hAnsi="Wingdings" w:hint="default"/>
      </w:rPr>
    </w:lvl>
    <w:lvl w:ilvl="3" w:tplc="04090001" w:tentative="1">
      <w:start w:val="1"/>
      <w:numFmt w:val="bullet"/>
      <w:lvlText w:val=""/>
      <w:lvlJc w:val="left"/>
      <w:pPr>
        <w:tabs>
          <w:tab w:val="num" w:pos="3213"/>
        </w:tabs>
        <w:ind w:left="3213" w:hanging="360"/>
      </w:pPr>
      <w:rPr>
        <w:rFonts w:ascii="Symbol" w:hAnsi="Symbol" w:hint="default"/>
      </w:rPr>
    </w:lvl>
    <w:lvl w:ilvl="4" w:tplc="04090003" w:tentative="1">
      <w:start w:val="1"/>
      <w:numFmt w:val="bullet"/>
      <w:lvlText w:val="o"/>
      <w:lvlJc w:val="left"/>
      <w:pPr>
        <w:tabs>
          <w:tab w:val="num" w:pos="3933"/>
        </w:tabs>
        <w:ind w:left="3933" w:hanging="360"/>
      </w:pPr>
      <w:rPr>
        <w:rFonts w:ascii="Courier New" w:hAnsi="Courier New" w:cs="Courier New" w:hint="default"/>
      </w:rPr>
    </w:lvl>
    <w:lvl w:ilvl="5" w:tplc="04090005" w:tentative="1">
      <w:start w:val="1"/>
      <w:numFmt w:val="bullet"/>
      <w:lvlText w:val=""/>
      <w:lvlJc w:val="left"/>
      <w:pPr>
        <w:tabs>
          <w:tab w:val="num" w:pos="4653"/>
        </w:tabs>
        <w:ind w:left="4653" w:hanging="360"/>
      </w:pPr>
      <w:rPr>
        <w:rFonts w:ascii="Wingdings" w:hAnsi="Wingdings" w:hint="default"/>
      </w:rPr>
    </w:lvl>
    <w:lvl w:ilvl="6" w:tplc="04090001" w:tentative="1">
      <w:start w:val="1"/>
      <w:numFmt w:val="bullet"/>
      <w:lvlText w:val=""/>
      <w:lvlJc w:val="left"/>
      <w:pPr>
        <w:tabs>
          <w:tab w:val="num" w:pos="5373"/>
        </w:tabs>
        <w:ind w:left="5373" w:hanging="360"/>
      </w:pPr>
      <w:rPr>
        <w:rFonts w:ascii="Symbol" w:hAnsi="Symbol" w:hint="default"/>
      </w:rPr>
    </w:lvl>
    <w:lvl w:ilvl="7" w:tplc="04090003" w:tentative="1">
      <w:start w:val="1"/>
      <w:numFmt w:val="bullet"/>
      <w:lvlText w:val="o"/>
      <w:lvlJc w:val="left"/>
      <w:pPr>
        <w:tabs>
          <w:tab w:val="num" w:pos="6093"/>
        </w:tabs>
        <w:ind w:left="6093" w:hanging="360"/>
      </w:pPr>
      <w:rPr>
        <w:rFonts w:ascii="Courier New" w:hAnsi="Courier New" w:cs="Courier New" w:hint="default"/>
      </w:rPr>
    </w:lvl>
    <w:lvl w:ilvl="8" w:tplc="04090005" w:tentative="1">
      <w:start w:val="1"/>
      <w:numFmt w:val="bullet"/>
      <w:lvlText w:val=""/>
      <w:lvlJc w:val="left"/>
      <w:pPr>
        <w:tabs>
          <w:tab w:val="num" w:pos="6813"/>
        </w:tabs>
        <w:ind w:left="6813" w:hanging="360"/>
      </w:pPr>
      <w:rPr>
        <w:rFonts w:ascii="Wingdings" w:hAnsi="Wingdings" w:hint="default"/>
      </w:rPr>
    </w:lvl>
  </w:abstractNum>
  <w:abstractNum w:abstractNumId="4" w15:restartNumberingAfterBreak="0">
    <w:nsid w:val="18EA7A68"/>
    <w:multiLevelType w:val="hybridMultilevel"/>
    <w:tmpl w:val="7A2A25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128A0"/>
    <w:multiLevelType w:val="hybridMultilevel"/>
    <w:tmpl w:val="744E46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16DD5"/>
    <w:multiLevelType w:val="hybridMultilevel"/>
    <w:tmpl w:val="AE78B5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F82046"/>
    <w:multiLevelType w:val="hybridMultilevel"/>
    <w:tmpl w:val="97E475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FD576F"/>
    <w:multiLevelType w:val="hybridMultilevel"/>
    <w:tmpl w:val="0BF63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D514E6"/>
    <w:multiLevelType w:val="hybridMultilevel"/>
    <w:tmpl w:val="E5A8FA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19305E"/>
    <w:multiLevelType w:val="hybridMultilevel"/>
    <w:tmpl w:val="80441D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A37434"/>
    <w:multiLevelType w:val="hybridMultilevel"/>
    <w:tmpl w:val="127EB8A6"/>
    <w:lvl w:ilvl="0" w:tplc="2168EEE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15:restartNumberingAfterBreak="0">
    <w:nsid w:val="394011F9"/>
    <w:multiLevelType w:val="hybridMultilevel"/>
    <w:tmpl w:val="7ACA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39C265B"/>
    <w:multiLevelType w:val="hybridMultilevel"/>
    <w:tmpl w:val="4DBC9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D915D0"/>
    <w:multiLevelType w:val="hybridMultilevel"/>
    <w:tmpl w:val="F036FC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09A0F3E"/>
    <w:multiLevelType w:val="hybridMultilevel"/>
    <w:tmpl w:val="A3AED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7"/>
  </w:num>
  <w:num w:numId="5">
    <w:abstractNumId w:val="4"/>
  </w:num>
  <w:num w:numId="6">
    <w:abstractNumId w:val="9"/>
  </w:num>
  <w:num w:numId="7">
    <w:abstractNumId w:val="5"/>
  </w:num>
  <w:num w:numId="8">
    <w:abstractNumId w:val="10"/>
  </w:num>
  <w:num w:numId="9">
    <w:abstractNumId w:val="6"/>
  </w:num>
  <w:num w:numId="10">
    <w:abstractNumId w:val="12"/>
  </w:num>
  <w:num w:numId="11">
    <w:abstractNumId w:val="1"/>
  </w:num>
  <w:num w:numId="12">
    <w:abstractNumId w:val="11"/>
  </w:num>
  <w:num w:numId="13">
    <w:abstractNumId w:val="3"/>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B8"/>
    <w:rsid w:val="000056D1"/>
    <w:rsid w:val="00023B45"/>
    <w:rsid w:val="00080869"/>
    <w:rsid w:val="00085DD6"/>
    <w:rsid w:val="00111E24"/>
    <w:rsid w:val="001A7DB7"/>
    <w:rsid w:val="00205133"/>
    <w:rsid w:val="00252284"/>
    <w:rsid w:val="00290DFE"/>
    <w:rsid w:val="002A24B8"/>
    <w:rsid w:val="0032449D"/>
    <w:rsid w:val="003A6B3D"/>
    <w:rsid w:val="003C674C"/>
    <w:rsid w:val="003C7DAE"/>
    <w:rsid w:val="00413154"/>
    <w:rsid w:val="00420241"/>
    <w:rsid w:val="00425A1A"/>
    <w:rsid w:val="00444B65"/>
    <w:rsid w:val="004A0CF8"/>
    <w:rsid w:val="004A3864"/>
    <w:rsid w:val="004B1FE3"/>
    <w:rsid w:val="004D0903"/>
    <w:rsid w:val="004E2A97"/>
    <w:rsid w:val="00517EDD"/>
    <w:rsid w:val="005543C2"/>
    <w:rsid w:val="005B119D"/>
    <w:rsid w:val="005E307D"/>
    <w:rsid w:val="00643610"/>
    <w:rsid w:val="0068519D"/>
    <w:rsid w:val="00690CDE"/>
    <w:rsid w:val="007044EA"/>
    <w:rsid w:val="00755C84"/>
    <w:rsid w:val="00784954"/>
    <w:rsid w:val="00791582"/>
    <w:rsid w:val="007968A8"/>
    <w:rsid w:val="007B1FA9"/>
    <w:rsid w:val="00810E6C"/>
    <w:rsid w:val="008249BA"/>
    <w:rsid w:val="00825921"/>
    <w:rsid w:val="00853CAE"/>
    <w:rsid w:val="008A76C7"/>
    <w:rsid w:val="008E7FA4"/>
    <w:rsid w:val="008F4B12"/>
    <w:rsid w:val="008F516B"/>
    <w:rsid w:val="00955E27"/>
    <w:rsid w:val="00A63ECA"/>
    <w:rsid w:val="00A948A0"/>
    <w:rsid w:val="00A9535D"/>
    <w:rsid w:val="00AA3174"/>
    <w:rsid w:val="00AC3522"/>
    <w:rsid w:val="00AD4BC7"/>
    <w:rsid w:val="00AF7EEB"/>
    <w:rsid w:val="00B101AB"/>
    <w:rsid w:val="00B13A56"/>
    <w:rsid w:val="00B2024C"/>
    <w:rsid w:val="00B2225D"/>
    <w:rsid w:val="00B605F2"/>
    <w:rsid w:val="00B74F67"/>
    <w:rsid w:val="00B83EFC"/>
    <w:rsid w:val="00B94654"/>
    <w:rsid w:val="00BB02CC"/>
    <w:rsid w:val="00C0454B"/>
    <w:rsid w:val="00C07F6B"/>
    <w:rsid w:val="00CB040C"/>
    <w:rsid w:val="00CB0CCB"/>
    <w:rsid w:val="00CC5A3F"/>
    <w:rsid w:val="00CD6E07"/>
    <w:rsid w:val="00CE5580"/>
    <w:rsid w:val="00D128E6"/>
    <w:rsid w:val="00D3497E"/>
    <w:rsid w:val="00D36899"/>
    <w:rsid w:val="00D36A85"/>
    <w:rsid w:val="00D41DF8"/>
    <w:rsid w:val="00D46E54"/>
    <w:rsid w:val="00D56FCA"/>
    <w:rsid w:val="00D6368D"/>
    <w:rsid w:val="00D76B75"/>
    <w:rsid w:val="00D80EDF"/>
    <w:rsid w:val="00D86697"/>
    <w:rsid w:val="00D93F55"/>
    <w:rsid w:val="00DB3A8D"/>
    <w:rsid w:val="00DE0D7D"/>
    <w:rsid w:val="00E377AB"/>
    <w:rsid w:val="00EF19DC"/>
    <w:rsid w:val="00EF24D3"/>
    <w:rsid w:val="00F32D3D"/>
    <w:rsid w:val="00F35691"/>
    <w:rsid w:val="00FA4DFF"/>
    <w:rsid w:val="00FC0BB6"/>
    <w:rsid w:val="00FE09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5B47"/>
  <w15:docId w15:val="{79C6A078-02DA-43B5-8B2C-EC19B73A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 w:type="paragraph" w:styleId="Title">
    <w:name w:val="Title"/>
    <w:basedOn w:val="Normal"/>
    <w:link w:val="TitleChar"/>
    <w:qFormat/>
    <w:rsid w:val="00B13A56"/>
    <w:pPr>
      <w:jc w:val="center"/>
    </w:pPr>
    <w:rPr>
      <w:rFonts w:ascii="Arial" w:hAnsi="Arial" w:cs="Arial"/>
      <w:b/>
      <w:bCs/>
      <w:sz w:val="32"/>
      <w:lang w:val="ro-RO" w:eastAsia="en-US"/>
    </w:rPr>
  </w:style>
  <w:style w:type="character" w:customStyle="1" w:styleId="TitleChar">
    <w:name w:val="Title Char"/>
    <w:basedOn w:val="DefaultParagraphFont"/>
    <w:link w:val="Title"/>
    <w:rsid w:val="00B13A56"/>
    <w:rPr>
      <w:rFonts w:ascii="Arial" w:eastAsia="Times New Roman" w:hAnsi="Arial" w:cs="Arial"/>
      <w:b/>
      <w:bCs/>
      <w:sz w:val="32"/>
      <w:szCs w:val="20"/>
    </w:rPr>
  </w:style>
  <w:style w:type="paragraph" w:styleId="BodyTextIndent">
    <w:name w:val="Body Text Indent"/>
    <w:basedOn w:val="Normal"/>
    <w:link w:val="BodyTextIndentChar"/>
    <w:rsid w:val="00B13A56"/>
    <w:pPr>
      <w:spacing w:line="480" w:lineRule="auto"/>
      <w:ind w:firstLine="720"/>
      <w:jc w:val="center"/>
    </w:pPr>
    <w:rPr>
      <w:b/>
      <w:sz w:val="40"/>
      <w:lang w:val="ro-RO" w:eastAsia="en-US"/>
    </w:rPr>
  </w:style>
  <w:style w:type="character" w:customStyle="1" w:styleId="BodyTextIndentChar">
    <w:name w:val="Body Text Indent Char"/>
    <w:basedOn w:val="DefaultParagraphFont"/>
    <w:link w:val="BodyTextIndent"/>
    <w:rsid w:val="00B13A56"/>
    <w:rPr>
      <w:rFonts w:ascii="Times New Roman" w:eastAsia="Times New Roman" w:hAnsi="Times New Roman" w:cs="Times New Roman"/>
      <w:b/>
      <w:sz w:val="40"/>
      <w:szCs w:val="20"/>
    </w:rPr>
  </w:style>
  <w:style w:type="paragraph" w:styleId="BodyTextIndent2">
    <w:name w:val="Body Text Indent 2"/>
    <w:basedOn w:val="Normal"/>
    <w:link w:val="BodyTextIndent2Char"/>
    <w:rsid w:val="00B13A56"/>
    <w:pPr>
      <w:ind w:firstLine="851"/>
      <w:jc w:val="both"/>
    </w:pPr>
    <w:rPr>
      <w:sz w:val="24"/>
      <w:lang w:val="ro-RO" w:eastAsia="en-US"/>
    </w:rPr>
  </w:style>
  <w:style w:type="character" w:customStyle="1" w:styleId="BodyTextIndent2Char">
    <w:name w:val="Body Text Indent 2 Char"/>
    <w:basedOn w:val="DefaultParagraphFont"/>
    <w:link w:val="BodyTextIndent2"/>
    <w:rsid w:val="00B13A56"/>
    <w:rPr>
      <w:rFonts w:ascii="Times New Roman" w:eastAsia="Times New Roman" w:hAnsi="Times New Roman" w:cs="Times New Roman"/>
      <w:sz w:val="24"/>
      <w:szCs w:val="20"/>
    </w:rPr>
  </w:style>
  <w:style w:type="paragraph" w:styleId="FootnoteText">
    <w:name w:val="footnote text"/>
    <w:basedOn w:val="Normal"/>
    <w:link w:val="FootnoteTextChar"/>
    <w:semiHidden/>
    <w:rsid w:val="00B13A56"/>
    <w:rPr>
      <w:lang w:val="ro-RO" w:eastAsia="en-GB"/>
    </w:rPr>
  </w:style>
  <w:style w:type="character" w:customStyle="1" w:styleId="FootnoteTextChar">
    <w:name w:val="Footnote Text Char"/>
    <w:basedOn w:val="DefaultParagraphFont"/>
    <w:link w:val="FootnoteText"/>
    <w:semiHidden/>
    <w:rsid w:val="00B13A5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378">
      <w:bodyDiv w:val="1"/>
      <w:marLeft w:val="0"/>
      <w:marRight w:val="0"/>
      <w:marTop w:val="0"/>
      <w:marBottom w:val="0"/>
      <w:divBdr>
        <w:top w:val="none" w:sz="0" w:space="0" w:color="auto"/>
        <w:left w:val="none" w:sz="0" w:space="0" w:color="auto"/>
        <w:bottom w:val="none" w:sz="0" w:space="0" w:color="auto"/>
        <w:right w:val="none" w:sz="0" w:space="0" w:color="auto"/>
      </w:divBdr>
    </w:div>
    <w:div w:id="342367456">
      <w:bodyDiv w:val="1"/>
      <w:marLeft w:val="0"/>
      <w:marRight w:val="0"/>
      <w:marTop w:val="0"/>
      <w:marBottom w:val="0"/>
      <w:divBdr>
        <w:top w:val="none" w:sz="0" w:space="0" w:color="auto"/>
        <w:left w:val="none" w:sz="0" w:space="0" w:color="auto"/>
        <w:bottom w:val="none" w:sz="0" w:space="0" w:color="auto"/>
        <w:right w:val="none" w:sz="0" w:space="0" w:color="auto"/>
      </w:divBdr>
    </w:div>
    <w:div w:id="458107662">
      <w:bodyDiv w:val="1"/>
      <w:marLeft w:val="0"/>
      <w:marRight w:val="0"/>
      <w:marTop w:val="0"/>
      <w:marBottom w:val="0"/>
      <w:divBdr>
        <w:top w:val="none" w:sz="0" w:space="0" w:color="auto"/>
        <w:left w:val="none" w:sz="0" w:space="0" w:color="auto"/>
        <w:bottom w:val="none" w:sz="0" w:space="0" w:color="auto"/>
        <w:right w:val="none" w:sz="0" w:space="0" w:color="auto"/>
      </w:divBdr>
      <w:divsChild>
        <w:div w:id="207451298">
          <w:marLeft w:val="0"/>
          <w:marRight w:val="0"/>
          <w:marTop w:val="0"/>
          <w:marBottom w:val="0"/>
          <w:divBdr>
            <w:top w:val="none" w:sz="0" w:space="0" w:color="auto"/>
            <w:left w:val="none" w:sz="0" w:space="0" w:color="auto"/>
            <w:bottom w:val="none" w:sz="0" w:space="0" w:color="auto"/>
            <w:right w:val="none" w:sz="0" w:space="0" w:color="auto"/>
          </w:divBdr>
        </w:div>
      </w:divsChild>
    </w:div>
    <w:div w:id="561405712">
      <w:bodyDiv w:val="1"/>
      <w:marLeft w:val="0"/>
      <w:marRight w:val="0"/>
      <w:marTop w:val="0"/>
      <w:marBottom w:val="0"/>
      <w:divBdr>
        <w:top w:val="none" w:sz="0" w:space="0" w:color="auto"/>
        <w:left w:val="none" w:sz="0" w:space="0" w:color="auto"/>
        <w:bottom w:val="none" w:sz="0" w:space="0" w:color="auto"/>
        <w:right w:val="none" w:sz="0" w:space="0" w:color="auto"/>
      </w:divBdr>
    </w:div>
    <w:div w:id="1000963428">
      <w:bodyDiv w:val="1"/>
      <w:marLeft w:val="0"/>
      <w:marRight w:val="0"/>
      <w:marTop w:val="0"/>
      <w:marBottom w:val="0"/>
      <w:divBdr>
        <w:top w:val="none" w:sz="0" w:space="0" w:color="auto"/>
        <w:left w:val="none" w:sz="0" w:space="0" w:color="auto"/>
        <w:bottom w:val="none" w:sz="0" w:space="0" w:color="auto"/>
        <w:right w:val="none" w:sz="0" w:space="0" w:color="auto"/>
      </w:divBdr>
    </w:div>
    <w:div w:id="1076440577">
      <w:bodyDiv w:val="1"/>
      <w:marLeft w:val="0"/>
      <w:marRight w:val="0"/>
      <w:marTop w:val="0"/>
      <w:marBottom w:val="0"/>
      <w:divBdr>
        <w:top w:val="none" w:sz="0" w:space="0" w:color="auto"/>
        <w:left w:val="none" w:sz="0" w:space="0" w:color="auto"/>
        <w:bottom w:val="none" w:sz="0" w:space="0" w:color="auto"/>
        <w:right w:val="none" w:sz="0" w:space="0" w:color="auto"/>
      </w:divBdr>
    </w:div>
    <w:div w:id="1406688839">
      <w:bodyDiv w:val="1"/>
      <w:marLeft w:val="0"/>
      <w:marRight w:val="0"/>
      <w:marTop w:val="0"/>
      <w:marBottom w:val="0"/>
      <w:divBdr>
        <w:top w:val="none" w:sz="0" w:space="0" w:color="auto"/>
        <w:left w:val="none" w:sz="0" w:space="0" w:color="auto"/>
        <w:bottom w:val="none" w:sz="0" w:space="0" w:color="auto"/>
        <w:right w:val="none" w:sz="0" w:space="0" w:color="auto"/>
      </w:divBdr>
    </w:div>
    <w:div w:id="1426684969">
      <w:bodyDiv w:val="1"/>
      <w:marLeft w:val="0"/>
      <w:marRight w:val="0"/>
      <w:marTop w:val="0"/>
      <w:marBottom w:val="0"/>
      <w:divBdr>
        <w:top w:val="none" w:sz="0" w:space="0" w:color="auto"/>
        <w:left w:val="none" w:sz="0" w:space="0" w:color="auto"/>
        <w:bottom w:val="none" w:sz="0" w:space="0" w:color="auto"/>
        <w:right w:val="none" w:sz="0" w:space="0" w:color="auto"/>
      </w:divBdr>
      <w:divsChild>
        <w:div w:id="1026560988">
          <w:marLeft w:val="0"/>
          <w:marRight w:val="0"/>
          <w:marTop w:val="150"/>
          <w:marBottom w:val="150"/>
          <w:divBdr>
            <w:top w:val="none" w:sz="0" w:space="0" w:color="auto"/>
            <w:left w:val="none" w:sz="0" w:space="0" w:color="auto"/>
            <w:bottom w:val="none" w:sz="0" w:space="0" w:color="auto"/>
            <w:right w:val="none" w:sz="0" w:space="0" w:color="auto"/>
          </w:divBdr>
        </w:div>
        <w:div w:id="1357925333">
          <w:marLeft w:val="0"/>
          <w:marRight w:val="0"/>
          <w:marTop w:val="0"/>
          <w:marBottom w:val="0"/>
          <w:divBdr>
            <w:top w:val="none" w:sz="0" w:space="0" w:color="auto"/>
            <w:left w:val="none" w:sz="0" w:space="0" w:color="auto"/>
            <w:bottom w:val="none" w:sz="0" w:space="0" w:color="auto"/>
            <w:right w:val="none" w:sz="0" w:space="0" w:color="auto"/>
          </w:divBdr>
        </w:div>
      </w:divsChild>
    </w:div>
    <w:div w:id="1476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1229</Words>
  <Characters>7132</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Merfu</dc:creator>
  <cp:lastModifiedBy>Cristina Merfu</cp:lastModifiedBy>
  <cp:revision>26</cp:revision>
  <dcterms:created xsi:type="dcterms:W3CDTF">2020-08-13T09:45:00Z</dcterms:created>
  <dcterms:modified xsi:type="dcterms:W3CDTF">2022-08-11T08:03:00Z</dcterms:modified>
</cp:coreProperties>
</file>