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B4FCA" w:rsidRPr="00242122" w:rsidRDefault="000B4FCA" w:rsidP="000B4FCA">
      <w:pPr>
        <w:spacing w:after="0"/>
        <w:rPr>
          <w:rFonts w:ascii="Arial" w:hAnsi="Arial" w:cs="Arial"/>
          <w:b/>
          <w:sz w:val="24"/>
          <w:szCs w:val="24"/>
          <w:lang w:val="fr-FR"/>
        </w:rPr>
      </w:pPr>
    </w:p>
    <w:p w:rsidR="000B4FCA" w:rsidRPr="00242122" w:rsidRDefault="000B4FCA" w:rsidP="000B4FCA">
      <w:pPr>
        <w:spacing w:line="360" w:lineRule="auto"/>
        <w:jc w:val="both"/>
        <w:rPr>
          <w:rFonts w:ascii="Arial" w:hAnsi="Arial" w:cs="Arial"/>
          <w:b/>
          <w:sz w:val="24"/>
          <w:szCs w:val="24"/>
          <w:u w:val="single"/>
        </w:rPr>
      </w:pPr>
      <w:r w:rsidRPr="00242122">
        <w:rPr>
          <w:rFonts w:ascii="Arial" w:hAnsi="Arial" w:cs="Arial"/>
          <w:b/>
          <w:sz w:val="24"/>
          <w:szCs w:val="24"/>
          <w:u w:val="single"/>
        </w:rPr>
        <w:t>CAPITOLUL II. APA</w:t>
      </w:r>
    </w:p>
    <w:p w:rsidR="00C1490A" w:rsidRDefault="000B4FCA" w:rsidP="00B8293F">
      <w:pPr>
        <w:ind w:firstLine="720"/>
        <w:jc w:val="both"/>
        <w:rPr>
          <w:rFonts w:ascii="Arial" w:hAnsi="Arial" w:cs="Arial"/>
          <w:i/>
          <w:sz w:val="24"/>
          <w:szCs w:val="24"/>
          <w:lang w:val="it-IT"/>
        </w:rPr>
      </w:pPr>
      <w:r w:rsidRPr="00242122">
        <w:rPr>
          <w:rFonts w:ascii="Arial" w:hAnsi="Arial" w:cs="Arial"/>
          <w:i/>
          <w:sz w:val="24"/>
          <w:szCs w:val="24"/>
          <w:lang w:val="it-IT"/>
        </w:rPr>
        <w:t>Datele şi informaţiile din cadrul acestui</w:t>
      </w:r>
      <w:r w:rsidR="00FE0802">
        <w:rPr>
          <w:rFonts w:ascii="Arial" w:hAnsi="Arial" w:cs="Arial"/>
          <w:i/>
          <w:sz w:val="24"/>
          <w:szCs w:val="24"/>
          <w:lang w:val="it-IT"/>
        </w:rPr>
        <w:t xml:space="preserve"> capitol au fost furnizate de că</w:t>
      </w:r>
      <w:r w:rsidRPr="00242122">
        <w:rPr>
          <w:rFonts w:ascii="Arial" w:hAnsi="Arial" w:cs="Arial"/>
          <w:i/>
          <w:sz w:val="24"/>
          <w:szCs w:val="24"/>
          <w:lang w:val="it-IT"/>
        </w:rPr>
        <w:t xml:space="preserve">tre Administraţia Naţională “Apele Române”, </w:t>
      </w:r>
      <w:r w:rsidRPr="00242122">
        <w:rPr>
          <w:rFonts w:ascii="Arial" w:hAnsi="Arial" w:cs="Arial"/>
          <w:i/>
          <w:sz w:val="24"/>
          <w:szCs w:val="24"/>
        </w:rPr>
        <w:t xml:space="preserve">Institutul Național de Hidrologie și Gospodărirea Apelor, conform dispozițiilor </w:t>
      </w:r>
      <w:r w:rsidRPr="00242122">
        <w:rPr>
          <w:rFonts w:ascii="Arial" w:hAnsi="Arial" w:cs="Arial"/>
          <w:i/>
          <w:color w:val="000000" w:themeColor="text1"/>
          <w:sz w:val="24"/>
          <w:szCs w:val="24"/>
        </w:rPr>
        <w:t xml:space="preserve">Ministerului Mediului, </w:t>
      </w:r>
      <w:r w:rsidRPr="00242122">
        <w:rPr>
          <w:rFonts w:ascii="Arial" w:hAnsi="Arial" w:cs="Arial"/>
          <w:i/>
          <w:sz w:val="24"/>
          <w:szCs w:val="24"/>
        </w:rPr>
        <w:t>acestea fiind solicitate  centralizat de către Agenția Națională pentru Protecția Mediului.</w:t>
      </w:r>
      <w:r w:rsidRPr="00242122">
        <w:rPr>
          <w:rFonts w:ascii="Arial" w:hAnsi="Arial" w:cs="Arial"/>
          <w:i/>
          <w:sz w:val="24"/>
          <w:szCs w:val="24"/>
          <w:lang w:val="it-IT"/>
        </w:rPr>
        <w:t xml:space="preserve"> Nu deţinem informaţii specifice judeţului Gorj </w:t>
      </w:r>
      <w:r w:rsidRPr="00242122">
        <w:rPr>
          <w:rFonts w:ascii="Arial" w:hAnsi="Arial" w:cs="Arial"/>
          <w:i/>
          <w:sz w:val="24"/>
          <w:szCs w:val="24"/>
        </w:rPr>
        <w:t>deoarece administrarea /prelucrarea acestor date se face pe bazine hidrografice, datele transmise către ANPM fiind cele validate pentru Administrațiile bazinale, date preluate integral din materialul elaborat de ANAR.</w:t>
      </w:r>
      <w:r w:rsidRPr="00242122">
        <w:rPr>
          <w:rFonts w:ascii="Arial" w:hAnsi="Arial" w:cs="Arial"/>
          <w:i/>
          <w:sz w:val="24"/>
          <w:szCs w:val="24"/>
          <w:lang w:val="it-IT"/>
        </w:rPr>
        <w:t xml:space="preserve"> </w:t>
      </w:r>
      <w:r w:rsidRPr="00242122">
        <w:rPr>
          <w:rFonts w:ascii="Arial" w:hAnsi="Arial" w:cs="Arial"/>
          <w:i/>
          <w:sz w:val="24"/>
          <w:szCs w:val="24"/>
        </w:rPr>
        <w:t>Aspectele referitoare la acest capitol sunt  tratate global, la scară naţională, în Raportul naţional privind starea mediului</w:t>
      </w:r>
      <w:bookmarkStart w:id="0" w:name="_GoBack"/>
      <w:bookmarkEnd w:id="0"/>
      <w:r w:rsidRPr="00242122">
        <w:rPr>
          <w:rFonts w:ascii="Arial" w:hAnsi="Arial" w:cs="Arial"/>
          <w:i/>
          <w:sz w:val="24"/>
          <w:szCs w:val="24"/>
          <w:lang w:val="it-IT"/>
        </w:rPr>
        <w:t>.</w:t>
      </w:r>
    </w:p>
    <w:p w:rsidR="00C1490A" w:rsidRPr="00B8293F" w:rsidRDefault="00C1490A" w:rsidP="00C1490A">
      <w:pPr>
        <w:spacing w:after="0"/>
        <w:rPr>
          <w:rFonts w:ascii="Arial" w:hAnsi="Arial" w:cs="Arial"/>
          <w:b/>
          <w:color w:val="FF0000"/>
          <w:sz w:val="24"/>
          <w:szCs w:val="24"/>
        </w:rPr>
      </w:pPr>
      <w:r w:rsidRPr="00B8293F">
        <w:rPr>
          <w:rFonts w:ascii="Arial" w:hAnsi="Arial" w:cs="Arial"/>
          <w:b/>
          <w:sz w:val="24"/>
          <w:szCs w:val="24"/>
          <w:lang w:val="fr-FR"/>
        </w:rPr>
        <w:t>II.1 RESURSELE DE AP</w:t>
      </w:r>
      <w:r w:rsidRPr="00B8293F">
        <w:rPr>
          <w:rFonts w:ascii="Arial" w:hAnsi="Arial" w:cs="Arial"/>
          <w:b/>
          <w:sz w:val="24"/>
          <w:szCs w:val="24"/>
        </w:rPr>
        <w:t>Ă. CANTITĂȚI ȘI DEBITE</w:t>
      </w:r>
    </w:p>
    <w:p w:rsidR="00C1490A" w:rsidRPr="00B8293F" w:rsidRDefault="00C1490A" w:rsidP="00C1490A">
      <w:pPr>
        <w:spacing w:after="0" w:line="240" w:lineRule="auto"/>
        <w:ind w:firstLine="720"/>
        <w:jc w:val="both"/>
        <w:rPr>
          <w:rFonts w:ascii="Arial" w:hAnsi="Arial" w:cs="Arial"/>
          <w:b/>
          <w:i/>
          <w:sz w:val="24"/>
          <w:szCs w:val="24"/>
        </w:rPr>
      </w:pPr>
    </w:p>
    <w:p w:rsidR="00C1490A" w:rsidRPr="00B8293F" w:rsidRDefault="00C1490A" w:rsidP="00C1490A">
      <w:pPr>
        <w:spacing w:after="0" w:line="240" w:lineRule="auto"/>
        <w:ind w:firstLine="720"/>
        <w:jc w:val="both"/>
        <w:rPr>
          <w:rFonts w:ascii="Arial" w:hAnsi="Arial" w:cs="Arial"/>
          <w:b/>
          <w:i/>
          <w:sz w:val="24"/>
          <w:szCs w:val="24"/>
        </w:rPr>
      </w:pPr>
      <w:r w:rsidRPr="00B8293F">
        <w:rPr>
          <w:rFonts w:ascii="Arial" w:hAnsi="Arial" w:cs="Arial"/>
          <w:b/>
          <w:i/>
          <w:sz w:val="24"/>
          <w:szCs w:val="24"/>
        </w:rPr>
        <w:t>Resursele naturale de apă la nivelul anului 2021</w:t>
      </w:r>
    </w:p>
    <w:p w:rsidR="00C1490A" w:rsidRPr="00B8293F" w:rsidRDefault="00C1490A" w:rsidP="00C1490A">
      <w:pPr>
        <w:spacing w:after="0" w:line="240" w:lineRule="auto"/>
        <w:ind w:firstLine="720"/>
        <w:jc w:val="both"/>
        <w:rPr>
          <w:rFonts w:ascii="Arial" w:hAnsi="Arial" w:cs="Arial"/>
          <w:sz w:val="24"/>
          <w:szCs w:val="24"/>
        </w:rPr>
      </w:pP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Resursele naturale de apă reprezintă rezervele de apă de suprafață și subterane ale unui teritoriu care pot fi folosite pentru diverse scopuri.</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Resursa naturală este cantitatea de apă exprimată în unități de volum acumulată în corpurile de apă într-un interval de timp dat, în cazul de față în cursul anului 2021.</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i/>
          <w:sz w:val="24"/>
          <w:szCs w:val="24"/>
        </w:rPr>
        <w:t xml:space="preserve">Resursa teoretică </w:t>
      </w:r>
      <w:r w:rsidRPr="00B8293F">
        <w:rPr>
          <w:rFonts w:ascii="Arial" w:hAnsi="Arial" w:cs="Arial"/>
          <w:sz w:val="24"/>
          <w:szCs w:val="24"/>
        </w:rPr>
        <w:t>este dată de stocul mediu anual reprezentând totalitatea resurselor naturale de apă atât de suprafață cât și subterane.</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i/>
          <w:sz w:val="24"/>
          <w:szCs w:val="24"/>
        </w:rPr>
        <w:t xml:space="preserve">Resursa tehnic utilizabilă </w:t>
      </w:r>
      <w:r w:rsidRPr="00B8293F">
        <w:rPr>
          <w:rFonts w:ascii="Arial" w:hAnsi="Arial" w:cs="Arial"/>
          <w:sz w:val="24"/>
          <w:szCs w:val="24"/>
        </w:rPr>
        <w:t>este cota parte din resursa teoretică care poate fi prelevată pentru a servi la satisfacerea cerințelor de apă ale economiei.</w:t>
      </w:r>
    </w:p>
    <w:p w:rsidR="00C1490A" w:rsidRPr="00B8293F" w:rsidRDefault="00C1490A" w:rsidP="00C1490A">
      <w:pPr>
        <w:spacing w:after="0" w:line="240" w:lineRule="auto"/>
        <w:ind w:firstLine="720"/>
        <w:jc w:val="both"/>
        <w:rPr>
          <w:rFonts w:ascii="Arial" w:hAnsi="Arial" w:cs="Arial"/>
          <w:i/>
          <w:sz w:val="24"/>
          <w:szCs w:val="24"/>
        </w:rPr>
      </w:pPr>
    </w:p>
    <w:p w:rsidR="00C1490A" w:rsidRPr="00B8293F" w:rsidRDefault="00C1490A" w:rsidP="00C1490A">
      <w:pPr>
        <w:rPr>
          <w:rFonts w:ascii="Arial" w:hAnsi="Arial" w:cs="Arial"/>
          <w:b/>
          <w:iCs/>
          <w:sz w:val="24"/>
          <w:szCs w:val="24"/>
        </w:rPr>
      </w:pPr>
      <w:r w:rsidRPr="00B8293F">
        <w:rPr>
          <w:rFonts w:ascii="Arial" w:hAnsi="Arial" w:cs="Arial"/>
          <w:b/>
          <w:iCs/>
          <w:sz w:val="24"/>
          <w:szCs w:val="24"/>
        </w:rPr>
        <w:t>II.1.1. STARE, PRESIUNI ȘI CONSECINȚE</w:t>
      </w:r>
    </w:p>
    <w:p w:rsidR="00C1490A" w:rsidRPr="00B8293F" w:rsidRDefault="00C1490A" w:rsidP="00C1490A">
      <w:pPr>
        <w:rPr>
          <w:rFonts w:ascii="Arial" w:hAnsi="Arial" w:cs="Arial"/>
          <w:b/>
          <w:sz w:val="24"/>
          <w:szCs w:val="24"/>
        </w:rPr>
      </w:pPr>
      <w:r w:rsidRPr="00B8293F">
        <w:rPr>
          <w:rFonts w:ascii="Arial" w:hAnsi="Arial" w:cs="Arial"/>
          <w:b/>
          <w:sz w:val="24"/>
          <w:szCs w:val="24"/>
        </w:rPr>
        <w:t>II.1.1.1 Resurse de apă potențiale și tehnic utilizabile (teoretică și utilizabilă)</w:t>
      </w:r>
    </w:p>
    <w:p w:rsidR="00C1490A" w:rsidRPr="00B8293F" w:rsidRDefault="00C1490A" w:rsidP="00090F9C">
      <w:pPr>
        <w:jc w:val="center"/>
        <w:rPr>
          <w:rFonts w:ascii="Arial" w:hAnsi="Arial" w:cs="Arial"/>
          <w:b/>
          <w:sz w:val="24"/>
          <w:szCs w:val="24"/>
          <w:u w:val="single"/>
        </w:rPr>
      </w:pPr>
      <w:r w:rsidRPr="00090F9C">
        <w:rPr>
          <w:rFonts w:ascii="Arial" w:hAnsi="Arial" w:cs="Arial"/>
          <w:b/>
          <w:sz w:val="24"/>
          <w:szCs w:val="24"/>
          <w:u w:val="single"/>
        </w:rPr>
        <w:t>INDICATOR CSI 18. UTILIZAREA RESURSELOR DE APĂ DULCE (RO 18)</w:t>
      </w:r>
    </w:p>
    <w:tbl>
      <w:tblPr>
        <w:tblW w:w="5670" w:type="dxa"/>
        <w:jc w:val="center"/>
        <w:tblLook w:val="04A0" w:firstRow="1" w:lastRow="0" w:firstColumn="1" w:lastColumn="0" w:noHBand="0" w:noVBand="1"/>
      </w:tblPr>
      <w:tblGrid>
        <w:gridCol w:w="1700"/>
        <w:gridCol w:w="1700"/>
        <w:gridCol w:w="2270"/>
      </w:tblGrid>
      <w:tr w:rsidR="00C1490A" w:rsidRPr="00B8293F" w:rsidTr="00B8293F">
        <w:trPr>
          <w:trHeight w:val="399"/>
          <w:jc w:val="center"/>
        </w:trPr>
        <w:tc>
          <w:tcPr>
            <w:tcW w:w="1700" w:type="dxa"/>
            <w:tcBorders>
              <w:top w:val="nil"/>
              <w:left w:val="nil"/>
              <w:bottom w:val="nil"/>
              <w:right w:val="nil"/>
            </w:tcBorders>
            <w:shd w:val="clear" w:color="auto" w:fill="auto"/>
            <w:noWrap/>
            <w:vAlign w:val="bottom"/>
            <w:hideMark/>
          </w:tcPr>
          <w:p w:rsidR="00C1490A" w:rsidRPr="00B8293F" w:rsidRDefault="00C1490A" w:rsidP="00B8293F">
            <w:pPr>
              <w:spacing w:after="0" w:line="240" w:lineRule="auto"/>
              <w:rPr>
                <w:rFonts w:ascii="Arial" w:eastAsia="Times New Roman" w:hAnsi="Arial" w:cs="Arial"/>
                <w:sz w:val="24"/>
                <w:szCs w:val="24"/>
                <w:lang w:eastAsia="ro-RO"/>
              </w:rPr>
            </w:pPr>
          </w:p>
        </w:tc>
        <w:tc>
          <w:tcPr>
            <w:tcW w:w="1700" w:type="dxa"/>
            <w:tcBorders>
              <w:top w:val="nil"/>
              <w:left w:val="nil"/>
              <w:bottom w:val="nil"/>
              <w:right w:val="nil"/>
            </w:tcBorders>
            <w:shd w:val="clear" w:color="auto" w:fill="auto"/>
            <w:noWrap/>
            <w:vAlign w:val="bottom"/>
            <w:hideMark/>
          </w:tcPr>
          <w:p w:rsidR="00C1490A" w:rsidRPr="00B8293F" w:rsidRDefault="00C1490A" w:rsidP="00B8293F">
            <w:pPr>
              <w:spacing w:after="0" w:line="240" w:lineRule="auto"/>
              <w:jc w:val="center"/>
              <w:rPr>
                <w:rFonts w:ascii="Arial" w:eastAsia="Times New Roman" w:hAnsi="Arial" w:cs="Arial"/>
                <w:sz w:val="24"/>
                <w:szCs w:val="24"/>
                <w:lang w:eastAsia="ro-RO"/>
              </w:rPr>
            </w:pPr>
          </w:p>
        </w:tc>
        <w:tc>
          <w:tcPr>
            <w:tcW w:w="2270" w:type="dxa"/>
            <w:tcBorders>
              <w:top w:val="nil"/>
              <w:left w:val="nil"/>
              <w:bottom w:val="nil"/>
              <w:right w:val="nil"/>
            </w:tcBorders>
            <w:shd w:val="clear" w:color="auto" w:fill="auto"/>
            <w:noWrap/>
            <w:vAlign w:val="bottom"/>
            <w:hideMark/>
          </w:tcPr>
          <w:p w:rsidR="00C1490A" w:rsidRPr="00B8293F" w:rsidRDefault="00C1490A" w:rsidP="00B8293F">
            <w:pPr>
              <w:spacing w:after="0" w:line="240" w:lineRule="auto"/>
              <w:jc w:val="center"/>
              <w:rPr>
                <w:rFonts w:ascii="Arial" w:eastAsia="Times New Roman" w:hAnsi="Arial" w:cs="Arial"/>
                <w:b/>
                <w:bCs/>
                <w:i/>
                <w:iCs/>
                <w:color w:val="0D0D0D"/>
                <w:sz w:val="24"/>
                <w:szCs w:val="24"/>
                <w:lang w:eastAsia="ro-RO"/>
              </w:rPr>
            </w:pPr>
            <w:r w:rsidRPr="00B8293F">
              <w:rPr>
                <w:rFonts w:ascii="Arial" w:eastAsia="Times New Roman" w:hAnsi="Arial" w:cs="Arial"/>
                <w:b/>
                <w:bCs/>
                <w:i/>
                <w:iCs/>
                <w:color w:val="0D0D0D"/>
                <w:sz w:val="24"/>
                <w:szCs w:val="24"/>
                <w:lang w:eastAsia="ro-RO"/>
              </w:rPr>
              <w:t>Tabelul II.1.1.1</w:t>
            </w:r>
          </w:p>
        </w:tc>
      </w:tr>
      <w:tr w:rsidR="00C1490A" w:rsidRPr="00B8293F" w:rsidTr="00B8293F">
        <w:trPr>
          <w:trHeight w:val="903"/>
          <w:jc w:val="center"/>
        </w:trPr>
        <w:tc>
          <w:tcPr>
            <w:tcW w:w="1700"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rsidR="00C1490A" w:rsidRPr="00B8293F" w:rsidRDefault="00C1490A" w:rsidP="00B8293F">
            <w:pPr>
              <w:spacing w:after="0" w:line="240" w:lineRule="auto"/>
              <w:jc w:val="center"/>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Anii</w:t>
            </w:r>
          </w:p>
        </w:tc>
        <w:tc>
          <w:tcPr>
            <w:tcW w:w="1700" w:type="dxa"/>
            <w:tcBorders>
              <w:top w:val="single" w:sz="4" w:space="0" w:color="auto"/>
              <w:left w:val="nil"/>
              <w:bottom w:val="single" w:sz="8" w:space="0" w:color="auto"/>
              <w:right w:val="single" w:sz="4" w:space="0" w:color="auto"/>
            </w:tcBorders>
            <w:shd w:val="clear" w:color="auto" w:fill="auto"/>
            <w:vAlign w:val="center"/>
            <w:hideMark/>
          </w:tcPr>
          <w:p w:rsidR="00C1490A" w:rsidRPr="00B8293F" w:rsidRDefault="00C1490A" w:rsidP="00B8293F">
            <w:pPr>
              <w:spacing w:after="0" w:line="240" w:lineRule="auto"/>
              <w:jc w:val="center"/>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Resursa teoretică</w:t>
            </w:r>
          </w:p>
          <w:p w:rsidR="00C1490A" w:rsidRPr="00B8293F" w:rsidRDefault="00C1490A" w:rsidP="00B8293F">
            <w:pPr>
              <w:jc w:val="center"/>
              <w:rPr>
                <w:rFonts w:ascii="Arial" w:hAnsi="Arial" w:cs="Arial"/>
                <w:color w:val="000000"/>
                <w:sz w:val="24"/>
                <w:szCs w:val="24"/>
                <w:lang w:eastAsia="ro-RO"/>
              </w:rPr>
            </w:pPr>
            <w:r w:rsidRPr="00B8293F">
              <w:rPr>
                <w:rFonts w:ascii="Arial" w:eastAsia="Times New Roman" w:hAnsi="Arial" w:cs="Arial"/>
                <w:color w:val="000000"/>
                <w:sz w:val="24"/>
                <w:szCs w:val="24"/>
                <w:lang w:val="en-US" w:eastAsia="ro-RO"/>
              </w:rPr>
              <w:t xml:space="preserve">(mii </w:t>
            </w:r>
            <w:r w:rsidRPr="00B8293F">
              <w:rPr>
                <w:rFonts w:ascii="Arial" w:eastAsia="Times New Roman" w:hAnsi="Arial" w:cs="Arial"/>
                <w:color w:val="000000"/>
                <w:sz w:val="24"/>
                <w:szCs w:val="24"/>
                <w:lang w:eastAsia="ro-RO"/>
              </w:rPr>
              <w:t>m</w:t>
            </w:r>
            <w:r w:rsidRPr="00B8293F">
              <w:rPr>
                <w:rFonts w:ascii="Arial" w:eastAsia="Times New Roman" w:hAnsi="Arial" w:cs="Arial"/>
                <w:color w:val="000000"/>
                <w:sz w:val="24"/>
                <w:szCs w:val="24"/>
                <w:vertAlign w:val="superscript"/>
                <w:lang w:eastAsia="ro-RO"/>
              </w:rPr>
              <w:t>3</w:t>
            </w:r>
            <w:r w:rsidRPr="00B8293F">
              <w:rPr>
                <w:rFonts w:ascii="Arial" w:eastAsia="Times New Roman" w:hAnsi="Arial" w:cs="Arial"/>
                <w:color w:val="000000"/>
                <w:sz w:val="24"/>
                <w:szCs w:val="24"/>
                <w:lang w:val="en-US" w:eastAsia="ro-RO"/>
              </w:rPr>
              <w:t>)</w:t>
            </w:r>
          </w:p>
        </w:tc>
        <w:tc>
          <w:tcPr>
            <w:tcW w:w="2270" w:type="dxa"/>
            <w:tcBorders>
              <w:top w:val="single" w:sz="4" w:space="0" w:color="auto"/>
              <w:left w:val="nil"/>
              <w:bottom w:val="single" w:sz="8" w:space="0" w:color="auto"/>
              <w:right w:val="single" w:sz="4" w:space="0" w:color="auto"/>
            </w:tcBorders>
            <w:shd w:val="clear" w:color="auto" w:fill="auto"/>
            <w:vAlign w:val="center"/>
            <w:hideMark/>
          </w:tcPr>
          <w:p w:rsidR="00C1490A" w:rsidRPr="00B8293F" w:rsidRDefault="00C1490A" w:rsidP="00B8293F">
            <w:pPr>
              <w:spacing w:after="0" w:line="240" w:lineRule="auto"/>
              <w:jc w:val="center"/>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Resursa utilizabilă</w:t>
            </w:r>
          </w:p>
          <w:p w:rsidR="00C1490A" w:rsidRPr="00B8293F" w:rsidRDefault="00C1490A" w:rsidP="00B8293F">
            <w:pPr>
              <w:spacing w:after="0" w:line="240" w:lineRule="auto"/>
              <w:jc w:val="center"/>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val="en-US" w:eastAsia="ro-RO"/>
              </w:rPr>
              <w:t xml:space="preserve">(mii </w:t>
            </w:r>
            <w:r w:rsidRPr="00B8293F">
              <w:rPr>
                <w:rFonts w:ascii="Arial" w:eastAsia="Times New Roman" w:hAnsi="Arial" w:cs="Arial"/>
                <w:color w:val="000000"/>
                <w:sz w:val="24"/>
                <w:szCs w:val="24"/>
                <w:lang w:eastAsia="ro-RO"/>
              </w:rPr>
              <w:t>m</w:t>
            </w:r>
            <w:r w:rsidRPr="00B8293F">
              <w:rPr>
                <w:rFonts w:ascii="Arial" w:eastAsia="Times New Roman" w:hAnsi="Arial" w:cs="Arial"/>
                <w:color w:val="000000"/>
                <w:sz w:val="24"/>
                <w:szCs w:val="24"/>
                <w:vertAlign w:val="superscript"/>
                <w:lang w:eastAsia="ro-RO"/>
              </w:rPr>
              <w:t>3</w:t>
            </w:r>
            <w:r w:rsidRPr="00B8293F">
              <w:rPr>
                <w:rFonts w:ascii="Arial" w:eastAsia="Times New Roman" w:hAnsi="Arial" w:cs="Arial"/>
                <w:color w:val="000000"/>
                <w:sz w:val="24"/>
                <w:szCs w:val="24"/>
                <w:lang w:val="en-US" w:eastAsia="ro-RO"/>
              </w:rPr>
              <w:t>)</w:t>
            </w:r>
          </w:p>
        </w:tc>
      </w:tr>
      <w:tr w:rsidR="00C1490A" w:rsidRPr="00B8293F" w:rsidTr="00B8293F">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C1490A" w:rsidRPr="00B8293F" w:rsidRDefault="00C1490A" w:rsidP="00B8293F">
            <w:pPr>
              <w:spacing w:after="0" w:line="240" w:lineRule="auto"/>
              <w:jc w:val="center"/>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2016</w:t>
            </w:r>
          </w:p>
        </w:tc>
        <w:tc>
          <w:tcPr>
            <w:tcW w:w="1700" w:type="dxa"/>
            <w:tcBorders>
              <w:top w:val="nil"/>
              <w:left w:val="single" w:sz="4" w:space="0" w:color="auto"/>
              <w:bottom w:val="single" w:sz="4" w:space="0" w:color="auto"/>
              <w:right w:val="single" w:sz="4" w:space="0" w:color="auto"/>
            </w:tcBorders>
            <w:shd w:val="clear" w:color="auto" w:fill="auto"/>
            <w:noWrap/>
            <w:vAlign w:val="bottom"/>
          </w:tcPr>
          <w:p w:rsidR="00C1490A" w:rsidRPr="00B8293F" w:rsidRDefault="00C1490A" w:rsidP="00B8293F">
            <w:pPr>
              <w:spacing w:after="0" w:line="240" w:lineRule="auto"/>
              <w:jc w:val="right"/>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C1490A" w:rsidRPr="00B8293F" w:rsidRDefault="00C1490A" w:rsidP="00B8293F">
            <w:pPr>
              <w:spacing w:after="0" w:line="240" w:lineRule="auto"/>
              <w:jc w:val="right"/>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38346760</w:t>
            </w:r>
          </w:p>
        </w:tc>
      </w:tr>
      <w:tr w:rsidR="00C1490A" w:rsidRPr="00B8293F" w:rsidTr="00B8293F">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C1490A" w:rsidRPr="00B8293F" w:rsidRDefault="00C1490A" w:rsidP="00B8293F">
            <w:pPr>
              <w:spacing w:after="0" w:line="240" w:lineRule="auto"/>
              <w:jc w:val="center"/>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2017</w:t>
            </w:r>
          </w:p>
        </w:tc>
        <w:tc>
          <w:tcPr>
            <w:tcW w:w="1700" w:type="dxa"/>
            <w:tcBorders>
              <w:top w:val="nil"/>
              <w:left w:val="single" w:sz="4" w:space="0" w:color="auto"/>
              <w:bottom w:val="single" w:sz="4" w:space="0" w:color="auto"/>
              <w:right w:val="single" w:sz="4" w:space="0" w:color="auto"/>
            </w:tcBorders>
            <w:shd w:val="clear" w:color="auto" w:fill="auto"/>
            <w:noWrap/>
            <w:vAlign w:val="bottom"/>
          </w:tcPr>
          <w:p w:rsidR="00C1490A" w:rsidRPr="00B8293F" w:rsidRDefault="00C1490A" w:rsidP="00B8293F">
            <w:pPr>
              <w:spacing w:after="0" w:line="240" w:lineRule="auto"/>
              <w:jc w:val="right"/>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C1490A" w:rsidRPr="00B8293F" w:rsidRDefault="00C1490A" w:rsidP="00B8293F">
            <w:pPr>
              <w:spacing w:after="0" w:line="240" w:lineRule="auto"/>
              <w:jc w:val="right"/>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38346760</w:t>
            </w:r>
          </w:p>
        </w:tc>
      </w:tr>
      <w:tr w:rsidR="00C1490A" w:rsidRPr="00B8293F" w:rsidTr="00B8293F">
        <w:trPr>
          <w:trHeight w:val="339"/>
          <w:jc w:val="center"/>
        </w:trPr>
        <w:tc>
          <w:tcPr>
            <w:tcW w:w="1700" w:type="dxa"/>
            <w:tcBorders>
              <w:top w:val="nil"/>
              <w:left w:val="single" w:sz="4" w:space="0" w:color="auto"/>
              <w:bottom w:val="single" w:sz="4" w:space="0" w:color="auto"/>
              <w:right w:val="nil"/>
            </w:tcBorders>
            <w:shd w:val="clear" w:color="auto" w:fill="auto"/>
            <w:noWrap/>
            <w:vAlign w:val="bottom"/>
          </w:tcPr>
          <w:p w:rsidR="00C1490A" w:rsidRPr="00B8293F" w:rsidRDefault="00C1490A" w:rsidP="00B8293F">
            <w:pPr>
              <w:spacing w:after="0" w:line="240" w:lineRule="auto"/>
              <w:jc w:val="center"/>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2018</w:t>
            </w:r>
          </w:p>
        </w:tc>
        <w:tc>
          <w:tcPr>
            <w:tcW w:w="1700" w:type="dxa"/>
            <w:tcBorders>
              <w:top w:val="nil"/>
              <w:left w:val="single" w:sz="4" w:space="0" w:color="auto"/>
              <w:bottom w:val="single" w:sz="4" w:space="0" w:color="auto"/>
              <w:right w:val="single" w:sz="4" w:space="0" w:color="auto"/>
            </w:tcBorders>
            <w:shd w:val="clear" w:color="auto" w:fill="auto"/>
            <w:noWrap/>
            <w:vAlign w:val="bottom"/>
          </w:tcPr>
          <w:p w:rsidR="00C1490A" w:rsidRPr="00B8293F" w:rsidRDefault="00C1490A" w:rsidP="00B8293F">
            <w:pPr>
              <w:spacing w:after="0" w:line="240" w:lineRule="auto"/>
              <w:jc w:val="right"/>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C1490A" w:rsidRPr="00B8293F" w:rsidRDefault="00C1490A" w:rsidP="00B8293F">
            <w:pPr>
              <w:spacing w:after="0" w:line="240" w:lineRule="auto"/>
              <w:jc w:val="right"/>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38346760</w:t>
            </w:r>
          </w:p>
        </w:tc>
      </w:tr>
      <w:tr w:rsidR="00C1490A" w:rsidRPr="00B8293F" w:rsidTr="00B8293F">
        <w:trPr>
          <w:trHeight w:val="339"/>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C1490A" w:rsidRPr="00B8293F" w:rsidRDefault="00C1490A" w:rsidP="00B8293F">
            <w:pPr>
              <w:spacing w:after="0" w:line="240" w:lineRule="auto"/>
              <w:jc w:val="center"/>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2019</w:t>
            </w:r>
          </w:p>
        </w:tc>
        <w:tc>
          <w:tcPr>
            <w:tcW w:w="1700" w:type="dxa"/>
            <w:tcBorders>
              <w:top w:val="nil"/>
              <w:left w:val="nil"/>
              <w:bottom w:val="single" w:sz="4" w:space="0" w:color="auto"/>
              <w:right w:val="single" w:sz="4" w:space="0" w:color="auto"/>
            </w:tcBorders>
            <w:shd w:val="clear" w:color="auto" w:fill="auto"/>
            <w:noWrap/>
            <w:vAlign w:val="bottom"/>
          </w:tcPr>
          <w:p w:rsidR="00C1490A" w:rsidRPr="00B8293F" w:rsidRDefault="00C1490A" w:rsidP="00B8293F">
            <w:pPr>
              <w:spacing w:after="0" w:line="240" w:lineRule="auto"/>
              <w:jc w:val="right"/>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C1490A" w:rsidRPr="00B8293F" w:rsidRDefault="00C1490A" w:rsidP="00B8293F">
            <w:pPr>
              <w:spacing w:after="0" w:line="240" w:lineRule="auto"/>
              <w:jc w:val="right"/>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38346760</w:t>
            </w:r>
          </w:p>
        </w:tc>
      </w:tr>
      <w:tr w:rsidR="00C1490A" w:rsidRPr="00B8293F" w:rsidTr="00B8293F">
        <w:trPr>
          <w:trHeight w:val="339"/>
          <w:jc w:val="center"/>
        </w:trPr>
        <w:tc>
          <w:tcPr>
            <w:tcW w:w="1700" w:type="dxa"/>
            <w:tcBorders>
              <w:top w:val="nil"/>
              <w:left w:val="single" w:sz="4" w:space="0" w:color="auto"/>
              <w:bottom w:val="single" w:sz="4" w:space="0" w:color="auto"/>
              <w:right w:val="single" w:sz="4" w:space="0" w:color="auto"/>
            </w:tcBorders>
            <w:shd w:val="clear" w:color="auto" w:fill="auto"/>
            <w:noWrap/>
            <w:vAlign w:val="bottom"/>
          </w:tcPr>
          <w:p w:rsidR="00C1490A" w:rsidRPr="00B8293F" w:rsidRDefault="00C1490A" w:rsidP="00B8293F">
            <w:pPr>
              <w:spacing w:after="0" w:line="240" w:lineRule="auto"/>
              <w:jc w:val="center"/>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2020</w:t>
            </w:r>
          </w:p>
        </w:tc>
        <w:tc>
          <w:tcPr>
            <w:tcW w:w="1700" w:type="dxa"/>
            <w:tcBorders>
              <w:top w:val="nil"/>
              <w:left w:val="nil"/>
              <w:bottom w:val="single" w:sz="4" w:space="0" w:color="auto"/>
              <w:right w:val="single" w:sz="4" w:space="0" w:color="auto"/>
            </w:tcBorders>
            <w:shd w:val="clear" w:color="auto" w:fill="auto"/>
            <w:noWrap/>
            <w:vAlign w:val="bottom"/>
          </w:tcPr>
          <w:p w:rsidR="00C1490A" w:rsidRPr="00B8293F" w:rsidRDefault="00C1490A" w:rsidP="00B8293F">
            <w:pPr>
              <w:spacing w:after="0" w:line="240" w:lineRule="auto"/>
              <w:jc w:val="right"/>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134600000</w:t>
            </w:r>
          </w:p>
        </w:tc>
        <w:tc>
          <w:tcPr>
            <w:tcW w:w="2270" w:type="dxa"/>
            <w:tcBorders>
              <w:top w:val="nil"/>
              <w:left w:val="nil"/>
              <w:bottom w:val="single" w:sz="4" w:space="0" w:color="auto"/>
              <w:right w:val="single" w:sz="4" w:space="0" w:color="auto"/>
            </w:tcBorders>
            <w:shd w:val="clear" w:color="auto" w:fill="auto"/>
            <w:noWrap/>
            <w:vAlign w:val="bottom"/>
          </w:tcPr>
          <w:p w:rsidR="00C1490A" w:rsidRPr="00B8293F" w:rsidRDefault="00C1490A" w:rsidP="00B8293F">
            <w:pPr>
              <w:spacing w:after="0" w:line="240" w:lineRule="auto"/>
              <w:jc w:val="right"/>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38346760</w:t>
            </w:r>
          </w:p>
        </w:tc>
      </w:tr>
      <w:tr w:rsidR="00C1490A" w:rsidRPr="00B8293F" w:rsidTr="00B8293F">
        <w:trPr>
          <w:trHeight w:val="312"/>
          <w:jc w:val="center"/>
        </w:trPr>
        <w:tc>
          <w:tcPr>
            <w:tcW w:w="1700" w:type="dxa"/>
            <w:tcBorders>
              <w:top w:val="nil"/>
              <w:left w:val="single" w:sz="4" w:space="0" w:color="auto"/>
              <w:bottom w:val="nil"/>
              <w:right w:val="single" w:sz="4" w:space="0" w:color="auto"/>
            </w:tcBorders>
            <w:shd w:val="clear" w:color="auto" w:fill="auto"/>
            <w:noWrap/>
            <w:vAlign w:val="bottom"/>
          </w:tcPr>
          <w:p w:rsidR="00C1490A" w:rsidRPr="00B8293F" w:rsidRDefault="00C1490A" w:rsidP="00B8293F">
            <w:pPr>
              <w:spacing w:after="0" w:line="240" w:lineRule="auto"/>
              <w:jc w:val="center"/>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2021</w:t>
            </w:r>
          </w:p>
        </w:tc>
        <w:tc>
          <w:tcPr>
            <w:tcW w:w="1700" w:type="dxa"/>
            <w:tcBorders>
              <w:top w:val="nil"/>
              <w:left w:val="nil"/>
              <w:bottom w:val="nil"/>
              <w:right w:val="single" w:sz="4" w:space="0" w:color="auto"/>
            </w:tcBorders>
            <w:shd w:val="clear" w:color="auto" w:fill="auto"/>
            <w:noWrap/>
            <w:vAlign w:val="bottom"/>
          </w:tcPr>
          <w:p w:rsidR="00C1490A" w:rsidRPr="00B8293F" w:rsidRDefault="00C1490A" w:rsidP="00B8293F">
            <w:pPr>
              <w:spacing w:after="0" w:line="240" w:lineRule="auto"/>
              <w:jc w:val="right"/>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134600000</w:t>
            </w:r>
          </w:p>
        </w:tc>
        <w:tc>
          <w:tcPr>
            <w:tcW w:w="2270" w:type="dxa"/>
            <w:tcBorders>
              <w:top w:val="nil"/>
              <w:left w:val="nil"/>
              <w:bottom w:val="nil"/>
              <w:right w:val="single" w:sz="4" w:space="0" w:color="auto"/>
            </w:tcBorders>
            <w:shd w:val="clear" w:color="auto" w:fill="auto"/>
            <w:noWrap/>
            <w:vAlign w:val="bottom"/>
          </w:tcPr>
          <w:p w:rsidR="00C1490A" w:rsidRPr="00B8293F" w:rsidRDefault="00C1490A" w:rsidP="00B8293F">
            <w:pPr>
              <w:spacing w:after="0" w:line="240" w:lineRule="auto"/>
              <w:jc w:val="right"/>
              <w:rPr>
                <w:rFonts w:ascii="Arial" w:eastAsia="Times New Roman" w:hAnsi="Arial" w:cs="Arial"/>
                <w:color w:val="000000"/>
                <w:sz w:val="24"/>
                <w:szCs w:val="24"/>
                <w:lang w:eastAsia="ro-RO"/>
              </w:rPr>
            </w:pPr>
            <w:r w:rsidRPr="00B8293F">
              <w:rPr>
                <w:rFonts w:ascii="Arial" w:eastAsia="Times New Roman" w:hAnsi="Arial" w:cs="Arial"/>
                <w:color w:val="000000"/>
                <w:sz w:val="24"/>
                <w:szCs w:val="24"/>
                <w:lang w:eastAsia="ro-RO"/>
              </w:rPr>
              <w:t>38346760</w:t>
            </w:r>
          </w:p>
        </w:tc>
      </w:tr>
    </w:tbl>
    <w:p w:rsidR="00C1490A" w:rsidRPr="00B8293F" w:rsidRDefault="00C1490A" w:rsidP="00C1490A">
      <w:pPr>
        <w:spacing w:after="0"/>
        <w:jc w:val="center"/>
        <w:rPr>
          <w:rFonts w:ascii="Arial" w:hAnsi="Arial" w:cs="Arial"/>
          <w:b/>
          <w:sz w:val="24"/>
          <w:szCs w:val="24"/>
          <w:u w:val="single"/>
        </w:rPr>
      </w:pPr>
    </w:p>
    <w:p w:rsidR="00C1490A" w:rsidRPr="00B8293F" w:rsidRDefault="00C1490A" w:rsidP="00C1490A">
      <w:pPr>
        <w:spacing w:after="0"/>
        <w:rPr>
          <w:rFonts w:ascii="Arial" w:hAnsi="Arial" w:cs="Arial"/>
          <w:b/>
          <w:sz w:val="24"/>
          <w:szCs w:val="24"/>
          <w:u w:val="single"/>
          <w:lang w:val="fr-FR"/>
        </w:rPr>
      </w:pPr>
      <w:r w:rsidRPr="00B8293F">
        <w:rPr>
          <w:rFonts w:ascii="Arial" w:hAnsi="Arial" w:cs="Arial"/>
          <w:noProof/>
          <w:sz w:val="24"/>
          <w:szCs w:val="24"/>
          <w:lang w:eastAsia="ro-RO"/>
        </w:rPr>
        <w:lastRenderedPageBreak/>
        <w:drawing>
          <wp:inline distT="0" distB="0" distL="0" distR="0" wp14:anchorId="71F5A929" wp14:editId="78678FCA">
            <wp:extent cx="5510213" cy="3562350"/>
            <wp:effectExtent l="0" t="0" r="14605"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r w:rsidRPr="00B8293F">
        <w:rPr>
          <w:rFonts w:ascii="Arial" w:hAnsi="Arial" w:cs="Arial"/>
          <w:b/>
          <w:sz w:val="24"/>
          <w:szCs w:val="24"/>
          <w:u w:val="single"/>
        </w:rPr>
        <w:br/>
      </w:r>
      <w:r w:rsidRPr="00B8293F">
        <w:rPr>
          <w:rFonts w:ascii="Arial" w:hAnsi="Arial" w:cs="Arial"/>
          <w:bCs/>
          <w:sz w:val="24"/>
          <w:szCs w:val="24"/>
          <w:lang w:val="fr-FR"/>
        </w:rPr>
        <w:t>Figura II.1.1 Evoluția resursei de apă (teoretică și utilizabilă) in mii m</w:t>
      </w:r>
      <w:r w:rsidRPr="00B8293F">
        <w:rPr>
          <w:rFonts w:ascii="Arial" w:hAnsi="Arial" w:cs="Arial"/>
          <w:bCs/>
          <w:sz w:val="24"/>
          <w:szCs w:val="24"/>
          <w:vertAlign w:val="superscript"/>
          <w:lang w:val="fr-FR"/>
        </w:rPr>
        <w:t>3</w:t>
      </w:r>
    </w:p>
    <w:p w:rsidR="00C1490A" w:rsidRPr="00B8293F" w:rsidRDefault="00C1490A" w:rsidP="00C1490A">
      <w:pPr>
        <w:jc w:val="center"/>
        <w:rPr>
          <w:rFonts w:ascii="Arial" w:hAnsi="Arial" w:cs="Arial"/>
          <w:b/>
          <w:sz w:val="24"/>
          <w:szCs w:val="24"/>
          <w:u w:val="single"/>
        </w:rPr>
      </w:pPr>
    </w:p>
    <w:p w:rsidR="00C1490A" w:rsidRPr="00B8293F" w:rsidRDefault="00C1490A" w:rsidP="00C1490A">
      <w:pPr>
        <w:jc w:val="center"/>
        <w:rPr>
          <w:rFonts w:ascii="Arial" w:hAnsi="Arial" w:cs="Arial"/>
          <w:b/>
          <w:sz w:val="24"/>
          <w:szCs w:val="24"/>
          <w:u w:val="single"/>
        </w:rPr>
      </w:pPr>
    </w:p>
    <w:p w:rsidR="00C1490A" w:rsidRPr="00B8293F" w:rsidRDefault="00C1490A" w:rsidP="00C1490A">
      <w:pPr>
        <w:spacing w:after="0"/>
        <w:ind w:firstLine="708"/>
        <w:jc w:val="both"/>
        <w:rPr>
          <w:rFonts w:ascii="Arial" w:hAnsi="Arial" w:cs="Arial"/>
          <w:sz w:val="24"/>
          <w:szCs w:val="24"/>
        </w:rPr>
      </w:pPr>
      <w:r w:rsidRPr="00B8293F">
        <w:rPr>
          <w:rFonts w:ascii="Arial" w:hAnsi="Arial" w:cs="Arial"/>
          <w:sz w:val="24"/>
          <w:szCs w:val="24"/>
          <w:lang w:val="pt-BR"/>
        </w:rPr>
        <w:t>Resursa utilizabilă, potrivit gradului de amenajare a bazinelor hidrografice</w:t>
      </w:r>
      <w:r w:rsidRPr="00B8293F">
        <w:rPr>
          <w:rFonts w:ascii="Arial" w:hAnsi="Arial" w:cs="Arial"/>
          <w:sz w:val="24"/>
          <w:szCs w:val="24"/>
        </w:rPr>
        <w:t>,c</w:t>
      </w:r>
      <w:r w:rsidRPr="00B8293F">
        <w:rPr>
          <w:rFonts w:ascii="Arial" w:hAnsi="Arial" w:cs="Arial"/>
          <w:sz w:val="24"/>
          <w:szCs w:val="24"/>
          <w:lang w:val="pt-BR"/>
        </w:rPr>
        <w:t>uprinde şi resursa aferentă lacurilor litorale, precum şi resursa asigurată prin refolosire externă indirectă în lungul râului.</w:t>
      </w:r>
    </w:p>
    <w:p w:rsidR="00C1490A" w:rsidRPr="00B8293F" w:rsidRDefault="00C1490A" w:rsidP="00C1490A">
      <w:pPr>
        <w:spacing w:after="0" w:line="240" w:lineRule="auto"/>
        <w:ind w:firstLine="720"/>
        <w:jc w:val="both"/>
        <w:rPr>
          <w:rFonts w:ascii="Arial" w:hAnsi="Arial" w:cs="Arial"/>
          <w:b/>
          <w:i/>
          <w:sz w:val="24"/>
          <w:szCs w:val="24"/>
        </w:rPr>
      </w:pPr>
    </w:p>
    <w:p w:rsidR="00C1490A" w:rsidRPr="00B8293F" w:rsidRDefault="00C1490A" w:rsidP="00C1490A">
      <w:pPr>
        <w:spacing w:after="0" w:line="240" w:lineRule="auto"/>
        <w:ind w:firstLine="720"/>
        <w:jc w:val="both"/>
        <w:rPr>
          <w:rFonts w:ascii="Arial" w:hAnsi="Arial" w:cs="Arial"/>
          <w:b/>
          <w:sz w:val="24"/>
          <w:szCs w:val="24"/>
        </w:rPr>
      </w:pPr>
      <w:r w:rsidRPr="00B8293F">
        <w:rPr>
          <w:rFonts w:ascii="Arial" w:hAnsi="Arial" w:cs="Arial"/>
          <w:b/>
          <w:i/>
          <w:sz w:val="24"/>
          <w:szCs w:val="24"/>
        </w:rPr>
        <w:t xml:space="preserve">Resursele de apă de suprafață </w:t>
      </w:r>
    </w:p>
    <w:p w:rsidR="00C1490A" w:rsidRPr="00B8293F" w:rsidRDefault="00C1490A" w:rsidP="00C1490A">
      <w:pPr>
        <w:spacing w:after="0" w:line="240" w:lineRule="auto"/>
        <w:ind w:firstLine="720"/>
        <w:jc w:val="both"/>
        <w:rPr>
          <w:rFonts w:ascii="Arial" w:hAnsi="Arial" w:cs="Arial"/>
          <w:sz w:val="24"/>
          <w:szCs w:val="24"/>
        </w:rPr>
      </w:pPr>
    </w:p>
    <w:p w:rsidR="00C1490A" w:rsidRPr="00B8293F" w:rsidRDefault="00C1490A" w:rsidP="00C1490A">
      <w:pPr>
        <w:spacing w:after="0" w:line="240" w:lineRule="auto"/>
        <w:ind w:firstLine="720"/>
        <w:jc w:val="both"/>
        <w:rPr>
          <w:rFonts w:ascii="Arial" w:hAnsi="Arial" w:cs="Arial"/>
          <w:sz w:val="24"/>
          <w:szCs w:val="24"/>
          <w:lang w:val="fr-FR"/>
        </w:rPr>
      </w:pPr>
      <w:r w:rsidRPr="00B8293F">
        <w:rPr>
          <w:rFonts w:ascii="Arial" w:hAnsi="Arial" w:cs="Arial"/>
          <w:sz w:val="24"/>
          <w:szCs w:val="24"/>
        </w:rPr>
        <w:t>Resursele de apă de suprafață ale României provin din 2 categorii de surse, respectiv</w:t>
      </w:r>
      <w:r w:rsidRPr="00B8293F">
        <w:rPr>
          <w:rFonts w:ascii="Arial" w:hAnsi="Arial" w:cs="Arial"/>
          <w:sz w:val="24"/>
          <w:szCs w:val="24"/>
          <w:lang w:val="fr-FR"/>
        </w:rPr>
        <w:t>:</w:t>
      </w:r>
    </w:p>
    <w:p w:rsidR="00C1490A" w:rsidRPr="00B8293F" w:rsidRDefault="00C1490A" w:rsidP="00C1490A">
      <w:pPr>
        <w:pStyle w:val="ListParagraph"/>
        <w:numPr>
          <w:ilvl w:val="0"/>
          <w:numId w:val="1"/>
        </w:numPr>
        <w:spacing w:after="0" w:line="240" w:lineRule="auto"/>
        <w:ind w:left="1248" w:hanging="284"/>
        <w:jc w:val="both"/>
        <w:rPr>
          <w:rFonts w:ascii="Arial" w:hAnsi="Arial" w:cs="Arial"/>
          <w:sz w:val="24"/>
          <w:szCs w:val="24"/>
        </w:rPr>
      </w:pPr>
      <w:r w:rsidRPr="00B8293F">
        <w:rPr>
          <w:rFonts w:ascii="Arial" w:hAnsi="Arial" w:cs="Arial"/>
          <w:sz w:val="24"/>
          <w:szCs w:val="24"/>
        </w:rPr>
        <w:t>râurile interioare (inclusiv lacurile naturale)</w:t>
      </w:r>
    </w:p>
    <w:p w:rsidR="00C1490A" w:rsidRPr="00B8293F" w:rsidRDefault="00C1490A" w:rsidP="00C1490A">
      <w:pPr>
        <w:pStyle w:val="ListParagraph"/>
        <w:numPr>
          <w:ilvl w:val="0"/>
          <w:numId w:val="1"/>
        </w:numPr>
        <w:spacing w:after="0" w:line="240" w:lineRule="auto"/>
        <w:ind w:left="1248" w:hanging="284"/>
        <w:jc w:val="both"/>
        <w:rPr>
          <w:rFonts w:ascii="Arial" w:hAnsi="Arial" w:cs="Arial"/>
          <w:sz w:val="24"/>
          <w:szCs w:val="24"/>
        </w:rPr>
      </w:pPr>
      <w:r w:rsidRPr="00B8293F">
        <w:rPr>
          <w:rFonts w:ascii="Arial" w:hAnsi="Arial" w:cs="Arial"/>
          <w:sz w:val="24"/>
          <w:szCs w:val="24"/>
        </w:rPr>
        <w:t>fluviul Dunărea</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Pentru utilizatorii din România ponderea principală în asigurarea resursei necesare o au râurile interioare. Lacurile naturale au volume reduse de apă, cu excepția lacurilor litorale din sistemul lagunar Razelm – Sinoe care, deși dispun de volume apreciabile, au apă salmastră datorită legăturilor cu apele Mării Negre.</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Fluviul Dunărea, deși deține întâietatea în ceea ce privește volumul total al resursei, fiind situat excentric față de teritoriul național, este mai puțin folosit ca sursă de apă utilizabilă. Până în prezent singura utilizare a resursei de apă oferită de Dunăre a fost în domeniul agricol (pentru irigații).</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i/>
          <w:iCs/>
          <w:sz w:val="24"/>
          <w:szCs w:val="24"/>
          <w:u w:val="single"/>
        </w:rPr>
        <w:t>Resursa naturală de apă a anului 2021</w:t>
      </w:r>
      <w:r w:rsidRPr="00B8293F">
        <w:rPr>
          <w:rFonts w:ascii="Arial" w:hAnsi="Arial" w:cs="Arial"/>
          <w:sz w:val="24"/>
          <w:szCs w:val="24"/>
        </w:rPr>
        <w:t xml:space="preserve"> provenită din râurile interioare a reprezentat un volum scurs de 39354*10</w:t>
      </w:r>
      <w:r w:rsidRPr="00B8293F">
        <w:rPr>
          <w:rFonts w:ascii="Arial" w:hAnsi="Arial" w:cs="Arial"/>
          <w:sz w:val="24"/>
          <w:szCs w:val="24"/>
          <w:vertAlign w:val="superscript"/>
        </w:rPr>
        <w:t>6</w:t>
      </w:r>
      <w:r w:rsidRPr="00B8293F">
        <w:rPr>
          <w:rFonts w:ascii="Arial" w:hAnsi="Arial" w:cs="Arial"/>
          <w:sz w:val="24"/>
          <w:szCs w:val="24"/>
        </w:rPr>
        <w:t>m</w:t>
      </w:r>
      <w:r w:rsidRPr="00B8293F">
        <w:rPr>
          <w:rFonts w:ascii="Arial" w:hAnsi="Arial" w:cs="Arial"/>
          <w:sz w:val="24"/>
          <w:szCs w:val="24"/>
          <w:vertAlign w:val="superscript"/>
        </w:rPr>
        <w:t>3</w:t>
      </w:r>
      <w:r w:rsidRPr="00B8293F">
        <w:rPr>
          <w:rFonts w:ascii="Arial" w:hAnsi="Arial" w:cs="Arial"/>
          <w:sz w:val="24"/>
          <w:szCs w:val="24"/>
        </w:rPr>
        <w:t xml:space="preserve"> care îl situează cu 2,6% peste nivelul volumului mediu multianual calculat pentru o perioadă îndelungată, respectiv 38364 *10</w:t>
      </w:r>
      <w:r w:rsidRPr="00B8293F">
        <w:rPr>
          <w:rFonts w:ascii="Arial" w:hAnsi="Arial" w:cs="Arial"/>
          <w:sz w:val="24"/>
          <w:szCs w:val="24"/>
          <w:vertAlign w:val="superscript"/>
        </w:rPr>
        <w:t>6</w:t>
      </w:r>
      <w:r w:rsidRPr="00B8293F">
        <w:rPr>
          <w:rFonts w:ascii="Arial" w:hAnsi="Arial" w:cs="Arial"/>
          <w:sz w:val="24"/>
          <w:szCs w:val="24"/>
        </w:rPr>
        <w:t>m</w:t>
      </w:r>
      <w:r w:rsidRPr="00B8293F">
        <w:rPr>
          <w:rFonts w:ascii="Arial" w:hAnsi="Arial" w:cs="Arial"/>
          <w:sz w:val="24"/>
          <w:szCs w:val="24"/>
          <w:vertAlign w:val="superscript"/>
        </w:rPr>
        <w:t>3</w:t>
      </w:r>
      <w:r w:rsidRPr="00B8293F">
        <w:rPr>
          <w:rFonts w:ascii="Arial" w:hAnsi="Arial" w:cs="Arial"/>
          <w:sz w:val="24"/>
          <w:szCs w:val="24"/>
        </w:rPr>
        <w:t xml:space="preserve"> și cu circa 6% mai mare față de resursa asigurată privind gradul de amenajare al bazinelor hidrografice care este de 37160 *10</w:t>
      </w:r>
      <w:r w:rsidRPr="00B8293F">
        <w:rPr>
          <w:rFonts w:ascii="Arial" w:hAnsi="Arial" w:cs="Arial"/>
          <w:sz w:val="24"/>
          <w:szCs w:val="24"/>
          <w:vertAlign w:val="superscript"/>
        </w:rPr>
        <w:t>6</w:t>
      </w:r>
      <w:r w:rsidRPr="00B8293F">
        <w:rPr>
          <w:rFonts w:ascii="Arial" w:hAnsi="Arial" w:cs="Arial"/>
          <w:sz w:val="24"/>
          <w:szCs w:val="24"/>
        </w:rPr>
        <w:t>m</w:t>
      </w:r>
      <w:r w:rsidRPr="00B8293F">
        <w:rPr>
          <w:rFonts w:ascii="Arial" w:hAnsi="Arial" w:cs="Arial"/>
          <w:sz w:val="24"/>
          <w:szCs w:val="24"/>
          <w:vertAlign w:val="superscript"/>
        </w:rPr>
        <w:t>3</w:t>
      </w:r>
      <w:r w:rsidRPr="00B8293F">
        <w:rPr>
          <w:rFonts w:ascii="Arial" w:hAnsi="Arial" w:cs="Arial"/>
          <w:sz w:val="24"/>
          <w:szCs w:val="24"/>
        </w:rPr>
        <w:t xml:space="preserve"> determinată pentru anul 2021.</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În acest context anul 2021 poate fi considerat un an normal.</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Comparativ cu ultimii 5 ani (2016 – 2020), volumul scurs în anul 2021 este mai mare decât media multianuală a stocului anual (35516 * 10</w:t>
      </w:r>
      <w:r w:rsidRPr="00B8293F">
        <w:rPr>
          <w:rFonts w:ascii="Arial" w:hAnsi="Arial" w:cs="Arial"/>
          <w:sz w:val="24"/>
          <w:szCs w:val="24"/>
          <w:vertAlign w:val="superscript"/>
        </w:rPr>
        <w:t>6</w:t>
      </w:r>
      <w:r w:rsidRPr="00B8293F">
        <w:rPr>
          <w:rFonts w:ascii="Arial" w:hAnsi="Arial" w:cs="Arial"/>
          <w:sz w:val="24"/>
          <w:szCs w:val="24"/>
        </w:rPr>
        <w:t>m</w:t>
      </w:r>
      <w:r w:rsidRPr="00B8293F">
        <w:rPr>
          <w:rFonts w:ascii="Arial" w:hAnsi="Arial" w:cs="Arial"/>
          <w:sz w:val="24"/>
          <w:szCs w:val="24"/>
          <w:vertAlign w:val="superscript"/>
        </w:rPr>
        <w:t>3</w:t>
      </w:r>
      <w:r w:rsidRPr="00B8293F">
        <w:rPr>
          <w:rFonts w:ascii="Arial" w:hAnsi="Arial" w:cs="Arial"/>
          <w:sz w:val="24"/>
          <w:szCs w:val="24"/>
        </w:rPr>
        <w:t>) scurs în intervalul amintit (vezi tabel nr. II.1.1  și figura 2.1.).</w:t>
      </w:r>
    </w:p>
    <w:p w:rsidR="00C1490A" w:rsidRPr="00B8293F" w:rsidRDefault="00C1490A" w:rsidP="00C1490A">
      <w:pPr>
        <w:spacing w:after="0" w:line="240" w:lineRule="auto"/>
        <w:ind w:firstLine="720"/>
        <w:jc w:val="both"/>
        <w:rPr>
          <w:rFonts w:ascii="Arial" w:hAnsi="Arial" w:cs="Arial"/>
          <w:sz w:val="24"/>
          <w:szCs w:val="24"/>
        </w:rPr>
      </w:pPr>
    </w:p>
    <w:p w:rsidR="00FD3D76" w:rsidRDefault="00FD3D76" w:rsidP="00C1490A">
      <w:pPr>
        <w:spacing w:after="0" w:line="240" w:lineRule="auto"/>
        <w:jc w:val="center"/>
        <w:rPr>
          <w:rFonts w:ascii="Arial" w:eastAsia="Times New Roman" w:hAnsi="Arial" w:cs="Arial"/>
          <w:i/>
          <w:sz w:val="24"/>
          <w:szCs w:val="24"/>
          <w:lang w:eastAsia="ro-RO"/>
        </w:rPr>
      </w:pPr>
    </w:p>
    <w:p w:rsidR="00FD3D76" w:rsidRDefault="00FD3D76" w:rsidP="00C1490A">
      <w:pPr>
        <w:spacing w:after="0" w:line="240" w:lineRule="auto"/>
        <w:jc w:val="center"/>
        <w:rPr>
          <w:rFonts w:ascii="Arial" w:eastAsia="Times New Roman" w:hAnsi="Arial" w:cs="Arial"/>
          <w:i/>
          <w:sz w:val="24"/>
          <w:szCs w:val="24"/>
          <w:lang w:eastAsia="ro-RO"/>
        </w:rPr>
      </w:pPr>
    </w:p>
    <w:p w:rsidR="00FD3D76" w:rsidRDefault="00FD3D76" w:rsidP="00C1490A">
      <w:pPr>
        <w:spacing w:after="0" w:line="240" w:lineRule="auto"/>
        <w:jc w:val="center"/>
        <w:rPr>
          <w:rFonts w:ascii="Arial" w:eastAsia="Times New Roman" w:hAnsi="Arial" w:cs="Arial"/>
          <w:i/>
          <w:sz w:val="24"/>
          <w:szCs w:val="24"/>
          <w:lang w:eastAsia="ro-RO"/>
        </w:rPr>
      </w:pPr>
    </w:p>
    <w:p w:rsidR="00C1490A" w:rsidRPr="00B8293F" w:rsidRDefault="00C1490A" w:rsidP="00C1490A">
      <w:pPr>
        <w:spacing w:after="0" w:line="240" w:lineRule="auto"/>
        <w:jc w:val="center"/>
        <w:rPr>
          <w:rFonts w:ascii="Arial" w:eastAsia="Times New Roman" w:hAnsi="Arial" w:cs="Arial"/>
          <w:i/>
          <w:sz w:val="24"/>
          <w:szCs w:val="24"/>
          <w:lang w:eastAsia="ro-RO"/>
        </w:rPr>
      </w:pPr>
      <w:r w:rsidRPr="00B8293F">
        <w:rPr>
          <w:rFonts w:ascii="Arial" w:eastAsia="Times New Roman" w:hAnsi="Arial" w:cs="Arial"/>
          <w:i/>
          <w:sz w:val="24"/>
          <w:szCs w:val="24"/>
          <w:lang w:eastAsia="ro-RO"/>
        </w:rPr>
        <w:t>Tabelul nr. II.1.1. Resursele de apă ale anului 2021, comparativ cu perioada anterioară (2016-2020)</w:t>
      </w:r>
    </w:p>
    <w:tbl>
      <w:tblPr>
        <w:tblW w:w="108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2"/>
        <w:gridCol w:w="1261"/>
        <w:gridCol w:w="884"/>
        <w:gridCol w:w="773"/>
        <w:gridCol w:w="828"/>
        <w:gridCol w:w="939"/>
        <w:gridCol w:w="939"/>
        <w:gridCol w:w="828"/>
        <w:gridCol w:w="919"/>
        <w:gridCol w:w="939"/>
        <w:gridCol w:w="1140"/>
      </w:tblGrid>
      <w:tr w:rsidR="00C1490A" w:rsidRPr="00090F9C" w:rsidTr="00B8293F">
        <w:trPr>
          <w:tblHeader/>
          <w:jc w:val="center"/>
        </w:trPr>
        <w:tc>
          <w:tcPr>
            <w:tcW w:w="1372" w:type="dxa"/>
            <w:vMerge w:val="restart"/>
            <w:tcBorders>
              <w:top w:val="single" w:sz="8" w:space="0" w:color="auto"/>
              <w:left w:val="single" w:sz="8" w:space="0" w:color="auto"/>
            </w:tcBorders>
            <w:shd w:val="clear" w:color="000000" w:fill="auto"/>
            <w:noWrap/>
            <w:vAlign w:val="center"/>
            <w:hideMark/>
          </w:tcPr>
          <w:p w:rsidR="00C1490A" w:rsidRPr="00090F9C" w:rsidRDefault="00C1490A" w:rsidP="00B8293F">
            <w:pPr>
              <w:spacing w:after="0" w:line="240" w:lineRule="auto"/>
              <w:jc w:val="center"/>
              <w:rPr>
                <w:rFonts w:ascii="Arial" w:eastAsia="Times New Roman" w:hAnsi="Arial" w:cs="Arial"/>
                <w:b/>
                <w:bCs/>
                <w:color w:val="000000"/>
                <w:sz w:val="20"/>
                <w:szCs w:val="20"/>
                <w:lang w:val="en-US"/>
              </w:rPr>
            </w:pPr>
            <w:r w:rsidRPr="00090F9C">
              <w:rPr>
                <w:rFonts w:ascii="Arial" w:eastAsia="Times New Roman" w:hAnsi="Arial" w:cs="Arial"/>
                <w:b/>
                <w:bCs/>
                <w:color w:val="000000"/>
                <w:sz w:val="20"/>
                <w:szCs w:val="20"/>
              </w:rPr>
              <w:t>Bazinul hidrografic</w:t>
            </w:r>
          </w:p>
        </w:tc>
        <w:tc>
          <w:tcPr>
            <w:tcW w:w="1261" w:type="dxa"/>
            <w:vMerge w:val="restart"/>
            <w:tcBorders>
              <w:top w:val="single" w:sz="8" w:space="0" w:color="auto"/>
            </w:tcBorders>
            <w:shd w:val="clear" w:color="000000" w:fill="auto"/>
            <w:noWrap/>
            <w:vAlign w:val="center"/>
            <w:hideMark/>
          </w:tcPr>
          <w:p w:rsidR="00C1490A" w:rsidRPr="00090F9C" w:rsidRDefault="00C1490A" w:rsidP="00B8293F">
            <w:pPr>
              <w:spacing w:after="0" w:line="240" w:lineRule="auto"/>
              <w:jc w:val="center"/>
              <w:rPr>
                <w:rFonts w:ascii="Arial" w:eastAsia="Times New Roman" w:hAnsi="Arial" w:cs="Arial"/>
                <w:b/>
                <w:bCs/>
                <w:color w:val="000000"/>
                <w:sz w:val="20"/>
                <w:szCs w:val="20"/>
                <w:lang w:val="en-US"/>
              </w:rPr>
            </w:pPr>
            <w:r w:rsidRPr="00090F9C">
              <w:rPr>
                <w:rFonts w:ascii="Arial" w:eastAsia="Times New Roman" w:hAnsi="Arial" w:cs="Arial"/>
                <w:b/>
                <w:bCs/>
                <w:color w:val="000000"/>
                <w:sz w:val="20"/>
                <w:szCs w:val="20"/>
                <w:lang w:val="en-US"/>
              </w:rPr>
              <w:t>Parametrul</w:t>
            </w:r>
          </w:p>
        </w:tc>
        <w:tc>
          <w:tcPr>
            <w:tcW w:w="884" w:type="dxa"/>
            <w:vMerge w:val="restart"/>
            <w:tcBorders>
              <w:top w:val="single" w:sz="8" w:space="0" w:color="auto"/>
            </w:tcBorders>
            <w:shd w:val="clear" w:color="000000" w:fill="auto"/>
            <w:noWrap/>
            <w:vAlign w:val="center"/>
            <w:hideMark/>
          </w:tcPr>
          <w:p w:rsidR="00C1490A" w:rsidRPr="00090F9C" w:rsidRDefault="00C1490A" w:rsidP="00B8293F">
            <w:pPr>
              <w:spacing w:after="0" w:line="240" w:lineRule="auto"/>
              <w:jc w:val="center"/>
              <w:rPr>
                <w:rFonts w:ascii="Arial" w:eastAsia="Times New Roman" w:hAnsi="Arial" w:cs="Arial"/>
                <w:b/>
                <w:bCs/>
                <w:color w:val="000000"/>
                <w:sz w:val="20"/>
                <w:szCs w:val="20"/>
                <w:lang w:val="en-US"/>
              </w:rPr>
            </w:pPr>
            <w:r w:rsidRPr="00090F9C">
              <w:rPr>
                <w:rFonts w:ascii="Arial" w:eastAsia="Times New Roman" w:hAnsi="Arial" w:cs="Arial"/>
                <w:b/>
                <w:bCs/>
                <w:color w:val="000000"/>
                <w:sz w:val="20"/>
                <w:szCs w:val="20"/>
              </w:rPr>
              <w:t>F (km</w:t>
            </w:r>
            <w:r w:rsidRPr="00090F9C">
              <w:rPr>
                <w:rFonts w:ascii="Arial" w:eastAsia="Times New Roman" w:hAnsi="Arial" w:cs="Arial"/>
                <w:b/>
                <w:bCs/>
                <w:color w:val="000000"/>
                <w:sz w:val="20"/>
                <w:szCs w:val="20"/>
                <w:vertAlign w:val="superscript"/>
              </w:rPr>
              <w:t>2</w:t>
            </w:r>
            <w:r w:rsidRPr="00090F9C">
              <w:rPr>
                <w:rFonts w:ascii="Arial" w:eastAsia="Times New Roman" w:hAnsi="Arial" w:cs="Arial"/>
                <w:b/>
                <w:bCs/>
                <w:color w:val="000000"/>
                <w:sz w:val="20"/>
                <w:szCs w:val="20"/>
              </w:rPr>
              <w:t>)</w:t>
            </w:r>
          </w:p>
        </w:tc>
        <w:tc>
          <w:tcPr>
            <w:tcW w:w="6165" w:type="dxa"/>
            <w:gridSpan w:val="7"/>
            <w:tcBorders>
              <w:top w:val="single" w:sz="8" w:space="0" w:color="auto"/>
              <w:bottom w:val="single" w:sz="4" w:space="0" w:color="auto"/>
            </w:tcBorders>
            <w:shd w:val="clear" w:color="000000" w:fill="auto"/>
            <w:noWrap/>
            <w:vAlign w:val="center"/>
            <w:hideMark/>
          </w:tcPr>
          <w:p w:rsidR="00C1490A" w:rsidRPr="00090F9C" w:rsidRDefault="00C1490A" w:rsidP="00B8293F">
            <w:pPr>
              <w:spacing w:after="0" w:line="240" w:lineRule="auto"/>
              <w:jc w:val="center"/>
              <w:rPr>
                <w:rFonts w:ascii="Arial" w:eastAsia="Times New Roman" w:hAnsi="Arial" w:cs="Arial"/>
                <w:b/>
                <w:bCs/>
                <w:color w:val="000000"/>
                <w:sz w:val="20"/>
                <w:szCs w:val="20"/>
                <w:lang w:val="en-US"/>
              </w:rPr>
            </w:pPr>
            <w:r w:rsidRPr="00090F9C">
              <w:rPr>
                <w:rFonts w:ascii="Arial" w:eastAsia="Times New Roman" w:hAnsi="Arial" w:cs="Arial"/>
                <w:b/>
                <w:bCs/>
                <w:color w:val="000000"/>
                <w:sz w:val="20"/>
                <w:szCs w:val="20"/>
              </w:rPr>
              <w:t xml:space="preserve">Q </w:t>
            </w:r>
            <w:r w:rsidRPr="00090F9C">
              <w:rPr>
                <w:rFonts w:ascii="Arial" w:eastAsia="Times New Roman" w:hAnsi="Arial" w:cs="Arial"/>
                <w:b/>
                <w:bCs/>
                <w:color w:val="000000"/>
                <w:sz w:val="20"/>
                <w:szCs w:val="20"/>
                <w:vertAlign w:val="subscript"/>
              </w:rPr>
              <w:t xml:space="preserve">med anual </w:t>
            </w:r>
            <w:r w:rsidRPr="00090F9C">
              <w:rPr>
                <w:rFonts w:ascii="Arial" w:eastAsia="Times New Roman" w:hAnsi="Arial" w:cs="Arial"/>
                <w:b/>
                <w:bCs/>
                <w:color w:val="000000"/>
                <w:sz w:val="20"/>
                <w:szCs w:val="20"/>
              </w:rPr>
              <w:t>(m</w:t>
            </w:r>
            <w:r w:rsidRPr="00090F9C">
              <w:rPr>
                <w:rFonts w:ascii="Arial" w:eastAsia="Times New Roman" w:hAnsi="Arial" w:cs="Arial"/>
                <w:b/>
                <w:bCs/>
                <w:color w:val="000000"/>
                <w:sz w:val="20"/>
                <w:szCs w:val="20"/>
                <w:vertAlign w:val="superscript"/>
              </w:rPr>
              <w:t>3</w:t>
            </w:r>
            <w:r w:rsidRPr="00090F9C">
              <w:rPr>
                <w:rFonts w:ascii="Arial" w:eastAsia="Times New Roman" w:hAnsi="Arial" w:cs="Arial"/>
                <w:b/>
                <w:bCs/>
                <w:color w:val="000000"/>
                <w:sz w:val="20"/>
                <w:szCs w:val="20"/>
              </w:rPr>
              <w:t>/s)</w:t>
            </w:r>
          </w:p>
        </w:tc>
        <w:tc>
          <w:tcPr>
            <w:tcW w:w="1140" w:type="dxa"/>
            <w:vMerge w:val="restart"/>
            <w:tcBorders>
              <w:top w:val="single" w:sz="8" w:space="0" w:color="auto"/>
              <w:right w:val="single" w:sz="8" w:space="0" w:color="auto"/>
            </w:tcBorders>
            <w:shd w:val="clear" w:color="000000" w:fill="auto"/>
            <w:noWrap/>
            <w:vAlign w:val="center"/>
            <w:hideMark/>
          </w:tcPr>
          <w:p w:rsidR="00C1490A" w:rsidRPr="00090F9C" w:rsidRDefault="00C1490A" w:rsidP="00B8293F">
            <w:pPr>
              <w:spacing w:after="0" w:line="240" w:lineRule="auto"/>
              <w:jc w:val="center"/>
              <w:rPr>
                <w:rFonts w:ascii="Arial" w:eastAsia="Times New Roman" w:hAnsi="Arial" w:cs="Arial"/>
                <w:b/>
                <w:bCs/>
                <w:color w:val="000000"/>
                <w:sz w:val="20"/>
                <w:szCs w:val="20"/>
                <w:lang w:val="en-US"/>
              </w:rPr>
            </w:pPr>
            <w:r w:rsidRPr="00090F9C">
              <w:rPr>
                <w:rFonts w:ascii="Arial" w:eastAsia="Times New Roman" w:hAnsi="Arial" w:cs="Arial"/>
                <w:b/>
                <w:bCs/>
                <w:color w:val="000000"/>
                <w:sz w:val="20"/>
                <w:szCs w:val="20"/>
              </w:rPr>
              <w:t>Q</w:t>
            </w:r>
            <w:r w:rsidRPr="00090F9C">
              <w:rPr>
                <w:rFonts w:ascii="Arial" w:eastAsia="Times New Roman" w:hAnsi="Arial" w:cs="Arial"/>
                <w:b/>
                <w:bCs/>
                <w:color w:val="000000"/>
                <w:sz w:val="20"/>
                <w:szCs w:val="20"/>
                <w:vertAlign w:val="subscript"/>
              </w:rPr>
              <w:t>2021</w:t>
            </w:r>
            <w:r w:rsidRPr="00090F9C">
              <w:rPr>
                <w:rFonts w:ascii="Arial" w:eastAsia="Times New Roman" w:hAnsi="Arial" w:cs="Arial"/>
                <w:b/>
                <w:bCs/>
                <w:color w:val="000000"/>
                <w:sz w:val="20"/>
                <w:szCs w:val="20"/>
              </w:rPr>
              <w:t>/Q</w:t>
            </w:r>
            <w:r w:rsidRPr="00090F9C">
              <w:rPr>
                <w:rFonts w:ascii="Arial" w:eastAsia="Times New Roman" w:hAnsi="Arial" w:cs="Arial"/>
                <w:b/>
                <w:bCs/>
                <w:color w:val="000000"/>
                <w:sz w:val="20"/>
                <w:szCs w:val="20"/>
                <w:vertAlign w:val="subscript"/>
              </w:rPr>
              <w:t>med</w:t>
            </w:r>
            <w:r w:rsidRPr="00090F9C">
              <w:rPr>
                <w:rFonts w:ascii="Arial" w:eastAsia="Times New Roman" w:hAnsi="Arial" w:cs="Arial"/>
                <w:b/>
                <w:bCs/>
                <w:color w:val="000000"/>
                <w:sz w:val="20"/>
                <w:szCs w:val="20"/>
              </w:rPr>
              <w:t xml:space="preserve"> (%)</w:t>
            </w:r>
          </w:p>
        </w:tc>
      </w:tr>
      <w:tr w:rsidR="00C1490A" w:rsidRPr="00090F9C" w:rsidTr="00B8293F">
        <w:trPr>
          <w:tblHeader/>
          <w:jc w:val="center"/>
        </w:trPr>
        <w:tc>
          <w:tcPr>
            <w:tcW w:w="1372" w:type="dxa"/>
            <w:vMerge/>
            <w:tcBorders>
              <w:left w:val="single" w:sz="8" w:space="0" w:color="auto"/>
              <w:bottom w:val="single" w:sz="8" w:space="0" w:color="auto"/>
            </w:tcBorders>
            <w:shd w:val="clear" w:color="000000" w:fill="FFFF00"/>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vMerge/>
            <w:tcBorders>
              <w:bottom w:val="single" w:sz="8" w:space="0" w:color="auto"/>
            </w:tcBorders>
            <w:shd w:val="clear" w:color="000000" w:fill="FFFF00"/>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884" w:type="dxa"/>
            <w:vMerge/>
            <w:tcBorders>
              <w:bottom w:val="single" w:sz="8" w:space="0" w:color="auto"/>
            </w:tcBorders>
            <w:shd w:val="clear" w:color="000000" w:fill="FFFF00"/>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tcBorders>
              <w:bottom w:val="single" w:sz="8" w:space="0" w:color="auto"/>
            </w:tcBorders>
            <w:shd w:val="clear" w:color="000000" w:fill="auto"/>
            <w:noWrap/>
            <w:vAlign w:val="center"/>
          </w:tcPr>
          <w:p w:rsidR="00C1490A" w:rsidRPr="00090F9C" w:rsidRDefault="00C1490A" w:rsidP="00B8293F">
            <w:pPr>
              <w:spacing w:after="0" w:line="240" w:lineRule="auto"/>
              <w:jc w:val="center"/>
              <w:rPr>
                <w:rFonts w:ascii="Arial" w:eastAsia="Times New Roman" w:hAnsi="Arial" w:cs="Arial"/>
                <w:b/>
                <w:bCs/>
                <w:color w:val="000000"/>
                <w:sz w:val="20"/>
                <w:szCs w:val="20"/>
                <w:lang w:val="en-US"/>
              </w:rPr>
            </w:pPr>
            <w:r w:rsidRPr="00090F9C">
              <w:rPr>
                <w:rFonts w:ascii="Arial" w:eastAsia="Times New Roman" w:hAnsi="Arial" w:cs="Arial"/>
                <w:b/>
                <w:bCs/>
                <w:color w:val="000000"/>
                <w:sz w:val="20"/>
                <w:szCs w:val="20"/>
              </w:rPr>
              <w:t>2016</w:t>
            </w:r>
          </w:p>
        </w:tc>
        <w:tc>
          <w:tcPr>
            <w:tcW w:w="828" w:type="dxa"/>
            <w:tcBorders>
              <w:bottom w:val="single" w:sz="8" w:space="0" w:color="auto"/>
            </w:tcBorders>
            <w:shd w:val="clear" w:color="000000" w:fill="auto"/>
            <w:noWrap/>
            <w:vAlign w:val="center"/>
          </w:tcPr>
          <w:p w:rsidR="00C1490A" w:rsidRPr="00090F9C" w:rsidRDefault="00C1490A" w:rsidP="00B8293F">
            <w:pPr>
              <w:spacing w:after="0" w:line="240" w:lineRule="auto"/>
              <w:jc w:val="center"/>
              <w:rPr>
                <w:rFonts w:ascii="Arial" w:eastAsia="Times New Roman" w:hAnsi="Arial" w:cs="Arial"/>
                <w:b/>
                <w:bCs/>
                <w:color w:val="000000"/>
                <w:sz w:val="20"/>
                <w:szCs w:val="20"/>
                <w:lang w:val="en-US"/>
              </w:rPr>
            </w:pPr>
            <w:r w:rsidRPr="00090F9C">
              <w:rPr>
                <w:rFonts w:ascii="Arial" w:eastAsia="Times New Roman" w:hAnsi="Arial" w:cs="Arial"/>
                <w:b/>
                <w:bCs/>
                <w:color w:val="000000"/>
                <w:sz w:val="20"/>
                <w:szCs w:val="20"/>
              </w:rPr>
              <w:t>2017</w:t>
            </w:r>
          </w:p>
        </w:tc>
        <w:tc>
          <w:tcPr>
            <w:tcW w:w="939" w:type="dxa"/>
            <w:tcBorders>
              <w:bottom w:val="single" w:sz="8" w:space="0" w:color="auto"/>
            </w:tcBorders>
            <w:shd w:val="clear" w:color="000000" w:fill="auto"/>
            <w:noWrap/>
            <w:vAlign w:val="center"/>
          </w:tcPr>
          <w:p w:rsidR="00C1490A" w:rsidRPr="00090F9C" w:rsidRDefault="00C1490A" w:rsidP="00B8293F">
            <w:pPr>
              <w:spacing w:after="0" w:line="240" w:lineRule="auto"/>
              <w:jc w:val="center"/>
              <w:rPr>
                <w:rFonts w:ascii="Arial" w:eastAsia="Times New Roman" w:hAnsi="Arial" w:cs="Arial"/>
                <w:b/>
                <w:bCs/>
                <w:color w:val="000000"/>
                <w:sz w:val="20"/>
                <w:szCs w:val="20"/>
                <w:lang w:val="en-US"/>
              </w:rPr>
            </w:pPr>
            <w:r w:rsidRPr="00090F9C">
              <w:rPr>
                <w:rFonts w:ascii="Arial" w:eastAsia="Times New Roman" w:hAnsi="Arial" w:cs="Arial"/>
                <w:b/>
                <w:bCs/>
                <w:color w:val="000000"/>
                <w:sz w:val="20"/>
                <w:szCs w:val="20"/>
                <w:lang w:val="en-US"/>
              </w:rPr>
              <w:t>2018</w:t>
            </w:r>
          </w:p>
        </w:tc>
        <w:tc>
          <w:tcPr>
            <w:tcW w:w="939" w:type="dxa"/>
            <w:tcBorders>
              <w:bottom w:val="single" w:sz="8" w:space="0" w:color="auto"/>
            </w:tcBorders>
            <w:shd w:val="clear" w:color="000000" w:fill="auto"/>
            <w:noWrap/>
            <w:vAlign w:val="center"/>
          </w:tcPr>
          <w:p w:rsidR="00C1490A" w:rsidRPr="00090F9C" w:rsidRDefault="00C1490A" w:rsidP="00B8293F">
            <w:pPr>
              <w:spacing w:after="0" w:line="240" w:lineRule="auto"/>
              <w:jc w:val="center"/>
              <w:rPr>
                <w:rFonts w:ascii="Arial" w:eastAsia="Times New Roman" w:hAnsi="Arial" w:cs="Arial"/>
                <w:b/>
                <w:bCs/>
                <w:color w:val="000000"/>
                <w:sz w:val="20"/>
                <w:szCs w:val="20"/>
                <w:lang w:val="en-US"/>
              </w:rPr>
            </w:pPr>
            <w:r w:rsidRPr="00090F9C">
              <w:rPr>
                <w:rFonts w:ascii="Arial" w:eastAsia="Times New Roman" w:hAnsi="Arial" w:cs="Arial"/>
                <w:b/>
                <w:bCs/>
                <w:color w:val="000000"/>
                <w:sz w:val="20"/>
                <w:szCs w:val="20"/>
                <w:lang w:val="en-US"/>
              </w:rPr>
              <w:t>2019</w:t>
            </w:r>
          </w:p>
        </w:tc>
        <w:tc>
          <w:tcPr>
            <w:tcW w:w="828" w:type="dxa"/>
            <w:tcBorders>
              <w:bottom w:val="single" w:sz="8" w:space="0" w:color="auto"/>
            </w:tcBorders>
            <w:shd w:val="clear" w:color="000000" w:fill="auto"/>
            <w:noWrap/>
            <w:vAlign w:val="center"/>
          </w:tcPr>
          <w:p w:rsidR="00C1490A" w:rsidRPr="00090F9C" w:rsidRDefault="00C1490A" w:rsidP="00B8293F">
            <w:pPr>
              <w:spacing w:after="0" w:line="240" w:lineRule="auto"/>
              <w:jc w:val="center"/>
              <w:rPr>
                <w:rFonts w:ascii="Arial" w:eastAsia="Times New Roman" w:hAnsi="Arial" w:cs="Arial"/>
                <w:b/>
                <w:bCs/>
                <w:color w:val="000000"/>
                <w:sz w:val="20"/>
                <w:szCs w:val="20"/>
                <w:lang w:val="en-US"/>
              </w:rPr>
            </w:pPr>
            <w:r w:rsidRPr="00090F9C">
              <w:rPr>
                <w:rFonts w:ascii="Arial" w:eastAsia="Times New Roman" w:hAnsi="Arial" w:cs="Arial"/>
                <w:b/>
                <w:bCs/>
                <w:color w:val="000000"/>
                <w:sz w:val="20"/>
                <w:szCs w:val="20"/>
              </w:rPr>
              <w:t>2020</w:t>
            </w:r>
            <w:r w:rsidRPr="00090F9C">
              <w:rPr>
                <w:rFonts w:ascii="Arial" w:eastAsia="Times New Roman" w:hAnsi="Arial" w:cs="Arial"/>
                <w:b/>
                <w:bCs/>
                <w:color w:val="000000"/>
                <w:sz w:val="20"/>
                <w:szCs w:val="20"/>
                <w:vertAlign w:val="superscript"/>
              </w:rPr>
              <w:t>*</w:t>
            </w:r>
          </w:p>
        </w:tc>
        <w:tc>
          <w:tcPr>
            <w:tcW w:w="919" w:type="dxa"/>
            <w:tcBorders>
              <w:bottom w:val="single" w:sz="8" w:space="0" w:color="auto"/>
            </w:tcBorders>
            <w:shd w:val="clear" w:color="000000" w:fill="auto"/>
            <w:noWrap/>
            <w:vAlign w:val="center"/>
            <w:hideMark/>
          </w:tcPr>
          <w:p w:rsidR="00C1490A" w:rsidRPr="00090F9C" w:rsidRDefault="00C1490A" w:rsidP="00B8293F">
            <w:pPr>
              <w:spacing w:after="0" w:line="240" w:lineRule="auto"/>
              <w:jc w:val="center"/>
              <w:rPr>
                <w:rFonts w:ascii="Arial" w:eastAsia="Times New Roman" w:hAnsi="Arial" w:cs="Arial"/>
                <w:b/>
                <w:bCs/>
                <w:color w:val="000000"/>
                <w:sz w:val="20"/>
                <w:szCs w:val="20"/>
              </w:rPr>
            </w:pPr>
            <w:r w:rsidRPr="00090F9C">
              <w:rPr>
                <w:rFonts w:ascii="Arial" w:eastAsia="Times New Roman" w:hAnsi="Arial" w:cs="Arial"/>
                <w:b/>
                <w:bCs/>
                <w:color w:val="000000"/>
                <w:sz w:val="20"/>
                <w:szCs w:val="20"/>
              </w:rPr>
              <w:t>MED</w:t>
            </w:r>
          </w:p>
          <w:p w:rsidR="00C1490A" w:rsidRPr="00090F9C" w:rsidRDefault="00C1490A" w:rsidP="00B8293F">
            <w:pPr>
              <w:spacing w:after="0" w:line="240" w:lineRule="auto"/>
              <w:jc w:val="center"/>
              <w:rPr>
                <w:rFonts w:ascii="Arial" w:eastAsia="Times New Roman" w:hAnsi="Arial" w:cs="Arial"/>
                <w:b/>
                <w:bCs/>
                <w:color w:val="000000"/>
                <w:sz w:val="20"/>
                <w:szCs w:val="20"/>
                <w:lang w:val="en-US"/>
              </w:rPr>
            </w:pPr>
            <w:r w:rsidRPr="00090F9C">
              <w:rPr>
                <w:rFonts w:ascii="Arial" w:eastAsia="Times New Roman" w:hAnsi="Arial" w:cs="Arial"/>
                <w:b/>
                <w:bCs/>
                <w:sz w:val="20"/>
                <w:szCs w:val="20"/>
                <w:vertAlign w:val="subscript"/>
              </w:rPr>
              <w:t>2016-2020</w:t>
            </w:r>
          </w:p>
        </w:tc>
        <w:tc>
          <w:tcPr>
            <w:tcW w:w="939" w:type="dxa"/>
            <w:tcBorders>
              <w:bottom w:val="single" w:sz="8" w:space="0" w:color="auto"/>
            </w:tcBorders>
            <w:shd w:val="clear" w:color="000000" w:fill="auto"/>
            <w:noWrap/>
            <w:vAlign w:val="center"/>
          </w:tcPr>
          <w:p w:rsidR="00C1490A" w:rsidRPr="00090F9C" w:rsidRDefault="00C1490A" w:rsidP="00B8293F">
            <w:pPr>
              <w:spacing w:after="0" w:line="240" w:lineRule="auto"/>
              <w:jc w:val="center"/>
              <w:rPr>
                <w:rFonts w:ascii="Arial" w:eastAsia="Times New Roman" w:hAnsi="Arial" w:cs="Arial"/>
                <w:b/>
                <w:bCs/>
                <w:color w:val="000000"/>
                <w:sz w:val="20"/>
                <w:szCs w:val="20"/>
                <w:lang w:val="en-US"/>
              </w:rPr>
            </w:pPr>
            <w:r w:rsidRPr="00090F9C">
              <w:rPr>
                <w:rFonts w:ascii="Arial" w:eastAsia="Times New Roman" w:hAnsi="Arial" w:cs="Arial"/>
                <w:b/>
                <w:bCs/>
                <w:color w:val="000000"/>
                <w:sz w:val="20"/>
                <w:szCs w:val="20"/>
                <w:lang w:val="en-US"/>
              </w:rPr>
              <w:t>2021</w:t>
            </w:r>
          </w:p>
        </w:tc>
        <w:tc>
          <w:tcPr>
            <w:tcW w:w="1140" w:type="dxa"/>
            <w:vMerge/>
            <w:tcBorders>
              <w:bottom w:val="single" w:sz="8" w:space="0" w:color="auto"/>
              <w:right w:val="single" w:sz="8" w:space="0" w:color="auto"/>
            </w:tcBorders>
            <w:shd w:val="clear" w:color="000000" w:fill="FFFF00"/>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r>
      <w:tr w:rsidR="00C1490A" w:rsidRPr="00090F9C" w:rsidTr="00B8293F">
        <w:trPr>
          <w:jc w:val="center"/>
        </w:trPr>
        <w:tc>
          <w:tcPr>
            <w:tcW w:w="1372" w:type="dxa"/>
            <w:vMerge w:val="restart"/>
            <w:tcBorders>
              <w:top w:val="single" w:sz="8" w:space="0" w:color="auto"/>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vertAlign w:val="superscript"/>
                <w:lang w:val="en-US"/>
              </w:rPr>
            </w:pPr>
            <w:r w:rsidRPr="00090F9C">
              <w:rPr>
                <w:rFonts w:ascii="Arial" w:eastAsia="Times New Roman" w:hAnsi="Arial" w:cs="Arial"/>
                <w:color w:val="000000"/>
                <w:sz w:val="20"/>
                <w:szCs w:val="20"/>
              </w:rPr>
              <w:t>TISA</w:t>
            </w:r>
            <w:r w:rsidRPr="00090F9C">
              <w:rPr>
                <w:rFonts w:ascii="Arial" w:eastAsia="Times New Roman" w:hAnsi="Arial" w:cs="Arial"/>
                <w:color w:val="000000"/>
                <w:sz w:val="20"/>
                <w:szCs w:val="20"/>
                <w:vertAlign w:val="superscript"/>
              </w:rPr>
              <w:t>*</w:t>
            </w:r>
          </w:p>
        </w:tc>
        <w:tc>
          <w:tcPr>
            <w:tcW w:w="1261" w:type="dxa"/>
            <w:tcBorders>
              <w:top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lang w:val="en-US"/>
              </w:rPr>
              <w:t>Q</w:t>
            </w:r>
          </w:p>
        </w:tc>
        <w:tc>
          <w:tcPr>
            <w:tcW w:w="884" w:type="dxa"/>
            <w:vMerge w:val="restart"/>
            <w:tcBorders>
              <w:top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4540</w:t>
            </w:r>
          </w:p>
        </w:tc>
        <w:tc>
          <w:tcPr>
            <w:tcW w:w="773" w:type="dxa"/>
            <w:tcBorders>
              <w:top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62.2</w:t>
            </w:r>
          </w:p>
        </w:tc>
        <w:tc>
          <w:tcPr>
            <w:tcW w:w="828" w:type="dxa"/>
            <w:tcBorders>
              <w:top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74.57</w:t>
            </w:r>
          </w:p>
        </w:tc>
        <w:tc>
          <w:tcPr>
            <w:tcW w:w="939" w:type="dxa"/>
            <w:tcBorders>
              <w:top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70.7</w:t>
            </w:r>
          </w:p>
        </w:tc>
        <w:tc>
          <w:tcPr>
            <w:tcW w:w="939" w:type="dxa"/>
            <w:tcBorders>
              <w:top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65.87</w:t>
            </w:r>
          </w:p>
        </w:tc>
        <w:tc>
          <w:tcPr>
            <w:tcW w:w="828" w:type="dxa"/>
            <w:tcBorders>
              <w:top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62,1</w:t>
            </w:r>
          </w:p>
        </w:tc>
        <w:tc>
          <w:tcPr>
            <w:tcW w:w="919" w:type="dxa"/>
            <w:tcBorders>
              <w:top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67.1</w:t>
            </w:r>
          </w:p>
        </w:tc>
        <w:tc>
          <w:tcPr>
            <w:tcW w:w="939" w:type="dxa"/>
            <w:tcBorders>
              <w:top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73.8</w:t>
            </w:r>
          </w:p>
        </w:tc>
        <w:tc>
          <w:tcPr>
            <w:tcW w:w="1140" w:type="dxa"/>
            <w:vMerge w:val="restart"/>
            <w:tcBorders>
              <w:top w:val="single" w:sz="8" w:space="0" w:color="auto"/>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110</w:t>
            </w:r>
          </w:p>
        </w:tc>
      </w:tr>
      <w:tr w:rsidR="00C1490A" w:rsidRPr="00090F9C" w:rsidTr="00B8293F">
        <w:trPr>
          <w:jc w:val="center"/>
        </w:trPr>
        <w:tc>
          <w:tcPr>
            <w:tcW w:w="1372" w:type="dxa"/>
            <w:vMerge/>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w:t>
            </w:r>
          </w:p>
        </w:tc>
        <w:tc>
          <w:tcPr>
            <w:tcW w:w="884" w:type="dxa"/>
            <w:vMerge/>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1980</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2352</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2230</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2077</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lang w:val="en-US"/>
              </w:rPr>
              <w:t>1964</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2121</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2327</w:t>
            </w:r>
          </w:p>
        </w:tc>
        <w:tc>
          <w:tcPr>
            <w:tcW w:w="1140" w:type="dxa"/>
            <w:vMerge/>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p>
        </w:tc>
      </w:tr>
      <w:tr w:rsidR="00C1490A" w:rsidRPr="00090F9C" w:rsidTr="00B8293F">
        <w:trPr>
          <w:jc w:val="center"/>
        </w:trPr>
        <w:tc>
          <w:tcPr>
            <w:tcW w:w="1372" w:type="dxa"/>
            <w:vMerge w:val="restart"/>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SOMEȘ</w:t>
            </w: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lang w:val="en-US"/>
              </w:rPr>
              <w:t>Q</w:t>
            </w:r>
          </w:p>
        </w:tc>
        <w:tc>
          <w:tcPr>
            <w:tcW w:w="884" w:type="dxa"/>
            <w:vMerge w:val="restart"/>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17840</w:t>
            </w: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129.8</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95.21</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93.21</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109.38</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80,3</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102</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136,1</w:t>
            </w:r>
          </w:p>
        </w:tc>
        <w:tc>
          <w:tcPr>
            <w:tcW w:w="1140" w:type="dxa"/>
            <w:vMerge w:val="restart"/>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134</w:t>
            </w:r>
          </w:p>
        </w:tc>
      </w:tr>
      <w:tr w:rsidR="00C1490A" w:rsidRPr="00090F9C" w:rsidTr="00B8293F">
        <w:trPr>
          <w:jc w:val="center"/>
        </w:trPr>
        <w:tc>
          <w:tcPr>
            <w:tcW w:w="1372" w:type="dxa"/>
            <w:vMerge/>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w:t>
            </w:r>
          </w:p>
        </w:tc>
        <w:tc>
          <w:tcPr>
            <w:tcW w:w="884" w:type="dxa"/>
            <w:vMerge/>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4105</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3003</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2939</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3450</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2539</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3207</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4290</w:t>
            </w:r>
          </w:p>
        </w:tc>
        <w:tc>
          <w:tcPr>
            <w:tcW w:w="1140" w:type="dxa"/>
            <w:vMerge/>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p>
        </w:tc>
      </w:tr>
      <w:tr w:rsidR="00C1490A" w:rsidRPr="00090F9C" w:rsidTr="00B8293F">
        <w:trPr>
          <w:jc w:val="center"/>
        </w:trPr>
        <w:tc>
          <w:tcPr>
            <w:tcW w:w="1372" w:type="dxa"/>
            <w:vMerge w:val="restart"/>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CRIȘURI</w:t>
            </w: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lang w:val="en-US"/>
              </w:rPr>
              <w:t>Q</w:t>
            </w:r>
          </w:p>
        </w:tc>
        <w:tc>
          <w:tcPr>
            <w:tcW w:w="884" w:type="dxa"/>
            <w:vMerge w:val="restart"/>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14860</w:t>
            </w: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90.4</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64.92</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81.48</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79.88</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52,1</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73.8</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87.6</w:t>
            </w:r>
          </w:p>
        </w:tc>
        <w:tc>
          <w:tcPr>
            <w:tcW w:w="1140" w:type="dxa"/>
            <w:vMerge w:val="restart"/>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119</w:t>
            </w:r>
          </w:p>
        </w:tc>
      </w:tr>
      <w:tr w:rsidR="00C1490A" w:rsidRPr="00090F9C" w:rsidTr="00B8293F">
        <w:trPr>
          <w:jc w:val="center"/>
        </w:trPr>
        <w:tc>
          <w:tcPr>
            <w:tcW w:w="1372" w:type="dxa"/>
            <w:vMerge/>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w:t>
            </w:r>
          </w:p>
        </w:tc>
        <w:tc>
          <w:tcPr>
            <w:tcW w:w="884" w:type="dxa"/>
            <w:vMerge/>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2859</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2047</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2569</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2519</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1648</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2328</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2762</w:t>
            </w:r>
          </w:p>
        </w:tc>
        <w:tc>
          <w:tcPr>
            <w:tcW w:w="1140" w:type="dxa"/>
            <w:vMerge/>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p>
        </w:tc>
      </w:tr>
      <w:tr w:rsidR="00C1490A" w:rsidRPr="00090F9C" w:rsidTr="00B8293F">
        <w:trPr>
          <w:jc w:val="center"/>
        </w:trPr>
        <w:tc>
          <w:tcPr>
            <w:tcW w:w="1372" w:type="dxa"/>
            <w:vMerge w:val="restart"/>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MUREȘ</w:t>
            </w: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lang w:val="en-US"/>
              </w:rPr>
              <w:t>Q</w:t>
            </w:r>
          </w:p>
        </w:tc>
        <w:tc>
          <w:tcPr>
            <w:tcW w:w="884" w:type="dxa"/>
            <w:vMerge w:val="restart"/>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29390</w:t>
            </w: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176.4</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116.1</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159.4</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139.2</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135,2</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145</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161.4</w:t>
            </w:r>
          </w:p>
        </w:tc>
        <w:tc>
          <w:tcPr>
            <w:tcW w:w="1140" w:type="dxa"/>
            <w:vMerge w:val="restart"/>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111</w:t>
            </w:r>
          </w:p>
        </w:tc>
      </w:tr>
      <w:tr w:rsidR="00C1490A" w:rsidRPr="00090F9C" w:rsidTr="00B8293F">
        <w:trPr>
          <w:jc w:val="center"/>
        </w:trPr>
        <w:tc>
          <w:tcPr>
            <w:tcW w:w="1372" w:type="dxa"/>
            <w:vMerge/>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w:t>
            </w:r>
          </w:p>
        </w:tc>
        <w:tc>
          <w:tcPr>
            <w:tcW w:w="884" w:type="dxa"/>
            <w:vMerge/>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5578</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3661</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5027</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4391</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4275</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4586</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5090</w:t>
            </w:r>
          </w:p>
        </w:tc>
        <w:tc>
          <w:tcPr>
            <w:tcW w:w="1140" w:type="dxa"/>
            <w:vMerge/>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p>
        </w:tc>
      </w:tr>
      <w:tr w:rsidR="00C1490A" w:rsidRPr="00090F9C" w:rsidTr="00B8293F">
        <w:trPr>
          <w:jc w:val="center"/>
        </w:trPr>
        <w:tc>
          <w:tcPr>
            <w:tcW w:w="1372" w:type="dxa"/>
            <w:vMerge w:val="restart"/>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BEGA – TIMIȘ - CARAȘ</w:t>
            </w: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lang w:val="en-US"/>
              </w:rPr>
              <w:t>Q</w:t>
            </w:r>
          </w:p>
        </w:tc>
        <w:tc>
          <w:tcPr>
            <w:tcW w:w="884" w:type="dxa"/>
            <w:vMerge w:val="restart"/>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13060</w:t>
            </w: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78.85</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46.61</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66.3</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80.86</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65,9</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67.7</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98,4</w:t>
            </w:r>
          </w:p>
        </w:tc>
        <w:tc>
          <w:tcPr>
            <w:tcW w:w="1140" w:type="dxa"/>
            <w:vMerge w:val="restart"/>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145</w:t>
            </w:r>
          </w:p>
        </w:tc>
      </w:tr>
      <w:tr w:rsidR="00C1490A" w:rsidRPr="00090F9C" w:rsidTr="00B8293F">
        <w:trPr>
          <w:trHeight w:val="159"/>
          <w:jc w:val="center"/>
        </w:trPr>
        <w:tc>
          <w:tcPr>
            <w:tcW w:w="1372" w:type="dxa"/>
            <w:vMerge/>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w:t>
            </w:r>
          </w:p>
        </w:tc>
        <w:tc>
          <w:tcPr>
            <w:tcW w:w="884" w:type="dxa"/>
            <w:vMerge/>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2487</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1470</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2091</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2550</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2084</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2136</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3103</w:t>
            </w:r>
          </w:p>
        </w:tc>
        <w:tc>
          <w:tcPr>
            <w:tcW w:w="1140" w:type="dxa"/>
            <w:vMerge/>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p>
        </w:tc>
      </w:tr>
      <w:tr w:rsidR="00C1490A" w:rsidRPr="00090F9C" w:rsidTr="00B8293F">
        <w:trPr>
          <w:jc w:val="center"/>
        </w:trPr>
        <w:tc>
          <w:tcPr>
            <w:tcW w:w="1372" w:type="dxa"/>
            <w:vMerge w:val="restart"/>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NERA - CERNA</w:t>
            </w: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lang w:val="en-US"/>
              </w:rPr>
              <w:t>Q</w:t>
            </w:r>
          </w:p>
        </w:tc>
        <w:tc>
          <w:tcPr>
            <w:tcW w:w="884" w:type="dxa"/>
            <w:vMerge w:val="restart"/>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2740</w:t>
            </w: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35.8</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19.38</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33.01</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32.4</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31,1</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30.3</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35,4</w:t>
            </w:r>
          </w:p>
        </w:tc>
        <w:tc>
          <w:tcPr>
            <w:tcW w:w="1140" w:type="dxa"/>
            <w:vMerge w:val="restart"/>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116</w:t>
            </w:r>
          </w:p>
        </w:tc>
      </w:tr>
      <w:tr w:rsidR="00C1490A" w:rsidRPr="00090F9C" w:rsidTr="00B8293F">
        <w:trPr>
          <w:jc w:val="center"/>
        </w:trPr>
        <w:tc>
          <w:tcPr>
            <w:tcW w:w="1372" w:type="dxa"/>
            <w:vMerge/>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w:t>
            </w:r>
          </w:p>
        </w:tc>
        <w:tc>
          <w:tcPr>
            <w:tcW w:w="884" w:type="dxa"/>
            <w:vMerge/>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1132</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611</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1041</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1022</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983</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958</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1115</w:t>
            </w:r>
          </w:p>
        </w:tc>
        <w:tc>
          <w:tcPr>
            <w:tcW w:w="1140" w:type="dxa"/>
            <w:vMerge/>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p>
        </w:tc>
      </w:tr>
      <w:tr w:rsidR="00C1490A" w:rsidRPr="00090F9C" w:rsidTr="00B8293F">
        <w:trPr>
          <w:jc w:val="center"/>
        </w:trPr>
        <w:tc>
          <w:tcPr>
            <w:tcW w:w="1372" w:type="dxa"/>
            <w:vMerge w:val="restart"/>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JIU</w:t>
            </w: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lang w:val="en-US"/>
              </w:rPr>
              <w:t>Q</w:t>
            </w:r>
          </w:p>
        </w:tc>
        <w:tc>
          <w:tcPr>
            <w:tcW w:w="884" w:type="dxa"/>
            <w:vMerge w:val="restart"/>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10080</w:t>
            </w: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154</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70.8</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111</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92.7</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79,0</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102</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123,7</w:t>
            </w:r>
          </w:p>
        </w:tc>
        <w:tc>
          <w:tcPr>
            <w:tcW w:w="1140" w:type="dxa"/>
            <w:vMerge w:val="restart"/>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122</w:t>
            </w:r>
          </w:p>
        </w:tc>
      </w:tr>
      <w:tr w:rsidR="00C1490A" w:rsidRPr="00090F9C" w:rsidTr="00B8293F">
        <w:trPr>
          <w:jc w:val="center"/>
        </w:trPr>
        <w:tc>
          <w:tcPr>
            <w:tcW w:w="1372" w:type="dxa"/>
            <w:vMerge/>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w:t>
            </w:r>
          </w:p>
        </w:tc>
        <w:tc>
          <w:tcPr>
            <w:tcW w:w="884" w:type="dxa"/>
            <w:vMerge/>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4870</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2233</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3500</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2923</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2498</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3205</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3901</w:t>
            </w:r>
          </w:p>
        </w:tc>
        <w:tc>
          <w:tcPr>
            <w:tcW w:w="1140" w:type="dxa"/>
            <w:vMerge/>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p>
        </w:tc>
      </w:tr>
      <w:tr w:rsidR="00C1490A" w:rsidRPr="00090F9C" w:rsidTr="00B8293F">
        <w:trPr>
          <w:jc w:val="center"/>
        </w:trPr>
        <w:tc>
          <w:tcPr>
            <w:tcW w:w="1372" w:type="dxa"/>
            <w:vMerge w:val="restart"/>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OLT</w:t>
            </w: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lang w:val="en-US"/>
              </w:rPr>
              <w:t>Q</w:t>
            </w:r>
          </w:p>
        </w:tc>
        <w:tc>
          <w:tcPr>
            <w:tcW w:w="884" w:type="dxa"/>
            <w:vMerge w:val="restart"/>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24050</w:t>
            </w: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162</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134</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205</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156</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135</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158</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189</w:t>
            </w:r>
          </w:p>
        </w:tc>
        <w:tc>
          <w:tcPr>
            <w:tcW w:w="1140" w:type="dxa"/>
            <w:vMerge w:val="restart"/>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119</w:t>
            </w:r>
          </w:p>
        </w:tc>
      </w:tr>
      <w:tr w:rsidR="00C1490A" w:rsidRPr="00090F9C" w:rsidTr="00B8293F">
        <w:trPr>
          <w:jc w:val="center"/>
        </w:trPr>
        <w:tc>
          <w:tcPr>
            <w:tcW w:w="1372" w:type="dxa"/>
            <w:vMerge/>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w:t>
            </w:r>
          </w:p>
        </w:tc>
        <w:tc>
          <w:tcPr>
            <w:tcW w:w="884" w:type="dxa"/>
            <w:vMerge/>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5123</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4226</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6465</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4920</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4269</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5001</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5960</w:t>
            </w:r>
          </w:p>
        </w:tc>
        <w:tc>
          <w:tcPr>
            <w:tcW w:w="1140" w:type="dxa"/>
            <w:vMerge/>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p>
        </w:tc>
      </w:tr>
      <w:tr w:rsidR="00C1490A" w:rsidRPr="00090F9C" w:rsidTr="00B8293F">
        <w:trPr>
          <w:jc w:val="center"/>
        </w:trPr>
        <w:tc>
          <w:tcPr>
            <w:tcW w:w="1372" w:type="dxa"/>
            <w:vMerge w:val="restart"/>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VEDEA</w:t>
            </w: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lang w:val="en-US"/>
              </w:rPr>
              <w:t>Q</w:t>
            </w:r>
          </w:p>
        </w:tc>
        <w:tc>
          <w:tcPr>
            <w:tcW w:w="884" w:type="dxa"/>
            <w:vMerge w:val="restart"/>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5430</w:t>
            </w: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15.9</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7.15</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25.1</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10.28</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4,81</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12.6</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9.72</w:t>
            </w:r>
          </w:p>
        </w:tc>
        <w:tc>
          <w:tcPr>
            <w:tcW w:w="1140" w:type="dxa"/>
            <w:vMerge w:val="restart"/>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77,0</w:t>
            </w:r>
          </w:p>
        </w:tc>
      </w:tr>
      <w:tr w:rsidR="00C1490A" w:rsidRPr="00090F9C" w:rsidTr="00B8293F">
        <w:trPr>
          <w:jc w:val="center"/>
        </w:trPr>
        <w:tc>
          <w:tcPr>
            <w:tcW w:w="1372" w:type="dxa"/>
            <w:vMerge/>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w:t>
            </w:r>
          </w:p>
        </w:tc>
        <w:tc>
          <w:tcPr>
            <w:tcW w:w="884" w:type="dxa"/>
            <w:vMerge/>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503</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225</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791</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324</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152</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399</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307</w:t>
            </w:r>
          </w:p>
        </w:tc>
        <w:tc>
          <w:tcPr>
            <w:tcW w:w="1140" w:type="dxa"/>
            <w:vMerge/>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p>
        </w:tc>
      </w:tr>
      <w:tr w:rsidR="00C1490A" w:rsidRPr="00090F9C" w:rsidTr="00B8293F">
        <w:trPr>
          <w:jc w:val="center"/>
        </w:trPr>
        <w:tc>
          <w:tcPr>
            <w:tcW w:w="1372" w:type="dxa"/>
            <w:vMerge w:val="restart"/>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ARGEȘ</w:t>
            </w: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lang w:val="en-US"/>
              </w:rPr>
              <w:t>Q</w:t>
            </w:r>
          </w:p>
        </w:tc>
        <w:tc>
          <w:tcPr>
            <w:tcW w:w="884" w:type="dxa"/>
            <w:vMerge w:val="restart"/>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12550</w:t>
            </w: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75</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57.68</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74.85</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89.27</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48,8</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69.1</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70,4</w:t>
            </w:r>
          </w:p>
        </w:tc>
        <w:tc>
          <w:tcPr>
            <w:tcW w:w="1140" w:type="dxa"/>
            <w:vMerge w:val="restart"/>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102</w:t>
            </w:r>
          </w:p>
        </w:tc>
      </w:tr>
      <w:tr w:rsidR="00C1490A" w:rsidRPr="00090F9C" w:rsidTr="00B8293F">
        <w:trPr>
          <w:jc w:val="center"/>
        </w:trPr>
        <w:tc>
          <w:tcPr>
            <w:tcW w:w="1372" w:type="dxa"/>
            <w:vMerge/>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w:t>
            </w:r>
          </w:p>
        </w:tc>
        <w:tc>
          <w:tcPr>
            <w:tcW w:w="884" w:type="dxa"/>
            <w:vMerge/>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2372</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1819</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2361</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2815</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1543</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2182</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2221</w:t>
            </w:r>
          </w:p>
        </w:tc>
        <w:tc>
          <w:tcPr>
            <w:tcW w:w="1140" w:type="dxa"/>
            <w:vMerge/>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p>
        </w:tc>
      </w:tr>
      <w:tr w:rsidR="00C1490A" w:rsidRPr="00090F9C" w:rsidTr="00B8293F">
        <w:trPr>
          <w:jc w:val="center"/>
        </w:trPr>
        <w:tc>
          <w:tcPr>
            <w:tcW w:w="1372" w:type="dxa"/>
            <w:vMerge w:val="restart"/>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IALOMITA</w:t>
            </w: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lang w:val="en-US"/>
              </w:rPr>
              <w:t>Q</w:t>
            </w:r>
          </w:p>
        </w:tc>
        <w:tc>
          <w:tcPr>
            <w:tcW w:w="884" w:type="dxa"/>
            <w:vMerge w:val="restart"/>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10350</w:t>
            </w: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45.1</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40.2</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45</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33</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28,8</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38.4</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45.4</w:t>
            </w:r>
          </w:p>
        </w:tc>
        <w:tc>
          <w:tcPr>
            <w:tcW w:w="1140" w:type="dxa"/>
            <w:vMerge w:val="restart"/>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118</w:t>
            </w:r>
          </w:p>
        </w:tc>
      </w:tr>
      <w:tr w:rsidR="00C1490A" w:rsidRPr="00090F9C" w:rsidTr="00B8293F">
        <w:trPr>
          <w:jc w:val="center"/>
        </w:trPr>
        <w:tc>
          <w:tcPr>
            <w:tcW w:w="1372" w:type="dxa"/>
            <w:vMerge/>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w:t>
            </w:r>
          </w:p>
        </w:tc>
        <w:tc>
          <w:tcPr>
            <w:tcW w:w="884" w:type="dxa"/>
            <w:vMerge/>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1426</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1268</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1419</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1041</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911</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1213</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1432</w:t>
            </w:r>
          </w:p>
        </w:tc>
        <w:tc>
          <w:tcPr>
            <w:tcW w:w="1140" w:type="dxa"/>
            <w:vMerge/>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p>
        </w:tc>
      </w:tr>
      <w:tr w:rsidR="00C1490A" w:rsidRPr="00090F9C" w:rsidTr="00B8293F">
        <w:trPr>
          <w:jc w:val="center"/>
        </w:trPr>
        <w:tc>
          <w:tcPr>
            <w:tcW w:w="1372" w:type="dxa"/>
            <w:vMerge w:val="restart"/>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DUNĂREA</w:t>
            </w: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lang w:val="en-US"/>
              </w:rPr>
              <w:t>Q</w:t>
            </w:r>
          </w:p>
        </w:tc>
        <w:tc>
          <w:tcPr>
            <w:tcW w:w="884" w:type="dxa"/>
            <w:vMerge w:val="restart"/>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34141</w:t>
            </w: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33.1</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23.55</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35.17</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32.09</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21,1</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29.0</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29,9</w:t>
            </w:r>
          </w:p>
        </w:tc>
        <w:tc>
          <w:tcPr>
            <w:tcW w:w="1140" w:type="dxa"/>
            <w:vMerge w:val="restart"/>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103</w:t>
            </w:r>
          </w:p>
        </w:tc>
      </w:tr>
      <w:tr w:rsidR="00C1490A" w:rsidRPr="00090F9C" w:rsidTr="00B8293F">
        <w:trPr>
          <w:jc w:val="center"/>
        </w:trPr>
        <w:tc>
          <w:tcPr>
            <w:tcW w:w="1372" w:type="dxa"/>
            <w:vMerge/>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w:t>
            </w:r>
          </w:p>
        </w:tc>
        <w:tc>
          <w:tcPr>
            <w:tcW w:w="884" w:type="dxa"/>
            <w:vMerge/>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1047</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743</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1109</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1012</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667</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916</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943</w:t>
            </w:r>
          </w:p>
        </w:tc>
        <w:tc>
          <w:tcPr>
            <w:tcW w:w="1140" w:type="dxa"/>
            <w:vMerge/>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p>
        </w:tc>
      </w:tr>
      <w:tr w:rsidR="00C1490A" w:rsidRPr="00090F9C" w:rsidTr="00B8293F">
        <w:trPr>
          <w:jc w:val="center"/>
        </w:trPr>
        <w:tc>
          <w:tcPr>
            <w:tcW w:w="1372" w:type="dxa"/>
            <w:vMerge w:val="restart"/>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SIRET</w:t>
            </w: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lang w:val="en-US"/>
              </w:rPr>
              <w:t>Q</w:t>
            </w:r>
          </w:p>
        </w:tc>
        <w:tc>
          <w:tcPr>
            <w:tcW w:w="884" w:type="dxa"/>
            <w:vMerge w:val="restart"/>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42890</w:t>
            </w: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217</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160.3</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272.57</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241.45</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187,2</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216</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176,2</w:t>
            </w:r>
          </w:p>
        </w:tc>
        <w:tc>
          <w:tcPr>
            <w:tcW w:w="1140" w:type="dxa"/>
            <w:vMerge w:val="restart"/>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81.7</w:t>
            </w:r>
          </w:p>
        </w:tc>
      </w:tr>
      <w:tr w:rsidR="00C1490A" w:rsidRPr="00090F9C" w:rsidTr="00B8293F">
        <w:trPr>
          <w:jc w:val="center"/>
        </w:trPr>
        <w:tc>
          <w:tcPr>
            <w:tcW w:w="1372" w:type="dxa"/>
            <w:vMerge/>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w:t>
            </w:r>
          </w:p>
        </w:tc>
        <w:tc>
          <w:tcPr>
            <w:tcW w:w="884" w:type="dxa"/>
            <w:vMerge/>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6862</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5055</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8596</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7614</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5920</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6809</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5560</w:t>
            </w:r>
          </w:p>
        </w:tc>
        <w:tc>
          <w:tcPr>
            <w:tcW w:w="1140" w:type="dxa"/>
            <w:vMerge/>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p>
        </w:tc>
      </w:tr>
      <w:tr w:rsidR="00C1490A" w:rsidRPr="00090F9C" w:rsidTr="00B8293F">
        <w:trPr>
          <w:jc w:val="center"/>
        </w:trPr>
        <w:tc>
          <w:tcPr>
            <w:tcW w:w="1372" w:type="dxa"/>
            <w:vMerge w:val="restart"/>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vertAlign w:val="superscript"/>
                <w:lang w:val="en-US"/>
              </w:rPr>
            </w:pPr>
            <w:r w:rsidRPr="00090F9C">
              <w:rPr>
                <w:rFonts w:ascii="Arial" w:eastAsia="Times New Roman" w:hAnsi="Arial" w:cs="Arial"/>
                <w:color w:val="000000"/>
                <w:sz w:val="20"/>
                <w:szCs w:val="20"/>
              </w:rPr>
              <w:t>PRUT</w:t>
            </w:r>
            <w:r w:rsidRPr="00090F9C">
              <w:rPr>
                <w:rFonts w:ascii="Arial" w:eastAsia="Times New Roman" w:hAnsi="Arial" w:cs="Arial"/>
                <w:color w:val="000000"/>
                <w:sz w:val="20"/>
                <w:szCs w:val="20"/>
                <w:vertAlign w:val="superscript"/>
              </w:rPr>
              <w:t>**</w:t>
            </w: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lang w:val="en-US"/>
              </w:rPr>
              <w:t>Q</w:t>
            </w:r>
          </w:p>
        </w:tc>
        <w:tc>
          <w:tcPr>
            <w:tcW w:w="884" w:type="dxa"/>
            <w:vMerge w:val="restart"/>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10990</w:t>
            </w: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7.39</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13.72</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15.16</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15.363</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6,86</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11.7</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9.55</w:t>
            </w:r>
          </w:p>
        </w:tc>
        <w:tc>
          <w:tcPr>
            <w:tcW w:w="1140" w:type="dxa"/>
            <w:vMerge w:val="restart"/>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81.6</w:t>
            </w:r>
          </w:p>
        </w:tc>
      </w:tr>
      <w:tr w:rsidR="00C1490A" w:rsidRPr="00090F9C" w:rsidTr="00B8293F">
        <w:trPr>
          <w:jc w:val="center"/>
        </w:trPr>
        <w:tc>
          <w:tcPr>
            <w:tcW w:w="1372" w:type="dxa"/>
            <w:vMerge/>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w:t>
            </w:r>
          </w:p>
        </w:tc>
        <w:tc>
          <w:tcPr>
            <w:tcW w:w="884" w:type="dxa"/>
            <w:vMerge/>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234</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433</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478</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484</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217</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369</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301</w:t>
            </w:r>
          </w:p>
        </w:tc>
        <w:tc>
          <w:tcPr>
            <w:tcW w:w="1140" w:type="dxa"/>
            <w:vMerge/>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p>
        </w:tc>
      </w:tr>
      <w:tr w:rsidR="00C1490A" w:rsidRPr="00090F9C" w:rsidTr="00B8293F">
        <w:trPr>
          <w:jc w:val="center"/>
        </w:trPr>
        <w:tc>
          <w:tcPr>
            <w:tcW w:w="1372" w:type="dxa"/>
            <w:vMerge w:val="restart"/>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DOBROGEA</w:t>
            </w: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lang w:val="en-US"/>
              </w:rPr>
              <w:t>Q</w:t>
            </w:r>
          </w:p>
        </w:tc>
        <w:tc>
          <w:tcPr>
            <w:tcW w:w="884" w:type="dxa"/>
            <w:vMerge w:val="restart"/>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5480</w:t>
            </w: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4.88</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2.63</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3.34</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1.67</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1,12</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2.728</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1.33</w:t>
            </w:r>
          </w:p>
        </w:tc>
        <w:tc>
          <w:tcPr>
            <w:tcW w:w="1140" w:type="dxa"/>
            <w:vMerge w:val="restart"/>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48.8</w:t>
            </w:r>
          </w:p>
        </w:tc>
      </w:tr>
      <w:tr w:rsidR="00C1490A" w:rsidRPr="00090F9C" w:rsidTr="00B8293F">
        <w:trPr>
          <w:jc w:val="center"/>
        </w:trPr>
        <w:tc>
          <w:tcPr>
            <w:tcW w:w="1372" w:type="dxa"/>
            <w:vMerge/>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w:t>
            </w:r>
          </w:p>
        </w:tc>
        <w:tc>
          <w:tcPr>
            <w:tcW w:w="884" w:type="dxa"/>
            <w:vMerge/>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154</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82.8</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105</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53</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35</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86.0</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42,0</w:t>
            </w:r>
          </w:p>
        </w:tc>
        <w:tc>
          <w:tcPr>
            <w:tcW w:w="1140" w:type="dxa"/>
            <w:vMerge/>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p>
        </w:tc>
      </w:tr>
      <w:tr w:rsidR="00C1490A" w:rsidRPr="00090F9C" w:rsidTr="00B8293F">
        <w:trPr>
          <w:jc w:val="center"/>
        </w:trPr>
        <w:tc>
          <w:tcPr>
            <w:tcW w:w="1372" w:type="dxa"/>
            <w:vMerge w:val="restart"/>
            <w:tcBorders>
              <w:left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Total România fără fluviul Dunărea</w:t>
            </w:r>
          </w:p>
        </w:tc>
        <w:tc>
          <w:tcPr>
            <w:tcW w:w="1261" w:type="dxa"/>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lang w:val="en-US"/>
              </w:rPr>
              <w:t>Q</w:t>
            </w:r>
          </w:p>
        </w:tc>
        <w:tc>
          <w:tcPr>
            <w:tcW w:w="884" w:type="dxa"/>
            <w:vMerge w:val="restart"/>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238391</w:t>
            </w:r>
          </w:p>
        </w:tc>
        <w:tc>
          <w:tcPr>
            <w:tcW w:w="773"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1288</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926.83</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1291.29</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1179.45</w:t>
            </w:r>
          </w:p>
        </w:tc>
        <w:tc>
          <w:tcPr>
            <w:tcW w:w="828"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939.39</w:t>
            </w:r>
          </w:p>
        </w:tc>
        <w:tc>
          <w:tcPr>
            <w:tcW w:w="91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1125</w:t>
            </w:r>
          </w:p>
        </w:tc>
        <w:tc>
          <w:tcPr>
            <w:tcW w:w="939" w:type="dxa"/>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1247.9</w:t>
            </w:r>
          </w:p>
        </w:tc>
        <w:tc>
          <w:tcPr>
            <w:tcW w:w="1140" w:type="dxa"/>
            <w:vMerge w:val="restart"/>
            <w:tcBorders>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111</w:t>
            </w:r>
          </w:p>
        </w:tc>
      </w:tr>
      <w:tr w:rsidR="00C1490A" w:rsidRPr="00090F9C" w:rsidTr="00B8293F">
        <w:trPr>
          <w:jc w:val="center"/>
        </w:trPr>
        <w:tc>
          <w:tcPr>
            <w:tcW w:w="1372" w:type="dxa"/>
            <w:vMerge/>
            <w:tcBorders>
              <w:left w:val="single" w:sz="8" w:space="0" w:color="auto"/>
              <w:bottom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1261" w:type="dxa"/>
            <w:tcBorders>
              <w:bottom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r w:rsidRPr="00090F9C">
              <w:rPr>
                <w:rFonts w:ascii="Arial" w:eastAsia="Times New Roman" w:hAnsi="Arial" w:cs="Arial"/>
                <w:color w:val="000000"/>
                <w:sz w:val="20"/>
                <w:szCs w:val="20"/>
              </w:rPr>
              <w:t>V</w:t>
            </w:r>
          </w:p>
        </w:tc>
        <w:tc>
          <w:tcPr>
            <w:tcW w:w="884" w:type="dxa"/>
            <w:vMerge/>
            <w:tcBorders>
              <w:bottom w:val="single" w:sz="8" w:space="0" w:color="auto"/>
            </w:tcBorders>
            <w:shd w:val="clear" w:color="auto" w:fill="auto"/>
            <w:noWrap/>
            <w:vAlign w:val="center"/>
            <w:hideMark/>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c>
          <w:tcPr>
            <w:tcW w:w="773" w:type="dxa"/>
            <w:tcBorders>
              <w:bottom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40732</w:t>
            </w:r>
          </w:p>
        </w:tc>
        <w:tc>
          <w:tcPr>
            <w:tcW w:w="828" w:type="dxa"/>
            <w:tcBorders>
              <w:bottom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29228</w:t>
            </w:r>
          </w:p>
        </w:tc>
        <w:tc>
          <w:tcPr>
            <w:tcW w:w="939" w:type="dxa"/>
            <w:tcBorders>
              <w:bottom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40722</w:t>
            </w:r>
          </w:p>
        </w:tc>
        <w:tc>
          <w:tcPr>
            <w:tcW w:w="939" w:type="dxa"/>
            <w:tcBorders>
              <w:bottom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37195</w:t>
            </w:r>
          </w:p>
        </w:tc>
        <w:tc>
          <w:tcPr>
            <w:tcW w:w="828" w:type="dxa"/>
            <w:tcBorders>
              <w:bottom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29705</w:t>
            </w:r>
          </w:p>
        </w:tc>
        <w:tc>
          <w:tcPr>
            <w:tcW w:w="919" w:type="dxa"/>
            <w:tcBorders>
              <w:bottom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35516</w:t>
            </w:r>
          </w:p>
        </w:tc>
        <w:tc>
          <w:tcPr>
            <w:tcW w:w="939" w:type="dxa"/>
            <w:tcBorders>
              <w:bottom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rPr>
            </w:pPr>
            <w:r w:rsidRPr="00090F9C">
              <w:rPr>
                <w:rFonts w:ascii="Arial" w:eastAsia="Times New Roman" w:hAnsi="Arial" w:cs="Arial"/>
                <w:color w:val="000000"/>
                <w:sz w:val="20"/>
                <w:szCs w:val="20"/>
              </w:rPr>
              <w:t>39354</w:t>
            </w:r>
          </w:p>
        </w:tc>
        <w:tc>
          <w:tcPr>
            <w:tcW w:w="1140" w:type="dxa"/>
            <w:vMerge/>
            <w:tcBorders>
              <w:bottom w:val="single" w:sz="8" w:space="0" w:color="auto"/>
              <w:right w:val="single" w:sz="8" w:space="0" w:color="auto"/>
            </w:tcBorders>
            <w:shd w:val="clear" w:color="auto" w:fill="auto"/>
            <w:noWrap/>
            <w:vAlign w:val="center"/>
          </w:tcPr>
          <w:p w:rsidR="00C1490A" w:rsidRPr="00090F9C" w:rsidRDefault="00C1490A" w:rsidP="00B8293F">
            <w:pPr>
              <w:spacing w:after="0" w:line="240" w:lineRule="auto"/>
              <w:jc w:val="center"/>
              <w:rPr>
                <w:rFonts w:ascii="Arial" w:eastAsia="Times New Roman" w:hAnsi="Arial" w:cs="Arial"/>
                <w:color w:val="000000"/>
                <w:sz w:val="20"/>
                <w:szCs w:val="20"/>
                <w:lang w:val="en-US"/>
              </w:rPr>
            </w:pPr>
          </w:p>
        </w:tc>
      </w:tr>
    </w:tbl>
    <w:p w:rsidR="00C1490A" w:rsidRPr="00090F9C" w:rsidRDefault="00C1490A" w:rsidP="00C1490A">
      <w:pPr>
        <w:spacing w:after="0" w:line="240" w:lineRule="auto"/>
        <w:ind w:left="1701" w:hanging="1701"/>
        <w:rPr>
          <w:rFonts w:ascii="Arial" w:hAnsi="Arial" w:cs="Arial"/>
          <w:i/>
          <w:iCs/>
          <w:sz w:val="24"/>
          <w:szCs w:val="24"/>
        </w:rPr>
      </w:pPr>
      <w:r w:rsidRPr="00090F9C">
        <w:rPr>
          <w:rFonts w:ascii="Arial" w:hAnsi="Arial" w:cs="Arial"/>
          <w:i/>
          <w:iCs/>
          <w:sz w:val="24"/>
          <w:szCs w:val="24"/>
        </w:rPr>
        <w:t>Notă:      Q - Debit Q (m</w:t>
      </w:r>
      <w:r w:rsidRPr="00090F9C">
        <w:rPr>
          <w:rFonts w:ascii="Arial" w:hAnsi="Arial" w:cs="Arial"/>
          <w:i/>
          <w:iCs/>
          <w:sz w:val="24"/>
          <w:szCs w:val="24"/>
          <w:vertAlign w:val="superscript"/>
        </w:rPr>
        <w:t>3</w:t>
      </w:r>
      <w:r w:rsidRPr="00090F9C">
        <w:rPr>
          <w:rFonts w:ascii="Arial" w:hAnsi="Arial" w:cs="Arial"/>
          <w:i/>
          <w:iCs/>
          <w:sz w:val="24"/>
          <w:szCs w:val="24"/>
        </w:rPr>
        <w:t>/s), V - volum total (10</w:t>
      </w:r>
      <w:r w:rsidRPr="00090F9C">
        <w:rPr>
          <w:rFonts w:ascii="Arial" w:hAnsi="Arial" w:cs="Arial"/>
          <w:i/>
          <w:iCs/>
          <w:sz w:val="24"/>
          <w:szCs w:val="24"/>
          <w:vertAlign w:val="superscript"/>
        </w:rPr>
        <w:t>6</w:t>
      </w:r>
      <w:r w:rsidRPr="00090F9C">
        <w:rPr>
          <w:rFonts w:ascii="Arial" w:hAnsi="Arial" w:cs="Arial"/>
          <w:i/>
          <w:iCs/>
          <w:sz w:val="24"/>
          <w:szCs w:val="24"/>
        </w:rPr>
        <w:t>m</w:t>
      </w:r>
      <w:r w:rsidRPr="00090F9C">
        <w:rPr>
          <w:rFonts w:ascii="Arial" w:hAnsi="Arial" w:cs="Arial"/>
          <w:i/>
          <w:iCs/>
          <w:sz w:val="24"/>
          <w:szCs w:val="24"/>
          <w:vertAlign w:val="superscript"/>
        </w:rPr>
        <w:t>3</w:t>
      </w:r>
      <w:r w:rsidRPr="00090F9C">
        <w:rPr>
          <w:rFonts w:ascii="Arial" w:hAnsi="Arial" w:cs="Arial"/>
          <w:i/>
          <w:iCs/>
          <w:sz w:val="24"/>
          <w:szCs w:val="24"/>
        </w:rPr>
        <w:t>)</w:t>
      </w:r>
    </w:p>
    <w:p w:rsidR="00C1490A" w:rsidRPr="00B8293F" w:rsidRDefault="00C1490A" w:rsidP="00C1490A">
      <w:pPr>
        <w:spacing w:after="0" w:line="240" w:lineRule="auto"/>
        <w:ind w:left="1701" w:hanging="992"/>
        <w:rPr>
          <w:rFonts w:ascii="Arial" w:hAnsi="Arial" w:cs="Arial"/>
          <w:i/>
          <w:iCs/>
          <w:sz w:val="24"/>
          <w:szCs w:val="24"/>
        </w:rPr>
      </w:pPr>
      <w:r w:rsidRPr="00B8293F">
        <w:rPr>
          <w:rFonts w:ascii="Arial" w:hAnsi="Arial" w:cs="Arial"/>
          <w:i/>
          <w:iCs/>
          <w:sz w:val="24"/>
          <w:szCs w:val="24"/>
        </w:rPr>
        <w:t>* - nu include debitul și volumul râului Tisa</w:t>
      </w:r>
    </w:p>
    <w:p w:rsidR="00C1490A" w:rsidRPr="00B8293F" w:rsidRDefault="00C1490A" w:rsidP="00C1490A">
      <w:pPr>
        <w:spacing w:after="0" w:line="240" w:lineRule="auto"/>
        <w:ind w:firstLine="720"/>
        <w:jc w:val="both"/>
        <w:rPr>
          <w:rFonts w:ascii="Arial" w:hAnsi="Arial" w:cs="Arial"/>
          <w:i/>
          <w:iCs/>
          <w:sz w:val="24"/>
          <w:szCs w:val="24"/>
        </w:rPr>
      </w:pPr>
      <w:r w:rsidRPr="00B8293F">
        <w:rPr>
          <w:rFonts w:ascii="Arial" w:hAnsi="Arial" w:cs="Arial"/>
          <w:i/>
          <w:iCs/>
          <w:sz w:val="24"/>
          <w:szCs w:val="24"/>
        </w:rPr>
        <w:t>** nu include debitul și volumul râului Prut, acesta fiind curs de apă de graniță</w:t>
      </w:r>
    </w:p>
    <w:p w:rsidR="00C1490A" w:rsidRPr="00B8293F" w:rsidRDefault="00C1490A" w:rsidP="00C1490A">
      <w:pPr>
        <w:spacing w:after="0" w:line="240" w:lineRule="auto"/>
        <w:ind w:firstLine="720"/>
        <w:jc w:val="both"/>
        <w:rPr>
          <w:rFonts w:ascii="Arial" w:hAnsi="Arial" w:cs="Arial"/>
          <w:i/>
          <w:iCs/>
          <w:sz w:val="24"/>
          <w:szCs w:val="24"/>
        </w:rPr>
      </w:pPr>
    </w:p>
    <w:p w:rsidR="00FD3D76" w:rsidRDefault="00FD3D76" w:rsidP="00C1490A">
      <w:pPr>
        <w:spacing w:after="0" w:line="240" w:lineRule="auto"/>
        <w:jc w:val="center"/>
        <w:rPr>
          <w:rFonts w:ascii="Arial" w:hAnsi="Arial" w:cs="Arial"/>
          <w:i/>
          <w:iCs/>
          <w:sz w:val="24"/>
          <w:szCs w:val="24"/>
        </w:rPr>
      </w:pPr>
    </w:p>
    <w:p w:rsidR="00FD3D76" w:rsidRDefault="00FD3D76" w:rsidP="00C1490A">
      <w:pPr>
        <w:spacing w:after="0" w:line="240" w:lineRule="auto"/>
        <w:jc w:val="center"/>
        <w:rPr>
          <w:rFonts w:ascii="Arial" w:hAnsi="Arial" w:cs="Arial"/>
          <w:i/>
          <w:iCs/>
          <w:sz w:val="24"/>
          <w:szCs w:val="24"/>
        </w:rPr>
      </w:pPr>
    </w:p>
    <w:p w:rsidR="00FD3D76" w:rsidRDefault="00FD3D76" w:rsidP="00C1490A">
      <w:pPr>
        <w:spacing w:after="0" w:line="240" w:lineRule="auto"/>
        <w:jc w:val="center"/>
        <w:rPr>
          <w:rFonts w:ascii="Arial" w:hAnsi="Arial" w:cs="Arial"/>
          <w:i/>
          <w:iCs/>
          <w:sz w:val="24"/>
          <w:szCs w:val="24"/>
        </w:rPr>
      </w:pPr>
    </w:p>
    <w:p w:rsidR="00FD3D76" w:rsidRDefault="00FD3D76" w:rsidP="00C1490A">
      <w:pPr>
        <w:spacing w:after="0" w:line="240" w:lineRule="auto"/>
        <w:jc w:val="center"/>
        <w:rPr>
          <w:rFonts w:ascii="Arial" w:hAnsi="Arial" w:cs="Arial"/>
          <w:i/>
          <w:iCs/>
          <w:sz w:val="24"/>
          <w:szCs w:val="24"/>
        </w:rPr>
      </w:pPr>
    </w:p>
    <w:p w:rsidR="00FD3D76" w:rsidRDefault="00FD3D76" w:rsidP="00C1490A">
      <w:pPr>
        <w:spacing w:after="0" w:line="240" w:lineRule="auto"/>
        <w:jc w:val="center"/>
        <w:rPr>
          <w:rFonts w:ascii="Arial" w:hAnsi="Arial" w:cs="Arial"/>
          <w:i/>
          <w:iCs/>
          <w:sz w:val="24"/>
          <w:szCs w:val="24"/>
        </w:rPr>
      </w:pPr>
    </w:p>
    <w:p w:rsidR="00FD3D76" w:rsidRDefault="00FD3D76" w:rsidP="00C1490A">
      <w:pPr>
        <w:spacing w:after="0" w:line="240" w:lineRule="auto"/>
        <w:jc w:val="center"/>
        <w:rPr>
          <w:rFonts w:ascii="Arial" w:hAnsi="Arial" w:cs="Arial"/>
          <w:i/>
          <w:iCs/>
          <w:sz w:val="24"/>
          <w:szCs w:val="24"/>
        </w:rPr>
      </w:pPr>
    </w:p>
    <w:p w:rsidR="00FD3D76" w:rsidRDefault="00FD3D76" w:rsidP="00C1490A">
      <w:pPr>
        <w:spacing w:after="0" w:line="240" w:lineRule="auto"/>
        <w:jc w:val="center"/>
        <w:rPr>
          <w:rFonts w:ascii="Arial" w:hAnsi="Arial" w:cs="Arial"/>
          <w:i/>
          <w:iCs/>
          <w:sz w:val="24"/>
          <w:szCs w:val="24"/>
        </w:rPr>
      </w:pPr>
    </w:p>
    <w:p w:rsidR="00FD3D76" w:rsidRDefault="00FD3D76" w:rsidP="00C1490A">
      <w:pPr>
        <w:spacing w:after="0" w:line="240" w:lineRule="auto"/>
        <w:jc w:val="center"/>
        <w:rPr>
          <w:rFonts w:ascii="Arial" w:hAnsi="Arial" w:cs="Arial"/>
          <w:i/>
          <w:iCs/>
          <w:sz w:val="24"/>
          <w:szCs w:val="24"/>
        </w:rPr>
      </w:pPr>
    </w:p>
    <w:p w:rsidR="00FD3D76" w:rsidRDefault="00FD3D76" w:rsidP="00C1490A">
      <w:pPr>
        <w:spacing w:after="0" w:line="240" w:lineRule="auto"/>
        <w:jc w:val="center"/>
        <w:rPr>
          <w:rFonts w:ascii="Arial" w:hAnsi="Arial" w:cs="Arial"/>
          <w:i/>
          <w:iCs/>
          <w:sz w:val="24"/>
          <w:szCs w:val="24"/>
        </w:rPr>
      </w:pPr>
    </w:p>
    <w:p w:rsidR="00FD3D76" w:rsidRDefault="00FD3D76" w:rsidP="00C1490A">
      <w:pPr>
        <w:spacing w:after="0" w:line="240" w:lineRule="auto"/>
        <w:jc w:val="center"/>
        <w:rPr>
          <w:rFonts w:ascii="Arial" w:hAnsi="Arial" w:cs="Arial"/>
          <w:i/>
          <w:iCs/>
          <w:sz w:val="24"/>
          <w:szCs w:val="24"/>
        </w:rPr>
      </w:pPr>
    </w:p>
    <w:p w:rsidR="00FD3D76" w:rsidRDefault="00FD3D76" w:rsidP="00C1490A">
      <w:pPr>
        <w:spacing w:after="0" w:line="240" w:lineRule="auto"/>
        <w:jc w:val="center"/>
        <w:rPr>
          <w:rFonts w:ascii="Arial" w:hAnsi="Arial" w:cs="Arial"/>
          <w:i/>
          <w:iCs/>
          <w:sz w:val="24"/>
          <w:szCs w:val="24"/>
        </w:rPr>
      </w:pPr>
    </w:p>
    <w:p w:rsidR="00FD3D76" w:rsidRDefault="00FD3D76" w:rsidP="00C1490A">
      <w:pPr>
        <w:spacing w:after="0" w:line="240" w:lineRule="auto"/>
        <w:jc w:val="center"/>
        <w:rPr>
          <w:rFonts w:ascii="Arial" w:hAnsi="Arial" w:cs="Arial"/>
          <w:i/>
          <w:iCs/>
          <w:sz w:val="24"/>
          <w:szCs w:val="24"/>
        </w:rPr>
      </w:pPr>
    </w:p>
    <w:p w:rsidR="00FD3D76" w:rsidRDefault="00FD3D76" w:rsidP="00C1490A">
      <w:pPr>
        <w:spacing w:after="0" w:line="240" w:lineRule="auto"/>
        <w:jc w:val="center"/>
        <w:rPr>
          <w:rFonts w:ascii="Arial" w:hAnsi="Arial" w:cs="Arial"/>
          <w:i/>
          <w:iCs/>
          <w:sz w:val="24"/>
          <w:szCs w:val="24"/>
        </w:rPr>
      </w:pPr>
    </w:p>
    <w:p w:rsidR="00C1490A" w:rsidRPr="00B8293F" w:rsidRDefault="00C1490A" w:rsidP="00C1490A">
      <w:pPr>
        <w:spacing w:after="0" w:line="240" w:lineRule="auto"/>
        <w:jc w:val="center"/>
        <w:rPr>
          <w:rFonts w:ascii="Arial" w:hAnsi="Arial" w:cs="Arial"/>
          <w:i/>
          <w:iCs/>
          <w:sz w:val="24"/>
          <w:szCs w:val="24"/>
        </w:rPr>
      </w:pPr>
      <w:r w:rsidRPr="00B8293F">
        <w:rPr>
          <w:rFonts w:ascii="Arial" w:hAnsi="Arial" w:cs="Arial"/>
          <w:i/>
          <w:iCs/>
          <w:sz w:val="24"/>
          <w:szCs w:val="24"/>
        </w:rPr>
        <w:lastRenderedPageBreak/>
        <w:t>Figura II.1.1. Resursele de apă (volum 10</w:t>
      </w:r>
      <w:r w:rsidRPr="00B8293F">
        <w:rPr>
          <w:rFonts w:ascii="Arial" w:hAnsi="Arial" w:cs="Arial"/>
          <w:i/>
          <w:iCs/>
          <w:sz w:val="24"/>
          <w:szCs w:val="24"/>
          <w:vertAlign w:val="superscript"/>
        </w:rPr>
        <w:t>6</w:t>
      </w:r>
      <w:r w:rsidRPr="00B8293F">
        <w:rPr>
          <w:rFonts w:ascii="Arial" w:hAnsi="Arial" w:cs="Arial"/>
          <w:i/>
          <w:iCs/>
          <w:sz w:val="24"/>
          <w:szCs w:val="24"/>
        </w:rPr>
        <w:t xml:space="preserve"> m</w:t>
      </w:r>
      <w:r w:rsidRPr="00B8293F">
        <w:rPr>
          <w:rFonts w:ascii="Arial" w:hAnsi="Arial" w:cs="Arial"/>
          <w:i/>
          <w:iCs/>
          <w:sz w:val="24"/>
          <w:szCs w:val="24"/>
          <w:vertAlign w:val="superscript"/>
        </w:rPr>
        <w:t>3</w:t>
      </w:r>
      <w:r w:rsidRPr="00B8293F">
        <w:rPr>
          <w:rFonts w:ascii="Arial" w:hAnsi="Arial" w:cs="Arial"/>
          <w:i/>
          <w:iCs/>
          <w:sz w:val="24"/>
          <w:szCs w:val="24"/>
        </w:rPr>
        <w:t>) ale anului 2021, comparativ cu perioada anterioară (2016-2020)</w:t>
      </w:r>
    </w:p>
    <w:p w:rsidR="00C1490A" w:rsidRPr="00B8293F" w:rsidRDefault="00C1490A" w:rsidP="00C1490A">
      <w:pPr>
        <w:spacing w:after="0" w:line="240" w:lineRule="auto"/>
        <w:jc w:val="center"/>
        <w:rPr>
          <w:rFonts w:ascii="Arial" w:hAnsi="Arial" w:cs="Arial"/>
          <w:b/>
          <w:i/>
          <w:sz w:val="24"/>
          <w:szCs w:val="24"/>
          <w:lang w:val="en-US"/>
        </w:rPr>
      </w:pPr>
      <w:r w:rsidRPr="00B8293F">
        <w:rPr>
          <w:rFonts w:ascii="Arial" w:hAnsi="Arial" w:cs="Arial"/>
          <w:b/>
          <w:i/>
          <w:noProof/>
          <w:sz w:val="24"/>
          <w:szCs w:val="24"/>
          <w:lang w:eastAsia="ro-RO"/>
        </w:rPr>
        <w:drawing>
          <wp:inline distT="0" distB="0" distL="0" distR="0" wp14:anchorId="38042900" wp14:editId="12A5BF24">
            <wp:extent cx="5348605" cy="2957913"/>
            <wp:effectExtent l="0" t="0" r="444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2845" cy="2987909"/>
                    </a:xfrm>
                    <a:prstGeom prst="rect">
                      <a:avLst/>
                    </a:prstGeom>
                    <a:noFill/>
                  </pic:spPr>
                </pic:pic>
              </a:graphicData>
            </a:graphic>
          </wp:inline>
        </w:drawing>
      </w:r>
    </w:p>
    <w:p w:rsidR="00C1490A" w:rsidRPr="00B8293F" w:rsidRDefault="00C1490A" w:rsidP="00C1490A">
      <w:pPr>
        <w:spacing w:after="0" w:line="240" w:lineRule="auto"/>
        <w:ind w:firstLine="720"/>
        <w:jc w:val="both"/>
        <w:rPr>
          <w:rFonts w:ascii="Arial" w:hAnsi="Arial" w:cs="Arial"/>
          <w:sz w:val="24"/>
          <w:szCs w:val="24"/>
        </w:rPr>
      </w:pP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Extinzând analiza evoluției comparative a resursei aferente anului 2021 la nivelul bazinelor principale constatăm că la nivel național, volumul scurs în 2021 a fost cu circa 4% mai mare față de media multianuală a ultimilor 5 ani. Cea mai mică valoare a stocului mediu anual (sub 50% din media multianuală a ultimilor 5 ani) a fost înregistrată în spațiul hidrografic Dobrogea (48.8%) (vezi tabel nr. II.1.1). Bazinele hidrografice din vestul țării și anume Someș (134%), Crișuri (122%), Jiu (122%), Olt (119%), Ialomița (118%), Tisa (110%) și Bega – Timiș – Caraș (110%) au înregistrat valori ale stocului mediu multianual peste valorile stocului mediu multianual determinate pentru perioada 2015-2019, creșterile fiind cuprinse între 10% și 34%.</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 xml:space="preserve">În concluzie, anul 2021 a fost un an normal spre ploios în ceea ce privește cuantumul resursei de apă totale provenită din râurile interioare. </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Fluviul Dunărea prezintă o situație asemănătoare cu cea înregistrată pe cursurile râurilor interioare, volumul scurs la intrarea în țară (st. h. Baziaș) și cel înregistrat la ieșirea din țară (st. h. Isaccea) situându-se sub nivelul mediu calculat pe ultimii 5 ani (tabel nr. II.1.2.).</w:t>
      </w:r>
    </w:p>
    <w:p w:rsidR="00C1490A"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Resursa corespunzătoare fluviului Dunărea la intrarea în țară este de 80007 mid.m</w:t>
      </w:r>
      <w:r w:rsidRPr="00B8293F">
        <w:rPr>
          <w:rFonts w:ascii="Arial" w:hAnsi="Arial" w:cs="Arial"/>
          <w:sz w:val="24"/>
          <w:szCs w:val="24"/>
          <w:vertAlign w:val="superscript"/>
        </w:rPr>
        <w:t>3</w:t>
      </w:r>
      <w:r w:rsidRPr="00B8293F">
        <w:rPr>
          <w:rFonts w:ascii="Arial" w:hAnsi="Arial" w:cs="Arial"/>
          <w:sz w:val="24"/>
          <w:szCs w:val="24"/>
        </w:rPr>
        <w:t xml:space="preserve"> în anul 2021 (respectiv, 75624 mld. m</w:t>
      </w:r>
      <w:r w:rsidRPr="00B8293F">
        <w:rPr>
          <w:rFonts w:ascii="Arial" w:hAnsi="Arial" w:cs="Arial"/>
          <w:sz w:val="24"/>
          <w:szCs w:val="24"/>
          <w:vertAlign w:val="superscript"/>
        </w:rPr>
        <w:t>3</w:t>
      </w:r>
      <w:r w:rsidRPr="00B8293F">
        <w:rPr>
          <w:rFonts w:ascii="Arial" w:hAnsi="Arial" w:cs="Arial"/>
          <w:sz w:val="24"/>
          <w:szCs w:val="24"/>
        </w:rPr>
        <w:t xml:space="preserve"> în perioada 2016-2020), cu circa 6% mai mare față de media multianuală a fluviului care, pentru ultimii 60 ani, este de cca. 85 000 mld. m</w:t>
      </w:r>
      <w:r w:rsidRPr="00B8293F">
        <w:rPr>
          <w:rFonts w:ascii="Arial" w:hAnsi="Arial" w:cs="Arial"/>
          <w:sz w:val="24"/>
          <w:szCs w:val="24"/>
          <w:vertAlign w:val="superscript"/>
        </w:rPr>
        <w:t>3</w:t>
      </w:r>
      <w:r w:rsidRPr="00B8293F">
        <w:rPr>
          <w:rFonts w:ascii="Arial" w:hAnsi="Arial" w:cs="Arial"/>
          <w:sz w:val="24"/>
          <w:szCs w:val="24"/>
        </w:rPr>
        <w:t xml:space="preserve"> (valorile reprezintă 50% din volumele scurse pe Dunăre la intrarea în țară, aferente României, cealaltă jumătate revenind Republicii Serbia).</w:t>
      </w:r>
    </w:p>
    <w:p w:rsidR="00FD3D76" w:rsidRDefault="00FD3D76" w:rsidP="00C1490A">
      <w:pPr>
        <w:spacing w:after="0" w:line="240" w:lineRule="auto"/>
        <w:ind w:firstLine="720"/>
        <w:jc w:val="both"/>
        <w:rPr>
          <w:rFonts w:ascii="Arial" w:hAnsi="Arial" w:cs="Arial"/>
          <w:sz w:val="24"/>
          <w:szCs w:val="24"/>
        </w:rPr>
      </w:pPr>
    </w:p>
    <w:p w:rsidR="00FD3D76" w:rsidRDefault="00FD3D76" w:rsidP="00C1490A">
      <w:pPr>
        <w:spacing w:after="0" w:line="240" w:lineRule="auto"/>
        <w:ind w:firstLine="720"/>
        <w:jc w:val="both"/>
        <w:rPr>
          <w:rFonts w:ascii="Arial" w:hAnsi="Arial" w:cs="Arial"/>
          <w:sz w:val="24"/>
          <w:szCs w:val="24"/>
        </w:rPr>
      </w:pPr>
    </w:p>
    <w:p w:rsidR="00FD3D76" w:rsidRDefault="00FD3D76" w:rsidP="00C1490A">
      <w:pPr>
        <w:spacing w:after="0" w:line="240" w:lineRule="auto"/>
        <w:ind w:firstLine="720"/>
        <w:jc w:val="both"/>
        <w:rPr>
          <w:rFonts w:ascii="Arial" w:hAnsi="Arial" w:cs="Arial"/>
          <w:sz w:val="24"/>
          <w:szCs w:val="24"/>
        </w:rPr>
      </w:pPr>
    </w:p>
    <w:p w:rsidR="00FD3D76" w:rsidRDefault="00FD3D76" w:rsidP="00C1490A">
      <w:pPr>
        <w:spacing w:after="0" w:line="240" w:lineRule="auto"/>
        <w:ind w:firstLine="720"/>
        <w:jc w:val="both"/>
        <w:rPr>
          <w:rFonts w:ascii="Arial" w:hAnsi="Arial" w:cs="Arial"/>
          <w:sz w:val="24"/>
          <w:szCs w:val="24"/>
        </w:rPr>
      </w:pPr>
    </w:p>
    <w:p w:rsidR="00FD3D76" w:rsidRDefault="00FD3D76" w:rsidP="00C1490A">
      <w:pPr>
        <w:spacing w:after="0" w:line="240" w:lineRule="auto"/>
        <w:ind w:firstLine="720"/>
        <w:jc w:val="both"/>
        <w:rPr>
          <w:rFonts w:ascii="Arial" w:hAnsi="Arial" w:cs="Arial"/>
          <w:sz w:val="24"/>
          <w:szCs w:val="24"/>
        </w:rPr>
      </w:pPr>
    </w:p>
    <w:p w:rsidR="00FD3D76" w:rsidRDefault="00FD3D76" w:rsidP="00C1490A">
      <w:pPr>
        <w:spacing w:after="0" w:line="240" w:lineRule="auto"/>
        <w:ind w:firstLine="720"/>
        <w:jc w:val="both"/>
        <w:rPr>
          <w:rFonts w:ascii="Arial" w:hAnsi="Arial" w:cs="Arial"/>
          <w:sz w:val="24"/>
          <w:szCs w:val="24"/>
        </w:rPr>
      </w:pPr>
    </w:p>
    <w:p w:rsidR="00FD3D76" w:rsidRDefault="00FD3D76" w:rsidP="00C1490A">
      <w:pPr>
        <w:spacing w:after="0" w:line="240" w:lineRule="auto"/>
        <w:ind w:firstLine="720"/>
        <w:jc w:val="both"/>
        <w:rPr>
          <w:rFonts w:ascii="Arial" w:hAnsi="Arial" w:cs="Arial"/>
          <w:sz w:val="24"/>
          <w:szCs w:val="24"/>
        </w:rPr>
      </w:pPr>
    </w:p>
    <w:p w:rsidR="00FD3D76" w:rsidRDefault="00FD3D76" w:rsidP="00C1490A">
      <w:pPr>
        <w:spacing w:after="0" w:line="240" w:lineRule="auto"/>
        <w:ind w:firstLine="720"/>
        <w:jc w:val="both"/>
        <w:rPr>
          <w:rFonts w:ascii="Arial" w:hAnsi="Arial" w:cs="Arial"/>
          <w:sz w:val="24"/>
          <w:szCs w:val="24"/>
        </w:rPr>
      </w:pPr>
    </w:p>
    <w:p w:rsidR="00FD3D76" w:rsidRDefault="00FD3D76" w:rsidP="00C1490A">
      <w:pPr>
        <w:spacing w:after="0" w:line="240" w:lineRule="auto"/>
        <w:ind w:firstLine="720"/>
        <w:jc w:val="both"/>
        <w:rPr>
          <w:rFonts w:ascii="Arial" w:hAnsi="Arial" w:cs="Arial"/>
          <w:sz w:val="24"/>
          <w:szCs w:val="24"/>
        </w:rPr>
      </w:pPr>
    </w:p>
    <w:p w:rsidR="00FD3D76" w:rsidRDefault="00FD3D76" w:rsidP="00C1490A">
      <w:pPr>
        <w:spacing w:after="0" w:line="240" w:lineRule="auto"/>
        <w:ind w:firstLine="720"/>
        <w:jc w:val="both"/>
        <w:rPr>
          <w:rFonts w:ascii="Arial" w:hAnsi="Arial" w:cs="Arial"/>
          <w:sz w:val="24"/>
          <w:szCs w:val="24"/>
        </w:rPr>
      </w:pPr>
    </w:p>
    <w:p w:rsidR="00FD3D76" w:rsidRDefault="00FD3D76" w:rsidP="00C1490A">
      <w:pPr>
        <w:spacing w:after="0" w:line="240" w:lineRule="auto"/>
        <w:ind w:firstLine="720"/>
        <w:jc w:val="both"/>
        <w:rPr>
          <w:rFonts w:ascii="Arial" w:hAnsi="Arial" w:cs="Arial"/>
          <w:sz w:val="24"/>
          <w:szCs w:val="24"/>
        </w:rPr>
      </w:pPr>
    </w:p>
    <w:p w:rsidR="00FD3D76" w:rsidRPr="00B8293F" w:rsidRDefault="00FD3D76" w:rsidP="00C1490A">
      <w:pPr>
        <w:spacing w:after="0" w:line="240" w:lineRule="auto"/>
        <w:ind w:firstLine="720"/>
        <w:jc w:val="both"/>
        <w:rPr>
          <w:rFonts w:ascii="Arial" w:hAnsi="Arial" w:cs="Arial"/>
          <w:sz w:val="24"/>
          <w:szCs w:val="24"/>
        </w:rPr>
      </w:pPr>
    </w:p>
    <w:p w:rsidR="00C1490A" w:rsidRPr="00B8293F" w:rsidRDefault="00C1490A" w:rsidP="00C1490A">
      <w:pPr>
        <w:spacing w:after="0" w:line="240" w:lineRule="auto"/>
        <w:ind w:firstLine="720"/>
        <w:jc w:val="both"/>
        <w:rPr>
          <w:rFonts w:ascii="Arial" w:hAnsi="Arial" w:cs="Arial"/>
          <w:sz w:val="24"/>
          <w:szCs w:val="24"/>
        </w:rPr>
      </w:pPr>
    </w:p>
    <w:p w:rsidR="00C1490A" w:rsidRPr="00B8293F" w:rsidRDefault="00C1490A" w:rsidP="00C1490A">
      <w:pPr>
        <w:spacing w:after="0" w:line="240" w:lineRule="auto"/>
        <w:jc w:val="center"/>
        <w:rPr>
          <w:rFonts w:ascii="Arial" w:eastAsia="Times New Roman" w:hAnsi="Arial" w:cs="Arial"/>
          <w:i/>
          <w:sz w:val="24"/>
          <w:szCs w:val="24"/>
          <w:lang w:eastAsia="ro-RO"/>
        </w:rPr>
      </w:pPr>
      <w:r w:rsidRPr="00B8293F">
        <w:rPr>
          <w:rFonts w:ascii="Arial" w:eastAsia="Times New Roman" w:hAnsi="Arial" w:cs="Arial"/>
          <w:i/>
          <w:sz w:val="24"/>
          <w:szCs w:val="24"/>
          <w:lang w:eastAsia="ro-RO"/>
        </w:rPr>
        <w:lastRenderedPageBreak/>
        <w:t>Tabelul nr. II.1.2. Resursele de apă ale fluviului Dunărea în anul 2021, comparativ cu perioada anterioară (2016-2020)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9"/>
        <w:gridCol w:w="846"/>
        <w:gridCol w:w="846"/>
        <w:gridCol w:w="846"/>
        <w:gridCol w:w="899"/>
        <w:gridCol w:w="899"/>
        <w:gridCol w:w="846"/>
        <w:gridCol w:w="846"/>
        <w:gridCol w:w="846"/>
        <w:gridCol w:w="1101"/>
      </w:tblGrid>
      <w:tr w:rsidR="00C1490A" w:rsidRPr="00B8293F" w:rsidTr="00B8293F">
        <w:trPr>
          <w:trHeight w:val="312"/>
          <w:jc w:val="center"/>
        </w:trPr>
        <w:tc>
          <w:tcPr>
            <w:tcW w:w="1307" w:type="dxa"/>
            <w:vMerge w:val="restart"/>
            <w:tcBorders>
              <w:top w:val="single" w:sz="8" w:space="0" w:color="auto"/>
              <w:left w:val="single" w:sz="8" w:space="0" w:color="auto"/>
            </w:tcBorders>
            <w:shd w:val="clear" w:color="000000" w:fill="auto"/>
            <w:noWrap/>
            <w:vAlign w:val="center"/>
            <w:hideMark/>
          </w:tcPr>
          <w:p w:rsidR="00C1490A" w:rsidRPr="00B8293F" w:rsidRDefault="00C1490A" w:rsidP="00B8293F">
            <w:pPr>
              <w:spacing w:after="0" w:line="240" w:lineRule="auto"/>
              <w:jc w:val="center"/>
              <w:rPr>
                <w:rFonts w:ascii="Arial" w:eastAsia="Times New Roman" w:hAnsi="Arial" w:cs="Arial"/>
                <w:b/>
                <w:bCs/>
                <w:color w:val="000000"/>
                <w:sz w:val="24"/>
                <w:szCs w:val="24"/>
                <w:lang w:val="fr-FR"/>
              </w:rPr>
            </w:pPr>
            <w:r w:rsidRPr="00B8293F">
              <w:rPr>
                <w:rFonts w:ascii="Arial" w:eastAsia="Times New Roman" w:hAnsi="Arial" w:cs="Arial"/>
                <w:b/>
                <w:bCs/>
                <w:color w:val="000000"/>
                <w:sz w:val="24"/>
                <w:szCs w:val="24"/>
              </w:rPr>
              <w:t>Stații hidrometrice de control pe fluviul Dunărea</w:t>
            </w:r>
          </w:p>
        </w:tc>
        <w:tc>
          <w:tcPr>
            <w:tcW w:w="848" w:type="dxa"/>
            <w:vMerge w:val="restart"/>
            <w:tcBorders>
              <w:top w:val="single" w:sz="8" w:space="0" w:color="auto"/>
            </w:tcBorders>
            <w:shd w:val="clear" w:color="000000" w:fill="auto"/>
            <w:noWrap/>
            <w:vAlign w:val="center"/>
            <w:hideMark/>
          </w:tcPr>
          <w:p w:rsidR="00C1490A" w:rsidRPr="00B8293F" w:rsidRDefault="00C1490A" w:rsidP="00B8293F">
            <w:pPr>
              <w:spacing w:after="0" w:line="240" w:lineRule="auto"/>
              <w:jc w:val="center"/>
              <w:rPr>
                <w:rFonts w:ascii="Arial" w:eastAsia="Times New Roman" w:hAnsi="Arial" w:cs="Arial"/>
                <w:b/>
                <w:bCs/>
                <w:color w:val="000000"/>
                <w:sz w:val="24"/>
                <w:szCs w:val="24"/>
                <w:lang w:val="en-US"/>
              </w:rPr>
            </w:pPr>
            <w:r w:rsidRPr="00B8293F">
              <w:rPr>
                <w:rFonts w:ascii="Arial" w:eastAsia="Times New Roman" w:hAnsi="Arial" w:cs="Arial"/>
                <w:b/>
                <w:bCs/>
                <w:color w:val="000000"/>
                <w:sz w:val="24"/>
                <w:szCs w:val="24"/>
                <w:lang w:val="en-US"/>
              </w:rPr>
              <w:t>Param.</w:t>
            </w:r>
          </w:p>
        </w:tc>
        <w:tc>
          <w:tcPr>
            <w:tcW w:w="6120" w:type="dxa"/>
            <w:gridSpan w:val="7"/>
            <w:tcBorders>
              <w:top w:val="single" w:sz="8" w:space="0" w:color="auto"/>
              <w:bottom w:val="single" w:sz="4" w:space="0" w:color="auto"/>
            </w:tcBorders>
            <w:shd w:val="clear" w:color="000000" w:fill="auto"/>
            <w:noWrap/>
            <w:vAlign w:val="center"/>
            <w:hideMark/>
          </w:tcPr>
          <w:p w:rsidR="00C1490A" w:rsidRPr="00B8293F" w:rsidRDefault="00C1490A" w:rsidP="00B8293F">
            <w:pPr>
              <w:spacing w:after="0" w:line="240" w:lineRule="auto"/>
              <w:jc w:val="center"/>
              <w:rPr>
                <w:rFonts w:ascii="Arial" w:eastAsia="Times New Roman" w:hAnsi="Arial" w:cs="Arial"/>
                <w:b/>
                <w:bCs/>
                <w:color w:val="000000"/>
                <w:sz w:val="24"/>
                <w:szCs w:val="24"/>
                <w:lang w:val="en-US"/>
              </w:rPr>
            </w:pPr>
            <w:r w:rsidRPr="00B8293F">
              <w:rPr>
                <w:rFonts w:ascii="Arial" w:eastAsia="Times New Roman" w:hAnsi="Arial" w:cs="Arial"/>
                <w:b/>
                <w:bCs/>
                <w:sz w:val="24"/>
                <w:szCs w:val="24"/>
              </w:rPr>
              <w:t xml:space="preserve">Q </w:t>
            </w:r>
            <w:r w:rsidRPr="00B8293F">
              <w:rPr>
                <w:rFonts w:ascii="Arial" w:eastAsia="Times New Roman" w:hAnsi="Arial" w:cs="Arial"/>
                <w:b/>
                <w:bCs/>
                <w:color w:val="000000"/>
                <w:sz w:val="24"/>
                <w:szCs w:val="24"/>
                <w:vertAlign w:val="subscript"/>
              </w:rPr>
              <w:t xml:space="preserve">med anual </w:t>
            </w:r>
            <w:r w:rsidRPr="00B8293F">
              <w:rPr>
                <w:rFonts w:ascii="Arial" w:eastAsia="Times New Roman" w:hAnsi="Arial" w:cs="Arial"/>
                <w:b/>
                <w:bCs/>
                <w:color w:val="000000"/>
                <w:sz w:val="24"/>
                <w:szCs w:val="24"/>
              </w:rPr>
              <w:t>(m</w:t>
            </w:r>
            <w:r w:rsidRPr="00B8293F">
              <w:rPr>
                <w:rFonts w:ascii="Arial" w:eastAsia="Times New Roman" w:hAnsi="Arial" w:cs="Arial"/>
                <w:b/>
                <w:bCs/>
                <w:color w:val="000000"/>
                <w:sz w:val="24"/>
                <w:szCs w:val="24"/>
                <w:vertAlign w:val="superscript"/>
              </w:rPr>
              <w:t>3</w:t>
            </w:r>
            <w:r w:rsidRPr="00B8293F">
              <w:rPr>
                <w:rFonts w:ascii="Arial" w:eastAsia="Times New Roman" w:hAnsi="Arial" w:cs="Arial"/>
                <w:b/>
                <w:bCs/>
                <w:color w:val="000000"/>
                <w:sz w:val="24"/>
                <w:szCs w:val="24"/>
              </w:rPr>
              <w:t>/s)</w:t>
            </w:r>
          </w:p>
        </w:tc>
        <w:tc>
          <w:tcPr>
            <w:tcW w:w="1059" w:type="dxa"/>
            <w:vMerge w:val="restart"/>
            <w:tcBorders>
              <w:top w:val="single" w:sz="8" w:space="0" w:color="auto"/>
              <w:right w:val="single" w:sz="8" w:space="0" w:color="auto"/>
            </w:tcBorders>
            <w:shd w:val="clear" w:color="000000" w:fill="auto"/>
            <w:noWrap/>
            <w:vAlign w:val="center"/>
            <w:hideMark/>
          </w:tcPr>
          <w:p w:rsidR="00C1490A" w:rsidRPr="00B8293F" w:rsidRDefault="00C1490A" w:rsidP="00B8293F">
            <w:pPr>
              <w:spacing w:after="0" w:line="240" w:lineRule="auto"/>
              <w:jc w:val="center"/>
              <w:rPr>
                <w:rFonts w:ascii="Arial" w:eastAsia="Times New Roman" w:hAnsi="Arial" w:cs="Arial"/>
                <w:b/>
                <w:bCs/>
                <w:color w:val="000000"/>
                <w:sz w:val="24"/>
                <w:szCs w:val="24"/>
                <w:lang w:val="en-US"/>
              </w:rPr>
            </w:pPr>
            <w:r w:rsidRPr="00B8293F">
              <w:rPr>
                <w:rFonts w:ascii="Arial" w:eastAsia="Times New Roman" w:hAnsi="Arial" w:cs="Arial"/>
                <w:b/>
                <w:bCs/>
                <w:color w:val="000000"/>
                <w:sz w:val="24"/>
                <w:szCs w:val="24"/>
              </w:rPr>
              <w:t>Q</w:t>
            </w:r>
            <w:r w:rsidRPr="00B8293F">
              <w:rPr>
                <w:rFonts w:ascii="Arial" w:eastAsia="Times New Roman" w:hAnsi="Arial" w:cs="Arial"/>
                <w:b/>
                <w:bCs/>
                <w:color w:val="000000"/>
                <w:sz w:val="24"/>
                <w:szCs w:val="24"/>
                <w:vertAlign w:val="subscript"/>
              </w:rPr>
              <w:t>2021</w:t>
            </w:r>
            <w:r w:rsidRPr="00B8293F">
              <w:rPr>
                <w:rFonts w:ascii="Arial" w:eastAsia="Times New Roman" w:hAnsi="Arial" w:cs="Arial"/>
                <w:b/>
                <w:bCs/>
                <w:color w:val="000000"/>
                <w:sz w:val="24"/>
                <w:szCs w:val="24"/>
              </w:rPr>
              <w:t>/Q</w:t>
            </w:r>
            <w:r w:rsidRPr="00B8293F">
              <w:rPr>
                <w:rFonts w:ascii="Arial" w:eastAsia="Times New Roman" w:hAnsi="Arial" w:cs="Arial"/>
                <w:b/>
                <w:bCs/>
                <w:color w:val="000000"/>
                <w:sz w:val="24"/>
                <w:szCs w:val="24"/>
                <w:vertAlign w:val="subscript"/>
              </w:rPr>
              <w:t>med</w:t>
            </w:r>
            <w:r w:rsidRPr="00B8293F">
              <w:rPr>
                <w:rFonts w:ascii="Arial" w:eastAsia="Times New Roman" w:hAnsi="Arial" w:cs="Arial"/>
                <w:b/>
                <w:bCs/>
                <w:color w:val="000000"/>
                <w:sz w:val="24"/>
                <w:szCs w:val="24"/>
              </w:rPr>
              <w:t xml:space="preserve"> (%)</w:t>
            </w:r>
          </w:p>
        </w:tc>
      </w:tr>
      <w:tr w:rsidR="00C1490A" w:rsidRPr="00B8293F" w:rsidTr="00B8293F">
        <w:trPr>
          <w:trHeight w:val="300"/>
          <w:jc w:val="center"/>
        </w:trPr>
        <w:tc>
          <w:tcPr>
            <w:tcW w:w="1307" w:type="dxa"/>
            <w:vMerge/>
            <w:tcBorders>
              <w:left w:val="single" w:sz="8" w:space="0" w:color="auto"/>
              <w:bottom w:val="single" w:sz="8" w:space="0" w:color="auto"/>
            </w:tcBorders>
            <w:shd w:val="clear" w:color="000000" w:fill="FFFF00"/>
            <w:noWrap/>
            <w:vAlign w:val="center"/>
            <w:hideMark/>
          </w:tcPr>
          <w:p w:rsidR="00C1490A" w:rsidRPr="00B8293F" w:rsidRDefault="00C1490A" w:rsidP="00B8293F">
            <w:pPr>
              <w:spacing w:after="0" w:line="240" w:lineRule="auto"/>
              <w:jc w:val="center"/>
              <w:rPr>
                <w:rFonts w:ascii="Arial" w:eastAsia="Times New Roman" w:hAnsi="Arial" w:cs="Arial"/>
                <w:color w:val="000000"/>
                <w:sz w:val="24"/>
                <w:szCs w:val="24"/>
                <w:lang w:val="en-US"/>
              </w:rPr>
            </w:pPr>
          </w:p>
        </w:tc>
        <w:tc>
          <w:tcPr>
            <w:tcW w:w="848" w:type="dxa"/>
            <w:vMerge/>
            <w:tcBorders>
              <w:bottom w:val="single" w:sz="8" w:space="0" w:color="auto"/>
            </w:tcBorders>
            <w:shd w:val="clear" w:color="000000" w:fill="FFFF00"/>
            <w:noWrap/>
            <w:vAlign w:val="center"/>
            <w:hideMark/>
          </w:tcPr>
          <w:p w:rsidR="00C1490A" w:rsidRPr="00B8293F" w:rsidRDefault="00C1490A" w:rsidP="00B8293F">
            <w:pPr>
              <w:spacing w:after="0" w:line="240" w:lineRule="auto"/>
              <w:jc w:val="center"/>
              <w:rPr>
                <w:rFonts w:ascii="Arial" w:eastAsia="Times New Roman" w:hAnsi="Arial" w:cs="Arial"/>
                <w:color w:val="000000"/>
                <w:sz w:val="24"/>
                <w:szCs w:val="24"/>
                <w:lang w:val="en-US"/>
              </w:rPr>
            </w:pPr>
          </w:p>
        </w:tc>
        <w:tc>
          <w:tcPr>
            <w:tcW w:w="894" w:type="dxa"/>
            <w:tcBorders>
              <w:bottom w:val="single" w:sz="8" w:space="0" w:color="auto"/>
            </w:tcBorders>
            <w:shd w:val="clear" w:color="000000" w:fill="auto"/>
            <w:noWrap/>
            <w:vAlign w:val="center"/>
          </w:tcPr>
          <w:p w:rsidR="00C1490A" w:rsidRPr="00B8293F" w:rsidRDefault="00C1490A" w:rsidP="00B8293F">
            <w:pPr>
              <w:spacing w:after="0" w:line="240" w:lineRule="auto"/>
              <w:jc w:val="center"/>
              <w:rPr>
                <w:rFonts w:ascii="Arial" w:eastAsia="Times New Roman" w:hAnsi="Arial" w:cs="Arial"/>
                <w:b/>
                <w:bCs/>
                <w:color w:val="000000"/>
                <w:sz w:val="24"/>
                <w:szCs w:val="24"/>
                <w:lang w:val="en-US"/>
              </w:rPr>
            </w:pPr>
            <w:r w:rsidRPr="00B8293F">
              <w:rPr>
                <w:rFonts w:ascii="Arial" w:eastAsia="Times New Roman" w:hAnsi="Arial" w:cs="Arial"/>
                <w:b/>
                <w:bCs/>
                <w:color w:val="000000"/>
                <w:sz w:val="24"/>
                <w:szCs w:val="24"/>
              </w:rPr>
              <w:t>2016</w:t>
            </w:r>
          </w:p>
        </w:tc>
        <w:tc>
          <w:tcPr>
            <w:tcW w:w="899" w:type="dxa"/>
            <w:tcBorders>
              <w:bottom w:val="single" w:sz="8" w:space="0" w:color="auto"/>
            </w:tcBorders>
            <w:shd w:val="clear" w:color="000000" w:fill="auto"/>
            <w:noWrap/>
            <w:vAlign w:val="center"/>
          </w:tcPr>
          <w:p w:rsidR="00C1490A" w:rsidRPr="00B8293F" w:rsidRDefault="00C1490A" w:rsidP="00B8293F">
            <w:pPr>
              <w:spacing w:after="0" w:line="240" w:lineRule="auto"/>
              <w:jc w:val="center"/>
              <w:rPr>
                <w:rFonts w:ascii="Arial" w:eastAsia="Times New Roman" w:hAnsi="Arial" w:cs="Arial"/>
                <w:b/>
                <w:bCs/>
                <w:color w:val="000000"/>
                <w:sz w:val="24"/>
                <w:szCs w:val="24"/>
                <w:lang w:val="en-US"/>
              </w:rPr>
            </w:pPr>
            <w:r w:rsidRPr="00B8293F">
              <w:rPr>
                <w:rFonts w:ascii="Arial" w:eastAsia="Times New Roman" w:hAnsi="Arial" w:cs="Arial"/>
                <w:b/>
                <w:bCs/>
                <w:color w:val="000000"/>
                <w:sz w:val="24"/>
                <w:szCs w:val="24"/>
              </w:rPr>
              <w:t>2017</w:t>
            </w:r>
          </w:p>
        </w:tc>
        <w:tc>
          <w:tcPr>
            <w:tcW w:w="900" w:type="dxa"/>
            <w:tcBorders>
              <w:bottom w:val="single" w:sz="8" w:space="0" w:color="auto"/>
            </w:tcBorders>
            <w:shd w:val="clear" w:color="000000" w:fill="auto"/>
            <w:noWrap/>
            <w:vAlign w:val="center"/>
          </w:tcPr>
          <w:p w:rsidR="00C1490A" w:rsidRPr="00B8293F" w:rsidRDefault="00C1490A" w:rsidP="00B8293F">
            <w:pPr>
              <w:spacing w:after="0" w:line="240" w:lineRule="auto"/>
              <w:jc w:val="center"/>
              <w:rPr>
                <w:rFonts w:ascii="Arial" w:eastAsia="Times New Roman" w:hAnsi="Arial" w:cs="Arial"/>
                <w:b/>
                <w:bCs/>
                <w:color w:val="000000"/>
                <w:sz w:val="24"/>
                <w:szCs w:val="24"/>
                <w:lang w:val="en-US"/>
              </w:rPr>
            </w:pPr>
            <w:r w:rsidRPr="00B8293F">
              <w:rPr>
                <w:rFonts w:ascii="Arial" w:eastAsia="Times New Roman" w:hAnsi="Arial" w:cs="Arial"/>
                <w:b/>
                <w:bCs/>
                <w:color w:val="000000"/>
                <w:sz w:val="24"/>
                <w:szCs w:val="24"/>
                <w:lang w:val="en-US"/>
              </w:rPr>
              <w:t>2018</w:t>
            </w:r>
          </w:p>
        </w:tc>
        <w:tc>
          <w:tcPr>
            <w:tcW w:w="903" w:type="dxa"/>
            <w:tcBorders>
              <w:bottom w:val="single" w:sz="8" w:space="0" w:color="auto"/>
            </w:tcBorders>
            <w:shd w:val="clear" w:color="000000" w:fill="auto"/>
            <w:noWrap/>
            <w:vAlign w:val="center"/>
          </w:tcPr>
          <w:p w:rsidR="00C1490A" w:rsidRPr="00B8293F" w:rsidRDefault="00C1490A" w:rsidP="00B8293F">
            <w:pPr>
              <w:spacing w:after="0" w:line="240" w:lineRule="auto"/>
              <w:jc w:val="center"/>
              <w:rPr>
                <w:rFonts w:ascii="Arial" w:eastAsia="Times New Roman" w:hAnsi="Arial" w:cs="Arial"/>
                <w:b/>
                <w:bCs/>
                <w:color w:val="000000"/>
                <w:sz w:val="24"/>
                <w:szCs w:val="24"/>
                <w:lang w:val="en-US"/>
              </w:rPr>
            </w:pPr>
            <w:r w:rsidRPr="00B8293F">
              <w:rPr>
                <w:rFonts w:ascii="Arial" w:eastAsia="Times New Roman" w:hAnsi="Arial" w:cs="Arial"/>
                <w:b/>
                <w:bCs/>
                <w:color w:val="000000"/>
                <w:sz w:val="24"/>
                <w:szCs w:val="24"/>
                <w:lang w:val="en-US"/>
              </w:rPr>
              <w:t>2019</w:t>
            </w:r>
          </w:p>
        </w:tc>
        <w:tc>
          <w:tcPr>
            <w:tcW w:w="892" w:type="dxa"/>
            <w:tcBorders>
              <w:bottom w:val="single" w:sz="8" w:space="0" w:color="auto"/>
            </w:tcBorders>
            <w:shd w:val="clear" w:color="000000" w:fill="auto"/>
            <w:noWrap/>
            <w:vAlign w:val="center"/>
          </w:tcPr>
          <w:p w:rsidR="00C1490A" w:rsidRPr="00B8293F" w:rsidRDefault="00C1490A" w:rsidP="00B8293F">
            <w:pPr>
              <w:spacing w:after="0" w:line="240" w:lineRule="auto"/>
              <w:jc w:val="center"/>
              <w:rPr>
                <w:rFonts w:ascii="Arial" w:eastAsia="Times New Roman" w:hAnsi="Arial" w:cs="Arial"/>
                <w:b/>
                <w:bCs/>
                <w:color w:val="000000"/>
                <w:sz w:val="24"/>
                <w:szCs w:val="24"/>
                <w:lang w:val="en-US"/>
              </w:rPr>
            </w:pPr>
            <w:r w:rsidRPr="00B8293F">
              <w:rPr>
                <w:rFonts w:ascii="Arial" w:eastAsia="Times New Roman" w:hAnsi="Arial" w:cs="Arial"/>
                <w:b/>
                <w:bCs/>
                <w:color w:val="000000"/>
                <w:sz w:val="24"/>
                <w:szCs w:val="24"/>
                <w:lang w:val="en-US"/>
              </w:rPr>
              <w:t>2020</w:t>
            </w:r>
            <w:r w:rsidRPr="00B8293F">
              <w:rPr>
                <w:rFonts w:ascii="Arial" w:eastAsia="Times New Roman" w:hAnsi="Arial" w:cs="Arial"/>
                <w:b/>
                <w:bCs/>
                <w:color w:val="000000"/>
                <w:sz w:val="24"/>
                <w:szCs w:val="24"/>
                <w:vertAlign w:val="superscript"/>
                <w:lang w:val="en-US"/>
              </w:rPr>
              <w:t>*</w:t>
            </w:r>
          </w:p>
        </w:tc>
        <w:tc>
          <w:tcPr>
            <w:tcW w:w="816" w:type="dxa"/>
            <w:tcBorders>
              <w:bottom w:val="single" w:sz="8" w:space="0" w:color="auto"/>
            </w:tcBorders>
            <w:shd w:val="clear" w:color="000000" w:fill="auto"/>
            <w:noWrap/>
            <w:vAlign w:val="center"/>
            <w:hideMark/>
          </w:tcPr>
          <w:p w:rsidR="00C1490A" w:rsidRPr="00B8293F" w:rsidRDefault="00C1490A" w:rsidP="00B8293F">
            <w:pPr>
              <w:spacing w:after="0" w:line="240" w:lineRule="auto"/>
              <w:jc w:val="center"/>
              <w:rPr>
                <w:rFonts w:ascii="Arial" w:eastAsia="Times New Roman" w:hAnsi="Arial" w:cs="Arial"/>
                <w:b/>
                <w:bCs/>
                <w:color w:val="000000"/>
                <w:sz w:val="24"/>
                <w:szCs w:val="24"/>
              </w:rPr>
            </w:pPr>
            <w:r w:rsidRPr="00B8293F">
              <w:rPr>
                <w:rFonts w:ascii="Arial" w:eastAsia="Times New Roman" w:hAnsi="Arial" w:cs="Arial"/>
                <w:b/>
                <w:bCs/>
                <w:color w:val="000000"/>
                <w:sz w:val="24"/>
                <w:szCs w:val="24"/>
              </w:rPr>
              <w:t>MED</w:t>
            </w:r>
          </w:p>
          <w:p w:rsidR="00C1490A" w:rsidRPr="00B8293F" w:rsidRDefault="00C1490A" w:rsidP="00B8293F">
            <w:pPr>
              <w:spacing w:after="0" w:line="240" w:lineRule="auto"/>
              <w:jc w:val="center"/>
              <w:rPr>
                <w:rFonts w:ascii="Arial" w:eastAsia="Times New Roman" w:hAnsi="Arial" w:cs="Arial"/>
                <w:b/>
                <w:bCs/>
                <w:color w:val="000000"/>
                <w:sz w:val="24"/>
                <w:szCs w:val="24"/>
                <w:lang w:val="en-US"/>
              </w:rPr>
            </w:pPr>
            <w:r w:rsidRPr="00B8293F">
              <w:rPr>
                <w:rFonts w:ascii="Arial" w:eastAsia="Times New Roman" w:hAnsi="Arial" w:cs="Arial"/>
                <w:b/>
                <w:bCs/>
                <w:sz w:val="24"/>
                <w:szCs w:val="24"/>
                <w:vertAlign w:val="subscript"/>
              </w:rPr>
              <w:t>2016-2020</w:t>
            </w:r>
          </w:p>
        </w:tc>
        <w:tc>
          <w:tcPr>
            <w:tcW w:w="816" w:type="dxa"/>
            <w:tcBorders>
              <w:bottom w:val="single" w:sz="8" w:space="0" w:color="auto"/>
            </w:tcBorders>
            <w:shd w:val="clear" w:color="000000" w:fill="auto"/>
            <w:noWrap/>
            <w:vAlign w:val="center"/>
          </w:tcPr>
          <w:p w:rsidR="00C1490A" w:rsidRPr="00B8293F" w:rsidRDefault="00C1490A" w:rsidP="00B8293F">
            <w:pPr>
              <w:spacing w:after="0" w:line="240" w:lineRule="auto"/>
              <w:jc w:val="center"/>
              <w:rPr>
                <w:rFonts w:ascii="Arial" w:eastAsia="Times New Roman" w:hAnsi="Arial" w:cs="Arial"/>
                <w:b/>
                <w:bCs/>
                <w:color w:val="000000"/>
                <w:sz w:val="24"/>
                <w:szCs w:val="24"/>
                <w:lang w:val="en-US"/>
              </w:rPr>
            </w:pPr>
            <w:r w:rsidRPr="00B8293F">
              <w:rPr>
                <w:rFonts w:ascii="Arial" w:eastAsia="Times New Roman" w:hAnsi="Arial" w:cs="Arial"/>
                <w:b/>
                <w:bCs/>
                <w:color w:val="000000"/>
                <w:sz w:val="24"/>
                <w:szCs w:val="24"/>
                <w:lang w:val="en-US"/>
              </w:rPr>
              <w:t>2021</w:t>
            </w:r>
          </w:p>
        </w:tc>
        <w:tc>
          <w:tcPr>
            <w:tcW w:w="1059" w:type="dxa"/>
            <w:vMerge/>
            <w:tcBorders>
              <w:bottom w:val="single" w:sz="8" w:space="0" w:color="auto"/>
              <w:right w:val="single" w:sz="8" w:space="0" w:color="auto"/>
            </w:tcBorders>
            <w:shd w:val="clear" w:color="000000" w:fill="FFFF00"/>
            <w:noWrap/>
            <w:vAlign w:val="center"/>
            <w:hideMark/>
          </w:tcPr>
          <w:p w:rsidR="00C1490A" w:rsidRPr="00B8293F" w:rsidRDefault="00C1490A" w:rsidP="00B8293F">
            <w:pPr>
              <w:spacing w:after="0" w:line="240" w:lineRule="auto"/>
              <w:jc w:val="center"/>
              <w:rPr>
                <w:rFonts w:ascii="Arial" w:eastAsia="Times New Roman" w:hAnsi="Arial" w:cs="Arial"/>
                <w:color w:val="000000"/>
                <w:sz w:val="24"/>
                <w:szCs w:val="24"/>
                <w:lang w:val="en-US"/>
              </w:rPr>
            </w:pPr>
          </w:p>
        </w:tc>
      </w:tr>
      <w:tr w:rsidR="00C1490A" w:rsidRPr="00B8293F" w:rsidTr="00B8293F">
        <w:trPr>
          <w:trHeight w:val="288"/>
          <w:jc w:val="center"/>
        </w:trPr>
        <w:tc>
          <w:tcPr>
            <w:tcW w:w="1307" w:type="dxa"/>
            <w:vMerge w:val="restart"/>
            <w:tcBorders>
              <w:top w:val="single" w:sz="8" w:space="0" w:color="auto"/>
              <w:left w:val="single" w:sz="8" w:space="0" w:color="auto"/>
            </w:tcBorders>
            <w:shd w:val="clear" w:color="auto" w:fill="auto"/>
            <w:noWrap/>
            <w:vAlign w:val="center"/>
            <w:hideMark/>
          </w:tcPr>
          <w:p w:rsidR="00C1490A" w:rsidRPr="00B8293F" w:rsidRDefault="00C1490A" w:rsidP="00B8293F">
            <w:pPr>
              <w:spacing w:after="0" w:line="240" w:lineRule="auto"/>
              <w:jc w:val="center"/>
              <w:rPr>
                <w:rFonts w:ascii="Arial" w:eastAsia="Times New Roman" w:hAnsi="Arial" w:cs="Arial"/>
                <w:color w:val="000000"/>
                <w:sz w:val="24"/>
                <w:szCs w:val="24"/>
                <w:lang w:val="en-US"/>
              </w:rPr>
            </w:pPr>
            <w:r w:rsidRPr="00B8293F">
              <w:rPr>
                <w:rFonts w:ascii="Arial" w:eastAsia="Times New Roman" w:hAnsi="Arial" w:cs="Arial"/>
                <w:b/>
                <w:bCs/>
                <w:color w:val="000000"/>
                <w:sz w:val="24"/>
                <w:szCs w:val="24"/>
                <w:lang w:eastAsia="ro-RO"/>
              </w:rPr>
              <w:t>Baziaș</w:t>
            </w:r>
          </w:p>
        </w:tc>
        <w:tc>
          <w:tcPr>
            <w:tcW w:w="848" w:type="dxa"/>
            <w:tcBorders>
              <w:top w:val="single" w:sz="8" w:space="0" w:color="auto"/>
            </w:tcBorders>
            <w:shd w:val="clear" w:color="auto" w:fill="auto"/>
            <w:noWrap/>
            <w:vAlign w:val="center"/>
            <w:hideMark/>
          </w:tcPr>
          <w:p w:rsidR="00C1490A" w:rsidRPr="00B8293F" w:rsidRDefault="00C1490A" w:rsidP="00B8293F">
            <w:pPr>
              <w:spacing w:after="0" w:line="240" w:lineRule="auto"/>
              <w:jc w:val="center"/>
              <w:rPr>
                <w:rFonts w:ascii="Arial" w:eastAsia="Times New Roman" w:hAnsi="Arial" w:cs="Arial"/>
                <w:color w:val="000000"/>
                <w:sz w:val="24"/>
                <w:szCs w:val="24"/>
                <w:lang w:val="en-US"/>
              </w:rPr>
            </w:pPr>
            <w:r w:rsidRPr="00B8293F">
              <w:rPr>
                <w:rFonts w:ascii="Arial" w:eastAsia="Times New Roman" w:hAnsi="Arial" w:cs="Arial"/>
                <w:color w:val="000000"/>
                <w:sz w:val="24"/>
                <w:szCs w:val="24"/>
                <w:lang w:val="en-US"/>
              </w:rPr>
              <w:t>Q</w:t>
            </w:r>
          </w:p>
        </w:tc>
        <w:tc>
          <w:tcPr>
            <w:tcW w:w="894" w:type="dxa"/>
            <w:tcBorders>
              <w:top w:val="single" w:sz="8" w:space="0" w:color="auto"/>
            </w:tcBorders>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5410</w:t>
            </w:r>
          </w:p>
        </w:tc>
        <w:tc>
          <w:tcPr>
            <w:tcW w:w="899" w:type="dxa"/>
            <w:tcBorders>
              <w:top w:val="single" w:sz="8" w:space="0" w:color="auto"/>
            </w:tcBorders>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4530</w:t>
            </w:r>
          </w:p>
        </w:tc>
        <w:tc>
          <w:tcPr>
            <w:tcW w:w="900" w:type="dxa"/>
            <w:tcBorders>
              <w:top w:val="single" w:sz="8" w:space="0" w:color="auto"/>
            </w:tcBorders>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5072</w:t>
            </w:r>
          </w:p>
        </w:tc>
        <w:tc>
          <w:tcPr>
            <w:tcW w:w="903" w:type="dxa"/>
            <w:tcBorders>
              <w:top w:val="single" w:sz="8" w:space="0" w:color="auto"/>
            </w:tcBorders>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4813</w:t>
            </w:r>
          </w:p>
        </w:tc>
        <w:tc>
          <w:tcPr>
            <w:tcW w:w="892" w:type="dxa"/>
            <w:tcBorders>
              <w:top w:val="single" w:sz="8" w:space="0" w:color="auto"/>
            </w:tcBorders>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4419</w:t>
            </w:r>
          </w:p>
        </w:tc>
        <w:tc>
          <w:tcPr>
            <w:tcW w:w="816" w:type="dxa"/>
            <w:tcBorders>
              <w:top w:val="single" w:sz="8" w:space="0" w:color="auto"/>
            </w:tcBorders>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4849</w:t>
            </w:r>
          </w:p>
        </w:tc>
        <w:tc>
          <w:tcPr>
            <w:tcW w:w="816" w:type="dxa"/>
            <w:tcBorders>
              <w:top w:val="single" w:sz="8" w:space="0" w:color="auto"/>
            </w:tcBorders>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5074</w:t>
            </w:r>
          </w:p>
        </w:tc>
        <w:tc>
          <w:tcPr>
            <w:tcW w:w="1059" w:type="dxa"/>
            <w:vMerge w:val="restart"/>
            <w:tcBorders>
              <w:top w:val="single" w:sz="8" w:space="0" w:color="auto"/>
              <w:right w:val="single" w:sz="8" w:space="0" w:color="auto"/>
            </w:tcBorders>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106</w:t>
            </w:r>
          </w:p>
        </w:tc>
      </w:tr>
      <w:tr w:rsidR="00C1490A" w:rsidRPr="00B8293F" w:rsidTr="00B8293F">
        <w:trPr>
          <w:trHeight w:val="300"/>
          <w:jc w:val="center"/>
        </w:trPr>
        <w:tc>
          <w:tcPr>
            <w:tcW w:w="1307" w:type="dxa"/>
            <w:vMerge/>
            <w:tcBorders>
              <w:left w:val="single" w:sz="8" w:space="0" w:color="auto"/>
            </w:tcBorders>
            <w:shd w:val="clear" w:color="auto" w:fill="auto"/>
            <w:noWrap/>
            <w:vAlign w:val="center"/>
            <w:hideMark/>
          </w:tcPr>
          <w:p w:rsidR="00C1490A" w:rsidRPr="00B8293F" w:rsidRDefault="00C1490A" w:rsidP="00B8293F">
            <w:pPr>
              <w:spacing w:after="0" w:line="240" w:lineRule="auto"/>
              <w:jc w:val="center"/>
              <w:rPr>
                <w:rFonts w:ascii="Arial" w:eastAsia="Times New Roman" w:hAnsi="Arial" w:cs="Arial"/>
                <w:color w:val="000000"/>
                <w:sz w:val="24"/>
                <w:szCs w:val="24"/>
                <w:lang w:val="en-US"/>
              </w:rPr>
            </w:pPr>
          </w:p>
        </w:tc>
        <w:tc>
          <w:tcPr>
            <w:tcW w:w="848" w:type="dxa"/>
            <w:shd w:val="clear" w:color="auto" w:fill="auto"/>
            <w:noWrap/>
            <w:vAlign w:val="center"/>
            <w:hideMark/>
          </w:tcPr>
          <w:p w:rsidR="00C1490A" w:rsidRPr="00B8293F" w:rsidRDefault="00C1490A" w:rsidP="00B8293F">
            <w:pPr>
              <w:spacing w:after="0" w:line="240" w:lineRule="auto"/>
              <w:jc w:val="center"/>
              <w:rPr>
                <w:rFonts w:ascii="Arial" w:eastAsia="Times New Roman" w:hAnsi="Arial" w:cs="Arial"/>
                <w:color w:val="000000"/>
                <w:sz w:val="24"/>
                <w:szCs w:val="24"/>
                <w:lang w:val="en-US"/>
              </w:rPr>
            </w:pPr>
            <w:r w:rsidRPr="00B8293F">
              <w:rPr>
                <w:rFonts w:ascii="Arial" w:eastAsia="Times New Roman" w:hAnsi="Arial" w:cs="Arial"/>
                <w:color w:val="000000"/>
                <w:sz w:val="24"/>
                <w:szCs w:val="24"/>
              </w:rPr>
              <w:t>V</w:t>
            </w:r>
          </w:p>
        </w:tc>
        <w:tc>
          <w:tcPr>
            <w:tcW w:w="894"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170610</w:t>
            </w:r>
          </w:p>
        </w:tc>
        <w:tc>
          <w:tcPr>
            <w:tcW w:w="899"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142858</w:t>
            </w:r>
          </w:p>
        </w:tc>
        <w:tc>
          <w:tcPr>
            <w:tcW w:w="900"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159950</w:t>
            </w:r>
          </w:p>
        </w:tc>
        <w:tc>
          <w:tcPr>
            <w:tcW w:w="903"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151783</w:t>
            </w:r>
          </w:p>
        </w:tc>
        <w:tc>
          <w:tcPr>
            <w:tcW w:w="892"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139738</w:t>
            </w:r>
          </w:p>
        </w:tc>
        <w:tc>
          <w:tcPr>
            <w:tcW w:w="816"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152988</w:t>
            </w:r>
          </w:p>
        </w:tc>
        <w:tc>
          <w:tcPr>
            <w:tcW w:w="816"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160015</w:t>
            </w:r>
          </w:p>
        </w:tc>
        <w:tc>
          <w:tcPr>
            <w:tcW w:w="1059" w:type="dxa"/>
            <w:vMerge/>
            <w:tcBorders>
              <w:right w:val="single" w:sz="8" w:space="0" w:color="auto"/>
            </w:tcBorders>
            <w:shd w:val="clear" w:color="auto" w:fill="auto"/>
            <w:noWrap/>
            <w:vAlign w:val="bottom"/>
          </w:tcPr>
          <w:p w:rsidR="00C1490A" w:rsidRPr="00B8293F" w:rsidRDefault="00C1490A" w:rsidP="00B8293F">
            <w:pPr>
              <w:spacing w:after="0" w:line="240" w:lineRule="auto"/>
              <w:jc w:val="center"/>
              <w:rPr>
                <w:rFonts w:ascii="Arial" w:eastAsia="Times New Roman" w:hAnsi="Arial" w:cs="Arial"/>
                <w:color w:val="000000"/>
                <w:sz w:val="24"/>
                <w:szCs w:val="24"/>
              </w:rPr>
            </w:pPr>
          </w:p>
        </w:tc>
      </w:tr>
      <w:tr w:rsidR="00C1490A" w:rsidRPr="00B8293F" w:rsidTr="00B8293F">
        <w:trPr>
          <w:trHeight w:val="300"/>
          <w:jc w:val="center"/>
        </w:trPr>
        <w:tc>
          <w:tcPr>
            <w:tcW w:w="1307" w:type="dxa"/>
            <w:vMerge/>
            <w:tcBorders>
              <w:left w:val="single" w:sz="8" w:space="0" w:color="auto"/>
            </w:tcBorders>
            <w:shd w:val="clear" w:color="auto" w:fill="auto"/>
            <w:noWrap/>
            <w:vAlign w:val="center"/>
            <w:hideMark/>
          </w:tcPr>
          <w:p w:rsidR="00C1490A" w:rsidRPr="00B8293F" w:rsidRDefault="00C1490A" w:rsidP="00B8293F">
            <w:pPr>
              <w:spacing w:after="0" w:line="240" w:lineRule="auto"/>
              <w:jc w:val="center"/>
              <w:rPr>
                <w:rFonts w:ascii="Arial" w:eastAsia="Times New Roman" w:hAnsi="Arial" w:cs="Arial"/>
                <w:color w:val="000000"/>
                <w:sz w:val="24"/>
                <w:szCs w:val="24"/>
                <w:lang w:val="en-US"/>
              </w:rPr>
            </w:pPr>
          </w:p>
        </w:tc>
        <w:tc>
          <w:tcPr>
            <w:tcW w:w="848" w:type="dxa"/>
            <w:shd w:val="clear" w:color="auto" w:fill="auto"/>
            <w:noWrap/>
            <w:vAlign w:val="center"/>
            <w:hideMark/>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V 1/2</w:t>
            </w:r>
          </w:p>
        </w:tc>
        <w:tc>
          <w:tcPr>
            <w:tcW w:w="894"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85305</w:t>
            </w:r>
          </w:p>
        </w:tc>
        <w:tc>
          <w:tcPr>
            <w:tcW w:w="899"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71429</w:t>
            </w:r>
          </w:p>
        </w:tc>
        <w:tc>
          <w:tcPr>
            <w:tcW w:w="900"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79975,3</w:t>
            </w:r>
          </w:p>
        </w:tc>
        <w:tc>
          <w:tcPr>
            <w:tcW w:w="903"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75891,5</w:t>
            </w:r>
          </w:p>
        </w:tc>
        <w:tc>
          <w:tcPr>
            <w:tcW w:w="892"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69869</w:t>
            </w:r>
          </w:p>
        </w:tc>
        <w:tc>
          <w:tcPr>
            <w:tcW w:w="816"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75624</w:t>
            </w:r>
          </w:p>
        </w:tc>
        <w:tc>
          <w:tcPr>
            <w:tcW w:w="816"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80007</w:t>
            </w:r>
          </w:p>
        </w:tc>
        <w:tc>
          <w:tcPr>
            <w:tcW w:w="1059" w:type="dxa"/>
            <w:vMerge/>
            <w:tcBorders>
              <w:right w:val="single" w:sz="8" w:space="0" w:color="auto"/>
            </w:tcBorders>
            <w:shd w:val="clear" w:color="auto" w:fill="auto"/>
            <w:noWrap/>
            <w:vAlign w:val="bottom"/>
          </w:tcPr>
          <w:p w:rsidR="00C1490A" w:rsidRPr="00B8293F" w:rsidRDefault="00C1490A" w:rsidP="00B8293F">
            <w:pPr>
              <w:spacing w:after="0" w:line="240" w:lineRule="auto"/>
              <w:jc w:val="center"/>
              <w:rPr>
                <w:rFonts w:ascii="Arial" w:eastAsia="Times New Roman" w:hAnsi="Arial" w:cs="Arial"/>
                <w:color w:val="000000"/>
                <w:sz w:val="24"/>
                <w:szCs w:val="24"/>
              </w:rPr>
            </w:pPr>
          </w:p>
        </w:tc>
      </w:tr>
      <w:tr w:rsidR="00C1490A" w:rsidRPr="00B8293F" w:rsidTr="00B8293F">
        <w:trPr>
          <w:trHeight w:val="288"/>
          <w:jc w:val="center"/>
        </w:trPr>
        <w:tc>
          <w:tcPr>
            <w:tcW w:w="1307" w:type="dxa"/>
            <w:vMerge w:val="restart"/>
            <w:tcBorders>
              <w:left w:val="single" w:sz="8" w:space="0" w:color="auto"/>
            </w:tcBorders>
            <w:shd w:val="clear" w:color="auto" w:fill="auto"/>
            <w:noWrap/>
            <w:vAlign w:val="center"/>
            <w:hideMark/>
          </w:tcPr>
          <w:p w:rsidR="00C1490A" w:rsidRPr="00B8293F" w:rsidRDefault="00C1490A" w:rsidP="00B8293F">
            <w:pPr>
              <w:spacing w:after="0" w:line="240" w:lineRule="auto"/>
              <w:jc w:val="center"/>
              <w:rPr>
                <w:rFonts w:ascii="Arial" w:eastAsia="Times New Roman" w:hAnsi="Arial" w:cs="Arial"/>
                <w:color w:val="000000"/>
                <w:sz w:val="24"/>
                <w:szCs w:val="24"/>
                <w:lang w:val="en-US"/>
              </w:rPr>
            </w:pPr>
            <w:r w:rsidRPr="00B8293F">
              <w:rPr>
                <w:rFonts w:ascii="Arial" w:eastAsia="Times New Roman" w:hAnsi="Arial" w:cs="Arial"/>
                <w:b/>
                <w:bCs/>
                <w:color w:val="000000"/>
                <w:sz w:val="24"/>
                <w:szCs w:val="24"/>
                <w:lang w:eastAsia="ro-RO"/>
              </w:rPr>
              <w:t>Isaccea</w:t>
            </w:r>
          </w:p>
        </w:tc>
        <w:tc>
          <w:tcPr>
            <w:tcW w:w="848" w:type="dxa"/>
            <w:shd w:val="clear" w:color="auto" w:fill="auto"/>
            <w:noWrap/>
            <w:vAlign w:val="center"/>
            <w:hideMark/>
          </w:tcPr>
          <w:p w:rsidR="00C1490A" w:rsidRPr="00B8293F" w:rsidRDefault="00C1490A" w:rsidP="00B8293F">
            <w:pPr>
              <w:spacing w:after="0" w:line="240" w:lineRule="auto"/>
              <w:jc w:val="center"/>
              <w:rPr>
                <w:rFonts w:ascii="Arial" w:eastAsia="Times New Roman" w:hAnsi="Arial" w:cs="Arial"/>
                <w:color w:val="000000"/>
                <w:sz w:val="24"/>
                <w:szCs w:val="24"/>
                <w:lang w:val="en-US"/>
              </w:rPr>
            </w:pPr>
            <w:r w:rsidRPr="00B8293F">
              <w:rPr>
                <w:rFonts w:ascii="Arial" w:eastAsia="Times New Roman" w:hAnsi="Arial" w:cs="Arial"/>
                <w:color w:val="000000"/>
                <w:sz w:val="24"/>
                <w:szCs w:val="24"/>
                <w:lang w:val="en-US"/>
              </w:rPr>
              <w:t>Q</w:t>
            </w:r>
          </w:p>
        </w:tc>
        <w:tc>
          <w:tcPr>
            <w:tcW w:w="894"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6470</w:t>
            </w:r>
          </w:p>
        </w:tc>
        <w:tc>
          <w:tcPr>
            <w:tcW w:w="899"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5210</w:t>
            </w:r>
          </w:p>
        </w:tc>
        <w:tc>
          <w:tcPr>
            <w:tcW w:w="900"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6499</w:t>
            </w:r>
          </w:p>
        </w:tc>
        <w:tc>
          <w:tcPr>
            <w:tcW w:w="903"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5593</w:t>
            </w:r>
          </w:p>
        </w:tc>
        <w:tc>
          <w:tcPr>
            <w:tcW w:w="892"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4893,5</w:t>
            </w:r>
            <w:r w:rsidRPr="00B8293F">
              <w:rPr>
                <w:rFonts w:ascii="Arial" w:eastAsia="Times New Roman" w:hAnsi="Arial" w:cs="Arial"/>
                <w:color w:val="000000"/>
                <w:sz w:val="24"/>
                <w:szCs w:val="24"/>
                <w:vertAlign w:val="superscript"/>
              </w:rPr>
              <w:t>*</w:t>
            </w:r>
          </w:p>
        </w:tc>
        <w:tc>
          <w:tcPr>
            <w:tcW w:w="816"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5943</w:t>
            </w:r>
          </w:p>
        </w:tc>
        <w:tc>
          <w:tcPr>
            <w:tcW w:w="816"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6022</w:t>
            </w:r>
          </w:p>
        </w:tc>
        <w:tc>
          <w:tcPr>
            <w:tcW w:w="1059" w:type="dxa"/>
            <w:vMerge w:val="restart"/>
            <w:tcBorders>
              <w:right w:val="single" w:sz="8" w:space="0" w:color="auto"/>
            </w:tcBorders>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105</w:t>
            </w:r>
          </w:p>
        </w:tc>
      </w:tr>
      <w:tr w:rsidR="00C1490A" w:rsidRPr="00B8293F" w:rsidTr="00B8293F">
        <w:trPr>
          <w:trHeight w:val="300"/>
          <w:jc w:val="center"/>
        </w:trPr>
        <w:tc>
          <w:tcPr>
            <w:tcW w:w="1307" w:type="dxa"/>
            <w:vMerge/>
            <w:tcBorders>
              <w:left w:val="single" w:sz="8" w:space="0" w:color="auto"/>
            </w:tcBorders>
            <w:shd w:val="clear" w:color="auto" w:fill="auto"/>
            <w:noWrap/>
            <w:vAlign w:val="center"/>
            <w:hideMark/>
          </w:tcPr>
          <w:p w:rsidR="00C1490A" w:rsidRPr="00B8293F" w:rsidRDefault="00C1490A" w:rsidP="00B8293F">
            <w:pPr>
              <w:spacing w:after="0" w:line="240" w:lineRule="auto"/>
              <w:jc w:val="center"/>
              <w:rPr>
                <w:rFonts w:ascii="Arial" w:eastAsia="Times New Roman" w:hAnsi="Arial" w:cs="Arial"/>
                <w:color w:val="000000"/>
                <w:sz w:val="24"/>
                <w:szCs w:val="24"/>
                <w:lang w:val="en-US"/>
              </w:rPr>
            </w:pPr>
          </w:p>
        </w:tc>
        <w:tc>
          <w:tcPr>
            <w:tcW w:w="848" w:type="dxa"/>
            <w:shd w:val="clear" w:color="auto" w:fill="auto"/>
            <w:noWrap/>
            <w:vAlign w:val="center"/>
            <w:hideMark/>
          </w:tcPr>
          <w:p w:rsidR="00C1490A" w:rsidRPr="00B8293F" w:rsidRDefault="00C1490A" w:rsidP="00B8293F">
            <w:pPr>
              <w:spacing w:after="0" w:line="240" w:lineRule="auto"/>
              <w:jc w:val="center"/>
              <w:rPr>
                <w:rFonts w:ascii="Arial" w:eastAsia="Times New Roman" w:hAnsi="Arial" w:cs="Arial"/>
                <w:color w:val="000000"/>
                <w:sz w:val="24"/>
                <w:szCs w:val="24"/>
                <w:lang w:val="en-US"/>
              </w:rPr>
            </w:pPr>
            <w:r w:rsidRPr="00B8293F">
              <w:rPr>
                <w:rFonts w:ascii="Arial" w:eastAsia="Times New Roman" w:hAnsi="Arial" w:cs="Arial"/>
                <w:color w:val="000000"/>
                <w:sz w:val="24"/>
                <w:szCs w:val="24"/>
              </w:rPr>
              <w:t>V</w:t>
            </w:r>
          </w:p>
        </w:tc>
        <w:tc>
          <w:tcPr>
            <w:tcW w:w="894"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204038</w:t>
            </w:r>
          </w:p>
        </w:tc>
        <w:tc>
          <w:tcPr>
            <w:tcW w:w="899"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164303</w:t>
            </w:r>
          </w:p>
        </w:tc>
        <w:tc>
          <w:tcPr>
            <w:tcW w:w="900"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204952</w:t>
            </w:r>
          </w:p>
        </w:tc>
        <w:tc>
          <w:tcPr>
            <w:tcW w:w="903"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176381</w:t>
            </w:r>
          </w:p>
        </w:tc>
        <w:tc>
          <w:tcPr>
            <w:tcW w:w="892"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154742</w:t>
            </w:r>
          </w:p>
        </w:tc>
        <w:tc>
          <w:tcPr>
            <w:tcW w:w="816"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180883</w:t>
            </w:r>
          </w:p>
        </w:tc>
        <w:tc>
          <w:tcPr>
            <w:tcW w:w="816" w:type="dxa"/>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189910</w:t>
            </w:r>
          </w:p>
        </w:tc>
        <w:tc>
          <w:tcPr>
            <w:tcW w:w="1059" w:type="dxa"/>
            <w:vMerge/>
            <w:tcBorders>
              <w:right w:val="single" w:sz="8" w:space="0" w:color="auto"/>
            </w:tcBorders>
            <w:shd w:val="clear" w:color="auto" w:fill="auto"/>
            <w:noWrap/>
            <w:vAlign w:val="center"/>
          </w:tcPr>
          <w:p w:rsidR="00C1490A" w:rsidRPr="00B8293F" w:rsidRDefault="00C1490A" w:rsidP="00B8293F">
            <w:pPr>
              <w:spacing w:after="0" w:line="240" w:lineRule="auto"/>
              <w:jc w:val="center"/>
              <w:rPr>
                <w:rFonts w:ascii="Arial" w:eastAsia="Times New Roman" w:hAnsi="Arial" w:cs="Arial"/>
                <w:color w:val="000000"/>
                <w:sz w:val="24"/>
                <w:szCs w:val="24"/>
                <w:lang w:val="en-US"/>
              </w:rPr>
            </w:pPr>
          </w:p>
        </w:tc>
      </w:tr>
    </w:tbl>
    <w:p w:rsidR="00C1490A" w:rsidRPr="00B8293F" w:rsidRDefault="00C1490A" w:rsidP="00C1490A">
      <w:pPr>
        <w:spacing w:after="0" w:line="240" w:lineRule="auto"/>
        <w:rPr>
          <w:rFonts w:ascii="Arial" w:hAnsi="Arial" w:cs="Arial"/>
          <w:i/>
          <w:iCs/>
          <w:sz w:val="24"/>
          <w:szCs w:val="24"/>
        </w:rPr>
      </w:pPr>
      <w:r w:rsidRPr="00B8293F">
        <w:rPr>
          <w:rFonts w:ascii="Arial" w:hAnsi="Arial" w:cs="Arial"/>
          <w:i/>
          <w:iCs/>
          <w:sz w:val="24"/>
          <w:szCs w:val="24"/>
        </w:rPr>
        <w:t>Notă:    Q - Debit Q (m</w:t>
      </w:r>
      <w:r w:rsidRPr="00B8293F">
        <w:rPr>
          <w:rFonts w:ascii="Arial" w:hAnsi="Arial" w:cs="Arial"/>
          <w:i/>
          <w:iCs/>
          <w:sz w:val="24"/>
          <w:szCs w:val="24"/>
          <w:vertAlign w:val="superscript"/>
        </w:rPr>
        <w:t>3</w:t>
      </w:r>
      <w:r w:rsidRPr="00B8293F">
        <w:rPr>
          <w:rFonts w:ascii="Arial" w:hAnsi="Arial" w:cs="Arial"/>
          <w:i/>
          <w:iCs/>
          <w:sz w:val="24"/>
          <w:szCs w:val="24"/>
        </w:rPr>
        <w:t>/s), V - volum total (10</w:t>
      </w:r>
      <w:r w:rsidRPr="00B8293F">
        <w:rPr>
          <w:rFonts w:ascii="Arial" w:hAnsi="Arial" w:cs="Arial"/>
          <w:i/>
          <w:iCs/>
          <w:sz w:val="24"/>
          <w:szCs w:val="24"/>
          <w:vertAlign w:val="superscript"/>
        </w:rPr>
        <w:t>6</w:t>
      </w:r>
      <w:r w:rsidRPr="00B8293F">
        <w:rPr>
          <w:rFonts w:ascii="Arial" w:hAnsi="Arial" w:cs="Arial"/>
          <w:i/>
          <w:iCs/>
          <w:sz w:val="24"/>
          <w:szCs w:val="24"/>
        </w:rPr>
        <w:t>m</w:t>
      </w:r>
      <w:r w:rsidRPr="00B8293F">
        <w:rPr>
          <w:rFonts w:ascii="Arial" w:hAnsi="Arial" w:cs="Arial"/>
          <w:i/>
          <w:iCs/>
          <w:sz w:val="24"/>
          <w:szCs w:val="24"/>
          <w:vertAlign w:val="superscript"/>
        </w:rPr>
        <w:t>3</w:t>
      </w:r>
      <w:r w:rsidRPr="00B8293F">
        <w:rPr>
          <w:rFonts w:ascii="Arial" w:hAnsi="Arial" w:cs="Arial"/>
          <w:i/>
          <w:iCs/>
          <w:sz w:val="24"/>
          <w:szCs w:val="24"/>
        </w:rPr>
        <w:t>), V 1/2 - valorile reprezintă 50% din volumele scurse pe Dunăre la intrarea în țară, aferente României, cealaltă jumătate revenind Republicii Serbia</w:t>
      </w:r>
    </w:p>
    <w:p w:rsidR="00C1490A" w:rsidRPr="00B8293F" w:rsidRDefault="00C1490A" w:rsidP="00C1490A">
      <w:pPr>
        <w:spacing w:after="0" w:line="240" w:lineRule="auto"/>
        <w:rPr>
          <w:rFonts w:ascii="Arial" w:hAnsi="Arial" w:cs="Arial"/>
          <w:i/>
          <w:iCs/>
          <w:sz w:val="24"/>
          <w:szCs w:val="24"/>
        </w:rPr>
      </w:pPr>
      <w:r w:rsidRPr="00B8293F">
        <w:rPr>
          <w:rFonts w:ascii="Arial" w:hAnsi="Arial" w:cs="Arial"/>
          <w:i/>
          <w:iCs/>
          <w:sz w:val="24"/>
          <w:szCs w:val="24"/>
        </w:rPr>
        <w:t>* - ca urmare a neconcludenței datelor de la stația hidrometrică Isaccea, resursa de apă a Dunării, la iesirea din țară, a fost determinată pentru anul 2020 prin însumarea stocului de apă determinat la stația hidrometrică Grindu de pe fluviul Dunărea cu însumarea stocului de apă al râului Prut determinat la stația hidrometrică Oancea.</w:t>
      </w:r>
    </w:p>
    <w:p w:rsidR="00C1490A" w:rsidRPr="00B8293F" w:rsidRDefault="00C1490A" w:rsidP="00C1490A">
      <w:pPr>
        <w:spacing w:after="0" w:line="240" w:lineRule="auto"/>
        <w:rPr>
          <w:rFonts w:ascii="Arial" w:hAnsi="Arial" w:cs="Arial"/>
          <w:i/>
          <w:iCs/>
          <w:sz w:val="24"/>
          <w:szCs w:val="24"/>
        </w:rPr>
      </w:pP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Față de volumul total al resursei oferite de râurile interioare (39354*10</w:t>
      </w:r>
      <w:r w:rsidRPr="00B8293F">
        <w:rPr>
          <w:rFonts w:ascii="Arial" w:hAnsi="Arial" w:cs="Arial"/>
          <w:sz w:val="24"/>
          <w:szCs w:val="24"/>
          <w:vertAlign w:val="superscript"/>
        </w:rPr>
        <w:t>6</w:t>
      </w:r>
      <w:r w:rsidRPr="00B8293F">
        <w:rPr>
          <w:rFonts w:ascii="Arial" w:hAnsi="Arial" w:cs="Arial"/>
          <w:sz w:val="24"/>
          <w:szCs w:val="24"/>
        </w:rPr>
        <w:t>m</w:t>
      </w:r>
      <w:r w:rsidRPr="00B8293F">
        <w:rPr>
          <w:rFonts w:ascii="Arial" w:hAnsi="Arial" w:cs="Arial"/>
          <w:sz w:val="24"/>
          <w:szCs w:val="24"/>
          <w:vertAlign w:val="superscript"/>
        </w:rPr>
        <w:t>3</w:t>
      </w:r>
      <w:r w:rsidRPr="00B8293F">
        <w:rPr>
          <w:rFonts w:ascii="Arial" w:hAnsi="Arial" w:cs="Arial"/>
          <w:sz w:val="24"/>
          <w:szCs w:val="24"/>
        </w:rPr>
        <w:t>), la ieșirea din țară (s.h. Isaccea), Dunărea a avut un volum scurs de circa 5 ori mai mare (189910*10</w:t>
      </w:r>
      <w:r w:rsidRPr="00B8293F">
        <w:rPr>
          <w:rFonts w:ascii="Arial" w:hAnsi="Arial" w:cs="Arial"/>
          <w:sz w:val="24"/>
          <w:szCs w:val="24"/>
          <w:vertAlign w:val="superscript"/>
        </w:rPr>
        <w:t xml:space="preserve">6 </w:t>
      </w:r>
      <w:r w:rsidRPr="00B8293F">
        <w:rPr>
          <w:rFonts w:ascii="Arial" w:hAnsi="Arial" w:cs="Arial"/>
          <w:sz w:val="24"/>
          <w:szCs w:val="24"/>
        </w:rPr>
        <w:t>m</w:t>
      </w:r>
      <w:r w:rsidRPr="00B8293F">
        <w:rPr>
          <w:rFonts w:ascii="Arial" w:hAnsi="Arial" w:cs="Arial"/>
          <w:sz w:val="24"/>
          <w:szCs w:val="24"/>
          <w:vertAlign w:val="superscript"/>
        </w:rPr>
        <w:t>3</w:t>
      </w:r>
      <w:r w:rsidRPr="00B8293F">
        <w:rPr>
          <w:rFonts w:ascii="Arial" w:hAnsi="Arial" w:cs="Arial"/>
          <w:sz w:val="24"/>
          <w:szCs w:val="24"/>
        </w:rPr>
        <w:t>).</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Resursa considerabilă pe care o reprezintă fluviul Dunărea este însă puțin accesibilă din cauza poluării apelor fluviului și a excentricității poziției sale față de utilizatorii potențiali din România.</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Resursa medie la nivelul României este de circa 0,165 mil. m</w:t>
      </w:r>
      <w:r w:rsidRPr="00B8293F">
        <w:rPr>
          <w:rFonts w:ascii="Arial" w:hAnsi="Arial" w:cs="Arial"/>
          <w:sz w:val="24"/>
          <w:szCs w:val="24"/>
          <w:vertAlign w:val="superscript"/>
        </w:rPr>
        <w:t>3</w:t>
      </w:r>
      <w:r w:rsidRPr="00B8293F">
        <w:rPr>
          <w:rFonts w:ascii="Arial" w:hAnsi="Arial" w:cs="Arial"/>
          <w:sz w:val="24"/>
          <w:szCs w:val="24"/>
        </w:rPr>
        <w:t>/km</w:t>
      </w:r>
      <w:r w:rsidRPr="00B8293F">
        <w:rPr>
          <w:rFonts w:ascii="Arial" w:hAnsi="Arial" w:cs="Arial"/>
          <w:sz w:val="24"/>
          <w:szCs w:val="24"/>
          <w:vertAlign w:val="superscript"/>
        </w:rPr>
        <w:t>2</w:t>
      </w:r>
      <w:r w:rsidRPr="00B8293F">
        <w:rPr>
          <w:rFonts w:ascii="Arial" w:hAnsi="Arial" w:cs="Arial"/>
          <w:sz w:val="24"/>
          <w:szCs w:val="24"/>
        </w:rPr>
        <w:t>. În anul 2021 cea mai bogată reusursă de apă a revenit bazinelor Tisa,  Someș, Crișuri, Mureș, cele din spațiul hidrografic Banat, Jiu, Olt, Argeș, Ialomița, în timp ce râurile corespunzătoare spațiului Dobrogrean sunt cele mai deficitare din acest punct de vedere.</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De asemenea, România a avut la nivelul anului 2021 o resursă specifică din râurile interioare de 2071m</w:t>
      </w:r>
      <w:r w:rsidRPr="00B8293F">
        <w:rPr>
          <w:rFonts w:ascii="Arial" w:hAnsi="Arial" w:cs="Arial"/>
          <w:sz w:val="24"/>
          <w:szCs w:val="24"/>
          <w:vertAlign w:val="superscript"/>
        </w:rPr>
        <w:t>3</w:t>
      </w:r>
      <w:r w:rsidRPr="00B8293F">
        <w:rPr>
          <w:rFonts w:ascii="Arial" w:hAnsi="Arial" w:cs="Arial"/>
          <w:sz w:val="24"/>
          <w:szCs w:val="24"/>
        </w:rPr>
        <w:t xml:space="preserve">/loc./an raportat la 19003002mil loc (populația României în anul 2021 conform </w:t>
      </w:r>
      <w:hyperlink r:id="rId10" w:history="1">
        <w:r w:rsidRPr="00B8293F">
          <w:rPr>
            <w:rStyle w:val="Hyperlink"/>
            <w:rFonts w:ascii="Arial" w:hAnsi="Arial" w:cs="Arial"/>
            <w:sz w:val="24"/>
            <w:szCs w:val="24"/>
          </w:rPr>
          <w:t>https://www.worldometers.info/world-population/romania-population/</w:t>
        </w:r>
      </w:hyperlink>
      <w:r w:rsidRPr="00B8293F">
        <w:rPr>
          <w:rFonts w:ascii="Arial" w:hAnsi="Arial" w:cs="Arial"/>
          <w:sz w:val="24"/>
          <w:szCs w:val="24"/>
        </w:rPr>
        <w:t>).</w:t>
      </w:r>
    </w:p>
    <w:p w:rsidR="00C1490A" w:rsidRPr="00B8293F" w:rsidRDefault="00C1490A" w:rsidP="00FD3D76">
      <w:pPr>
        <w:tabs>
          <w:tab w:val="left" w:pos="1701"/>
          <w:tab w:val="left" w:pos="2535"/>
        </w:tabs>
        <w:spacing w:after="0" w:line="240" w:lineRule="auto"/>
        <w:ind w:firstLine="709"/>
        <w:jc w:val="both"/>
        <w:rPr>
          <w:rFonts w:ascii="Arial" w:hAnsi="Arial" w:cs="Arial"/>
          <w:sz w:val="24"/>
          <w:szCs w:val="24"/>
        </w:rPr>
      </w:pPr>
      <w:r w:rsidRPr="00B8293F">
        <w:rPr>
          <w:rFonts w:ascii="Arial" w:hAnsi="Arial" w:cs="Arial"/>
          <w:sz w:val="24"/>
          <w:szCs w:val="24"/>
          <w:lang w:val="en-US"/>
        </w:rPr>
        <w:t>Extinz</w:t>
      </w:r>
      <w:r w:rsidRPr="00B8293F">
        <w:rPr>
          <w:rFonts w:ascii="Arial" w:hAnsi="Arial" w:cs="Arial"/>
          <w:sz w:val="24"/>
          <w:szCs w:val="24"/>
        </w:rPr>
        <w:t>ând analiza, a fost calculată, resursa specifică pe fiecare bazin hidrografic analizat. Astfel, prin tehnici GIS, a fost determinată populația corespunzătoare fiecărui bazin hidrografic pe baza shp-ului ”Localitățile”, câmpul ”Populația” realizat pe baza datelor obținute în urma Recensământului Populației și al Locuinței din anul 2011 (</w:t>
      </w:r>
      <w:hyperlink r:id="rId11" w:history="1">
        <w:r w:rsidRPr="00B8293F">
          <w:rPr>
            <w:rStyle w:val="Hyperlink"/>
            <w:rFonts w:ascii="Arial" w:hAnsi="Arial" w:cs="Arial"/>
            <w:sz w:val="24"/>
            <w:szCs w:val="24"/>
          </w:rPr>
          <w:t>http://www.recensamantromania.ro/</w:t>
        </w:r>
      </w:hyperlink>
      <w:r w:rsidRPr="00B8293F">
        <w:rPr>
          <w:rFonts w:ascii="Arial" w:hAnsi="Arial" w:cs="Arial"/>
          <w:sz w:val="24"/>
          <w:szCs w:val="24"/>
        </w:rPr>
        <w:t xml:space="preserve">). </w:t>
      </w:r>
    </w:p>
    <w:p w:rsidR="00C1490A" w:rsidRDefault="00C1490A" w:rsidP="00C1490A">
      <w:pPr>
        <w:tabs>
          <w:tab w:val="left" w:pos="1701"/>
          <w:tab w:val="left" w:pos="2535"/>
        </w:tabs>
        <w:spacing w:after="0" w:line="240" w:lineRule="auto"/>
        <w:ind w:firstLine="709"/>
        <w:rPr>
          <w:rFonts w:ascii="Arial" w:hAnsi="Arial" w:cs="Arial"/>
          <w:sz w:val="24"/>
          <w:szCs w:val="24"/>
        </w:rPr>
      </w:pPr>
      <w:r w:rsidRPr="00B8293F">
        <w:rPr>
          <w:rFonts w:ascii="Arial" w:hAnsi="Arial" w:cs="Arial"/>
          <w:sz w:val="24"/>
          <w:szCs w:val="24"/>
        </w:rPr>
        <w:t>Datele obținute sunt prezentate în tabelul nr. II.1.3.</w:t>
      </w:r>
    </w:p>
    <w:p w:rsidR="00FD3D76" w:rsidRDefault="00FD3D76" w:rsidP="00C1490A">
      <w:pPr>
        <w:tabs>
          <w:tab w:val="left" w:pos="1701"/>
          <w:tab w:val="left" w:pos="2535"/>
        </w:tabs>
        <w:spacing w:after="0" w:line="240" w:lineRule="auto"/>
        <w:ind w:firstLine="709"/>
        <w:rPr>
          <w:rFonts w:ascii="Arial" w:hAnsi="Arial" w:cs="Arial"/>
          <w:sz w:val="24"/>
          <w:szCs w:val="24"/>
        </w:rPr>
      </w:pPr>
    </w:p>
    <w:p w:rsidR="00FD3D76" w:rsidRDefault="00FD3D76" w:rsidP="00C1490A">
      <w:pPr>
        <w:tabs>
          <w:tab w:val="left" w:pos="1701"/>
          <w:tab w:val="left" w:pos="2535"/>
        </w:tabs>
        <w:spacing w:after="0" w:line="240" w:lineRule="auto"/>
        <w:ind w:firstLine="709"/>
        <w:rPr>
          <w:rFonts w:ascii="Arial" w:hAnsi="Arial" w:cs="Arial"/>
          <w:sz w:val="24"/>
          <w:szCs w:val="24"/>
        </w:rPr>
      </w:pPr>
    </w:p>
    <w:p w:rsidR="00FD3D76" w:rsidRDefault="00FD3D76" w:rsidP="00C1490A">
      <w:pPr>
        <w:tabs>
          <w:tab w:val="left" w:pos="1701"/>
          <w:tab w:val="left" w:pos="2535"/>
        </w:tabs>
        <w:spacing w:after="0" w:line="240" w:lineRule="auto"/>
        <w:ind w:firstLine="709"/>
        <w:rPr>
          <w:rFonts w:ascii="Arial" w:hAnsi="Arial" w:cs="Arial"/>
          <w:sz w:val="24"/>
          <w:szCs w:val="24"/>
        </w:rPr>
      </w:pPr>
    </w:p>
    <w:p w:rsidR="00FD3D76" w:rsidRDefault="00FD3D76" w:rsidP="00C1490A">
      <w:pPr>
        <w:tabs>
          <w:tab w:val="left" w:pos="1701"/>
          <w:tab w:val="left" w:pos="2535"/>
        </w:tabs>
        <w:spacing w:after="0" w:line="240" w:lineRule="auto"/>
        <w:ind w:firstLine="709"/>
        <w:rPr>
          <w:rFonts w:ascii="Arial" w:hAnsi="Arial" w:cs="Arial"/>
          <w:sz w:val="24"/>
          <w:szCs w:val="24"/>
        </w:rPr>
      </w:pPr>
    </w:p>
    <w:p w:rsidR="00FD3D76" w:rsidRDefault="00FD3D76" w:rsidP="00C1490A">
      <w:pPr>
        <w:tabs>
          <w:tab w:val="left" w:pos="1701"/>
          <w:tab w:val="left" w:pos="2535"/>
        </w:tabs>
        <w:spacing w:after="0" w:line="240" w:lineRule="auto"/>
        <w:ind w:firstLine="709"/>
        <w:rPr>
          <w:rFonts w:ascii="Arial" w:hAnsi="Arial" w:cs="Arial"/>
          <w:sz w:val="24"/>
          <w:szCs w:val="24"/>
        </w:rPr>
      </w:pPr>
    </w:p>
    <w:p w:rsidR="00FD3D76" w:rsidRDefault="00FD3D76" w:rsidP="00C1490A">
      <w:pPr>
        <w:tabs>
          <w:tab w:val="left" w:pos="1701"/>
          <w:tab w:val="left" w:pos="2535"/>
        </w:tabs>
        <w:spacing w:after="0" w:line="240" w:lineRule="auto"/>
        <w:ind w:firstLine="709"/>
        <w:rPr>
          <w:rFonts w:ascii="Arial" w:hAnsi="Arial" w:cs="Arial"/>
          <w:sz w:val="24"/>
          <w:szCs w:val="24"/>
        </w:rPr>
      </w:pPr>
    </w:p>
    <w:p w:rsidR="00606B14" w:rsidRDefault="00606B14" w:rsidP="00C1490A">
      <w:pPr>
        <w:tabs>
          <w:tab w:val="left" w:pos="1701"/>
          <w:tab w:val="left" w:pos="2535"/>
        </w:tabs>
        <w:spacing w:after="0" w:line="240" w:lineRule="auto"/>
        <w:ind w:firstLine="709"/>
        <w:rPr>
          <w:rFonts w:ascii="Arial" w:hAnsi="Arial" w:cs="Arial"/>
          <w:sz w:val="24"/>
          <w:szCs w:val="24"/>
        </w:rPr>
      </w:pPr>
    </w:p>
    <w:p w:rsidR="00606B14" w:rsidRPr="00B8293F" w:rsidRDefault="00606B14" w:rsidP="00C1490A">
      <w:pPr>
        <w:tabs>
          <w:tab w:val="left" w:pos="1701"/>
          <w:tab w:val="left" w:pos="2535"/>
        </w:tabs>
        <w:spacing w:after="0" w:line="240" w:lineRule="auto"/>
        <w:ind w:firstLine="709"/>
        <w:rPr>
          <w:rFonts w:ascii="Arial" w:hAnsi="Arial" w:cs="Arial"/>
          <w:sz w:val="24"/>
          <w:szCs w:val="24"/>
        </w:rPr>
      </w:pPr>
    </w:p>
    <w:p w:rsidR="00C1490A" w:rsidRPr="00B8293F" w:rsidRDefault="00C1490A" w:rsidP="00C1490A">
      <w:pPr>
        <w:tabs>
          <w:tab w:val="left" w:pos="1701"/>
          <w:tab w:val="left" w:pos="2535"/>
        </w:tabs>
        <w:spacing w:after="0" w:line="240" w:lineRule="auto"/>
        <w:ind w:firstLine="709"/>
        <w:rPr>
          <w:rFonts w:ascii="Arial" w:hAnsi="Arial" w:cs="Arial"/>
          <w:sz w:val="24"/>
          <w:szCs w:val="24"/>
        </w:rPr>
      </w:pPr>
    </w:p>
    <w:p w:rsidR="00C1490A" w:rsidRPr="00B8293F" w:rsidRDefault="00C1490A" w:rsidP="00C1490A">
      <w:pPr>
        <w:tabs>
          <w:tab w:val="left" w:pos="1701"/>
          <w:tab w:val="left" w:pos="2535"/>
        </w:tabs>
        <w:spacing w:after="0" w:line="240" w:lineRule="auto"/>
        <w:jc w:val="center"/>
        <w:rPr>
          <w:rFonts w:ascii="Arial" w:hAnsi="Arial" w:cs="Arial"/>
          <w:i/>
          <w:iCs/>
          <w:sz w:val="24"/>
          <w:szCs w:val="24"/>
        </w:rPr>
      </w:pPr>
      <w:r w:rsidRPr="00B8293F">
        <w:rPr>
          <w:rFonts w:ascii="Arial" w:hAnsi="Arial" w:cs="Arial"/>
          <w:i/>
          <w:iCs/>
          <w:sz w:val="24"/>
          <w:szCs w:val="24"/>
        </w:rPr>
        <w:lastRenderedPageBreak/>
        <w:t>Tabelul nr. II.1.3. Resursa specifică calculată pe bazine hidografice pe baza datelor din Recensământul Populației și Locuinței din anul 2011</w:t>
      </w:r>
    </w:p>
    <w:tbl>
      <w:tblPr>
        <w:tblW w:w="9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3"/>
        <w:gridCol w:w="1017"/>
        <w:gridCol w:w="1694"/>
        <w:gridCol w:w="2316"/>
        <w:gridCol w:w="2283"/>
      </w:tblGrid>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b/>
                <w:bCs/>
                <w:sz w:val="24"/>
                <w:szCs w:val="24"/>
                <w:lang w:val="en-US"/>
              </w:rPr>
            </w:pPr>
            <w:r w:rsidRPr="00B8293F">
              <w:rPr>
                <w:rFonts w:ascii="Arial" w:eastAsia="Times New Roman" w:hAnsi="Arial" w:cs="Arial"/>
                <w:b/>
                <w:bCs/>
                <w:color w:val="000000"/>
                <w:sz w:val="24"/>
                <w:szCs w:val="24"/>
              </w:rPr>
              <w:t>Bazinul hidrografic</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b/>
                <w:bCs/>
                <w:sz w:val="24"/>
                <w:szCs w:val="24"/>
                <w:lang w:val="en-US"/>
              </w:rPr>
            </w:pPr>
            <w:r w:rsidRPr="00B8293F">
              <w:rPr>
                <w:rFonts w:ascii="Arial" w:eastAsia="Times New Roman" w:hAnsi="Arial" w:cs="Arial"/>
                <w:b/>
                <w:bCs/>
                <w:color w:val="000000"/>
                <w:sz w:val="24"/>
                <w:szCs w:val="24"/>
              </w:rPr>
              <w:t>F (km</w:t>
            </w:r>
            <w:r w:rsidRPr="00B8293F">
              <w:rPr>
                <w:rFonts w:ascii="Arial" w:eastAsia="Times New Roman" w:hAnsi="Arial" w:cs="Arial"/>
                <w:b/>
                <w:bCs/>
                <w:color w:val="000000"/>
                <w:sz w:val="24"/>
                <w:szCs w:val="24"/>
                <w:vertAlign w:val="superscript"/>
              </w:rPr>
              <w:t>2</w:t>
            </w:r>
            <w:r w:rsidRPr="00B8293F">
              <w:rPr>
                <w:rFonts w:ascii="Arial" w:eastAsia="Times New Roman" w:hAnsi="Arial" w:cs="Arial"/>
                <w:b/>
                <w:bCs/>
                <w:color w:val="000000"/>
                <w:sz w:val="24"/>
                <w:szCs w:val="24"/>
              </w:rPr>
              <w:t>)</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b/>
                <w:bCs/>
                <w:sz w:val="24"/>
                <w:szCs w:val="24"/>
                <w:lang w:val="en-US"/>
              </w:rPr>
            </w:pPr>
            <w:r w:rsidRPr="00B8293F">
              <w:rPr>
                <w:rFonts w:ascii="Arial" w:hAnsi="Arial" w:cs="Arial"/>
                <w:b/>
                <w:bCs/>
                <w:sz w:val="24"/>
                <w:szCs w:val="24"/>
                <w:lang w:val="en-US"/>
              </w:rPr>
              <w:t>Volum med anual</w:t>
            </w:r>
          </w:p>
          <w:p w:rsidR="00C1490A" w:rsidRPr="00B8293F" w:rsidRDefault="00C1490A" w:rsidP="00B8293F">
            <w:pPr>
              <w:tabs>
                <w:tab w:val="left" w:pos="1701"/>
                <w:tab w:val="left" w:pos="2535"/>
              </w:tabs>
              <w:spacing w:after="0" w:line="240" w:lineRule="auto"/>
              <w:jc w:val="center"/>
              <w:rPr>
                <w:rFonts w:ascii="Arial" w:hAnsi="Arial" w:cs="Arial"/>
                <w:b/>
                <w:bCs/>
                <w:sz w:val="24"/>
                <w:szCs w:val="24"/>
                <w:lang w:val="en-US"/>
              </w:rPr>
            </w:pPr>
            <w:r w:rsidRPr="00B8293F">
              <w:rPr>
                <w:rFonts w:ascii="Arial" w:hAnsi="Arial" w:cs="Arial"/>
                <w:b/>
                <w:bCs/>
                <w:sz w:val="24"/>
                <w:szCs w:val="24"/>
                <w:lang w:val="en-US"/>
              </w:rPr>
              <w:t>(mil.m</w:t>
            </w:r>
            <w:r w:rsidRPr="00B8293F">
              <w:rPr>
                <w:rFonts w:ascii="Arial" w:hAnsi="Arial" w:cs="Arial"/>
                <w:b/>
                <w:bCs/>
                <w:sz w:val="24"/>
                <w:szCs w:val="24"/>
                <w:vertAlign w:val="superscript"/>
                <w:lang w:val="en-US"/>
              </w:rPr>
              <w:t>3</w:t>
            </w:r>
            <w:r w:rsidRPr="00B8293F">
              <w:rPr>
                <w:rFonts w:ascii="Arial" w:hAnsi="Arial" w:cs="Arial"/>
                <w:b/>
                <w:bCs/>
                <w:sz w:val="24"/>
                <w:szCs w:val="24"/>
                <w:lang w:val="en-US"/>
              </w:rPr>
              <w:t>)</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b/>
                <w:bCs/>
                <w:sz w:val="24"/>
                <w:szCs w:val="24"/>
                <w:lang w:val="en-US"/>
              </w:rPr>
            </w:pPr>
            <w:r w:rsidRPr="00B8293F">
              <w:rPr>
                <w:rFonts w:ascii="Arial" w:hAnsi="Arial" w:cs="Arial"/>
                <w:b/>
                <w:bCs/>
                <w:sz w:val="24"/>
                <w:szCs w:val="24"/>
                <w:lang w:val="en-US"/>
              </w:rPr>
              <w:t>Nr. locuitori (2011)</w:t>
            </w:r>
          </w:p>
        </w:tc>
        <w:tc>
          <w:tcPr>
            <w:tcW w:w="228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b/>
                <w:bCs/>
                <w:sz w:val="24"/>
                <w:szCs w:val="24"/>
                <w:lang w:val="en-US"/>
              </w:rPr>
            </w:pPr>
            <w:r w:rsidRPr="00B8293F">
              <w:rPr>
                <w:rFonts w:ascii="Arial" w:hAnsi="Arial" w:cs="Arial"/>
                <w:b/>
                <w:bCs/>
                <w:sz w:val="24"/>
                <w:szCs w:val="24"/>
                <w:lang w:val="en-US"/>
              </w:rPr>
              <w:t>Resursa specifică teoretică (</w:t>
            </w:r>
            <w:r w:rsidRPr="00B8293F">
              <w:rPr>
                <w:rFonts w:ascii="Arial" w:hAnsi="Arial" w:cs="Arial"/>
                <w:b/>
                <w:bCs/>
                <w:sz w:val="24"/>
                <w:szCs w:val="24"/>
              </w:rPr>
              <w:t>m</w:t>
            </w:r>
            <w:r w:rsidRPr="00B8293F">
              <w:rPr>
                <w:rFonts w:ascii="Arial" w:hAnsi="Arial" w:cs="Arial"/>
                <w:b/>
                <w:bCs/>
                <w:sz w:val="24"/>
                <w:szCs w:val="24"/>
                <w:vertAlign w:val="superscript"/>
              </w:rPr>
              <w:t>3</w:t>
            </w:r>
            <w:r w:rsidRPr="00B8293F">
              <w:rPr>
                <w:rFonts w:ascii="Arial" w:hAnsi="Arial" w:cs="Arial"/>
                <w:b/>
                <w:bCs/>
                <w:sz w:val="24"/>
                <w:szCs w:val="24"/>
              </w:rPr>
              <w:t>/loc./an)</w:t>
            </w:r>
          </w:p>
        </w:tc>
      </w:tr>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eastAsia="Times New Roman" w:hAnsi="Arial" w:cs="Arial"/>
                <w:color w:val="000000"/>
                <w:sz w:val="24"/>
                <w:szCs w:val="24"/>
              </w:rPr>
              <w:t>TISA</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4540</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2327</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300747</w:t>
            </w:r>
          </w:p>
        </w:tc>
        <w:tc>
          <w:tcPr>
            <w:tcW w:w="2283" w:type="dxa"/>
            <w:shd w:val="clear" w:color="auto" w:fill="auto"/>
            <w:vAlign w:val="bottom"/>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7737</w:t>
            </w:r>
          </w:p>
        </w:tc>
      </w:tr>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eastAsia="Times New Roman" w:hAnsi="Arial" w:cs="Arial"/>
                <w:color w:val="000000"/>
                <w:sz w:val="24"/>
                <w:szCs w:val="24"/>
              </w:rPr>
              <w:t>SOMEȘ</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17840</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4290</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1505499</w:t>
            </w:r>
          </w:p>
        </w:tc>
        <w:tc>
          <w:tcPr>
            <w:tcW w:w="2283" w:type="dxa"/>
            <w:shd w:val="clear" w:color="auto" w:fill="auto"/>
            <w:vAlign w:val="bottom"/>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2850</w:t>
            </w:r>
          </w:p>
        </w:tc>
      </w:tr>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eastAsia="Times New Roman" w:hAnsi="Arial" w:cs="Arial"/>
                <w:color w:val="000000"/>
                <w:sz w:val="24"/>
                <w:szCs w:val="24"/>
              </w:rPr>
              <w:t>CRIȘURI</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14860</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2762</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853134</w:t>
            </w:r>
          </w:p>
        </w:tc>
        <w:tc>
          <w:tcPr>
            <w:tcW w:w="2283" w:type="dxa"/>
            <w:shd w:val="clear" w:color="auto" w:fill="auto"/>
            <w:vAlign w:val="bottom"/>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3237</w:t>
            </w:r>
          </w:p>
        </w:tc>
      </w:tr>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eastAsia="Times New Roman" w:hAnsi="Arial" w:cs="Arial"/>
                <w:color w:val="000000"/>
                <w:sz w:val="24"/>
                <w:szCs w:val="24"/>
              </w:rPr>
              <w:t>MUREȘ</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29390</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5090</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1902949</w:t>
            </w:r>
          </w:p>
        </w:tc>
        <w:tc>
          <w:tcPr>
            <w:tcW w:w="2283" w:type="dxa"/>
            <w:shd w:val="clear" w:color="auto" w:fill="auto"/>
            <w:vAlign w:val="bottom"/>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2675</w:t>
            </w:r>
          </w:p>
        </w:tc>
      </w:tr>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eastAsia="Times New Roman" w:hAnsi="Arial" w:cs="Arial"/>
                <w:color w:val="000000"/>
                <w:sz w:val="24"/>
                <w:szCs w:val="24"/>
              </w:rPr>
              <w:t>BEGA – TIMIȘ - CARAȘ</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13060</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3103</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874429</w:t>
            </w:r>
          </w:p>
        </w:tc>
        <w:tc>
          <w:tcPr>
            <w:tcW w:w="2283" w:type="dxa"/>
            <w:shd w:val="clear" w:color="auto" w:fill="auto"/>
            <w:vAlign w:val="bottom"/>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3549</w:t>
            </w:r>
          </w:p>
        </w:tc>
      </w:tr>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eastAsia="Times New Roman" w:hAnsi="Arial" w:cs="Arial"/>
                <w:color w:val="000000"/>
                <w:sz w:val="24"/>
                <w:szCs w:val="24"/>
              </w:rPr>
              <w:t>NERA - CERNA</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2740</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1115</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52651</w:t>
            </w:r>
          </w:p>
        </w:tc>
        <w:tc>
          <w:tcPr>
            <w:tcW w:w="2283" w:type="dxa"/>
            <w:shd w:val="clear" w:color="auto" w:fill="auto"/>
            <w:vAlign w:val="bottom"/>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21177</w:t>
            </w:r>
          </w:p>
        </w:tc>
      </w:tr>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eastAsia="Times New Roman" w:hAnsi="Arial" w:cs="Arial"/>
                <w:color w:val="000000"/>
                <w:sz w:val="24"/>
                <w:szCs w:val="24"/>
              </w:rPr>
              <w:t>JIU</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10080</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3901</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929184</w:t>
            </w:r>
          </w:p>
        </w:tc>
        <w:tc>
          <w:tcPr>
            <w:tcW w:w="2283" w:type="dxa"/>
            <w:shd w:val="clear" w:color="auto" w:fill="auto"/>
            <w:vAlign w:val="bottom"/>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4198</w:t>
            </w:r>
          </w:p>
        </w:tc>
      </w:tr>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OLT</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24050</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5960</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1892452</w:t>
            </w:r>
          </w:p>
        </w:tc>
        <w:tc>
          <w:tcPr>
            <w:tcW w:w="2283" w:type="dxa"/>
            <w:shd w:val="clear" w:color="auto" w:fill="auto"/>
            <w:vAlign w:val="bottom"/>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3149</w:t>
            </w:r>
          </w:p>
        </w:tc>
      </w:tr>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VEDEA</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5430</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307</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360155</w:t>
            </w:r>
          </w:p>
        </w:tc>
        <w:tc>
          <w:tcPr>
            <w:tcW w:w="2283" w:type="dxa"/>
            <w:shd w:val="clear" w:color="auto" w:fill="auto"/>
            <w:vAlign w:val="bottom"/>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852</w:t>
            </w:r>
          </w:p>
        </w:tc>
      </w:tr>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ARGEȘ</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12550</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2221</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3379628</w:t>
            </w:r>
          </w:p>
        </w:tc>
        <w:tc>
          <w:tcPr>
            <w:tcW w:w="2283" w:type="dxa"/>
            <w:shd w:val="clear" w:color="auto" w:fill="auto"/>
            <w:vAlign w:val="bottom"/>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657</w:t>
            </w:r>
          </w:p>
        </w:tc>
      </w:tr>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IALOMIȚA</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10350</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1432</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1279917</w:t>
            </w:r>
          </w:p>
        </w:tc>
        <w:tc>
          <w:tcPr>
            <w:tcW w:w="2283" w:type="dxa"/>
            <w:shd w:val="clear" w:color="auto" w:fill="auto"/>
            <w:vAlign w:val="bottom"/>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1119</w:t>
            </w:r>
          </w:p>
        </w:tc>
      </w:tr>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DUNĂREA</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34141</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943</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1537039</w:t>
            </w:r>
          </w:p>
        </w:tc>
        <w:tc>
          <w:tcPr>
            <w:tcW w:w="2283" w:type="dxa"/>
            <w:shd w:val="clear" w:color="auto" w:fill="auto"/>
            <w:vAlign w:val="bottom"/>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614</w:t>
            </w:r>
          </w:p>
        </w:tc>
      </w:tr>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SIRET</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42890</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5560</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3563802</w:t>
            </w:r>
          </w:p>
        </w:tc>
        <w:tc>
          <w:tcPr>
            <w:tcW w:w="2283" w:type="dxa"/>
            <w:shd w:val="clear" w:color="auto" w:fill="auto"/>
            <w:vAlign w:val="bottom"/>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1560</w:t>
            </w:r>
          </w:p>
        </w:tc>
      </w:tr>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PRUT</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10990</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301</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1072436</w:t>
            </w:r>
          </w:p>
        </w:tc>
        <w:tc>
          <w:tcPr>
            <w:tcW w:w="2283" w:type="dxa"/>
            <w:shd w:val="clear" w:color="auto" w:fill="auto"/>
            <w:vAlign w:val="bottom"/>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281</w:t>
            </w:r>
          </w:p>
        </w:tc>
      </w:tr>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DOBROGEA</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5480</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42</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617565</w:t>
            </w:r>
          </w:p>
        </w:tc>
        <w:tc>
          <w:tcPr>
            <w:tcW w:w="2283" w:type="dxa"/>
            <w:shd w:val="clear" w:color="auto" w:fill="auto"/>
            <w:vAlign w:val="bottom"/>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68,0</w:t>
            </w:r>
          </w:p>
        </w:tc>
      </w:tr>
      <w:tr w:rsidR="00C1490A" w:rsidRPr="00B8293F" w:rsidTr="00B8293F">
        <w:tc>
          <w:tcPr>
            <w:tcW w:w="255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eastAsia="Times New Roman" w:hAnsi="Arial" w:cs="Arial"/>
                <w:color w:val="000000"/>
                <w:sz w:val="24"/>
                <w:szCs w:val="24"/>
              </w:rPr>
            </w:pPr>
            <w:r w:rsidRPr="00B8293F">
              <w:rPr>
                <w:rFonts w:ascii="Arial" w:eastAsia="Times New Roman" w:hAnsi="Arial" w:cs="Arial"/>
                <w:color w:val="000000"/>
                <w:sz w:val="24"/>
                <w:szCs w:val="24"/>
              </w:rPr>
              <w:t>Total România fără fluviul Dunărea</w:t>
            </w:r>
          </w:p>
        </w:tc>
        <w:tc>
          <w:tcPr>
            <w:tcW w:w="1017"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238391</w:t>
            </w:r>
          </w:p>
        </w:tc>
        <w:tc>
          <w:tcPr>
            <w:tcW w:w="1694"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39354</w:t>
            </w:r>
          </w:p>
        </w:tc>
        <w:tc>
          <w:tcPr>
            <w:tcW w:w="2316"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20121587</w:t>
            </w:r>
          </w:p>
        </w:tc>
        <w:tc>
          <w:tcPr>
            <w:tcW w:w="2283" w:type="dxa"/>
            <w:shd w:val="clear" w:color="auto" w:fill="auto"/>
            <w:vAlign w:val="center"/>
          </w:tcPr>
          <w:p w:rsidR="00C1490A" w:rsidRPr="00B8293F" w:rsidRDefault="00C1490A" w:rsidP="00B8293F">
            <w:pPr>
              <w:tabs>
                <w:tab w:val="left" w:pos="1701"/>
                <w:tab w:val="left" w:pos="2535"/>
              </w:tabs>
              <w:spacing w:after="0" w:line="240" w:lineRule="auto"/>
              <w:jc w:val="center"/>
              <w:rPr>
                <w:rFonts w:ascii="Arial" w:hAnsi="Arial" w:cs="Arial"/>
                <w:sz w:val="24"/>
                <w:szCs w:val="24"/>
                <w:lang w:val="en-US"/>
              </w:rPr>
            </w:pPr>
            <w:r w:rsidRPr="00B8293F">
              <w:rPr>
                <w:rFonts w:ascii="Arial" w:hAnsi="Arial" w:cs="Arial"/>
                <w:sz w:val="24"/>
                <w:szCs w:val="24"/>
                <w:lang w:val="en-US"/>
              </w:rPr>
              <w:t>1956</w:t>
            </w:r>
          </w:p>
        </w:tc>
      </w:tr>
    </w:tbl>
    <w:p w:rsidR="00C1490A" w:rsidRPr="00B8293F" w:rsidRDefault="00C1490A" w:rsidP="00C1490A">
      <w:pPr>
        <w:tabs>
          <w:tab w:val="left" w:pos="1701"/>
          <w:tab w:val="left" w:pos="2535"/>
        </w:tabs>
        <w:spacing w:after="0" w:line="240" w:lineRule="auto"/>
        <w:rPr>
          <w:rFonts w:ascii="Arial" w:hAnsi="Arial" w:cs="Arial"/>
          <w:i/>
          <w:iCs/>
          <w:sz w:val="24"/>
          <w:szCs w:val="24"/>
          <w:lang w:val="fr-FR"/>
        </w:rPr>
      </w:pPr>
      <w:r w:rsidRPr="00B8293F">
        <w:rPr>
          <w:rFonts w:ascii="Arial" w:hAnsi="Arial" w:cs="Arial"/>
          <w:i/>
          <w:iCs/>
          <w:sz w:val="24"/>
          <w:szCs w:val="24"/>
          <w:lang w:val="fr-FR"/>
        </w:rPr>
        <w:t>Notă: Valorile volumelor din anul 2021 au fost raportate la datele rezultate din Recensamântul Populației și al Locuinței din anul 2011</w:t>
      </w:r>
    </w:p>
    <w:p w:rsidR="00C1490A" w:rsidRPr="00B8293F" w:rsidRDefault="00C1490A" w:rsidP="00C1490A">
      <w:pPr>
        <w:spacing w:after="0"/>
        <w:ind w:firstLine="720"/>
        <w:jc w:val="both"/>
        <w:rPr>
          <w:rFonts w:ascii="Arial" w:hAnsi="Arial" w:cs="Arial"/>
          <w:b/>
          <w:i/>
          <w:sz w:val="24"/>
          <w:szCs w:val="24"/>
        </w:rPr>
      </w:pPr>
    </w:p>
    <w:p w:rsidR="00C1490A" w:rsidRPr="00B8293F" w:rsidRDefault="00C1490A" w:rsidP="00C1490A">
      <w:pPr>
        <w:spacing w:line="240" w:lineRule="auto"/>
        <w:ind w:firstLine="720"/>
        <w:jc w:val="both"/>
        <w:rPr>
          <w:rFonts w:ascii="Arial" w:hAnsi="Arial" w:cs="Arial"/>
          <w:b/>
          <w:i/>
          <w:sz w:val="24"/>
          <w:szCs w:val="24"/>
        </w:rPr>
      </w:pPr>
      <w:r w:rsidRPr="00B8293F">
        <w:rPr>
          <w:rFonts w:ascii="Arial" w:hAnsi="Arial" w:cs="Arial"/>
          <w:b/>
          <w:i/>
          <w:sz w:val="24"/>
          <w:szCs w:val="24"/>
        </w:rPr>
        <w:t>Resurse de apă subterană</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b/>
          <w:sz w:val="24"/>
          <w:szCs w:val="24"/>
        </w:rPr>
        <w:t>Resursele de apă subterană</w:t>
      </w:r>
      <w:r w:rsidRPr="00B8293F">
        <w:rPr>
          <w:rFonts w:ascii="Arial" w:hAnsi="Arial" w:cs="Arial"/>
          <w:sz w:val="24"/>
          <w:szCs w:val="24"/>
        </w:rPr>
        <w:t xml:space="preserve"> reprezintă volumul de apă care poate fi extras dintr-un strat acvifer, deci volumul de apă exploatabilă. Această noţiune este complexă, deoarece cantitatea de apă ce poate fi furnizată de un strat acvifer depinde de volumul rezervelor şi este limitată de posibilităţile tehnice şi economice, de conservare şi protecţie a resurselor. </w:t>
      </w:r>
      <w:r w:rsidRPr="00B8293F">
        <w:rPr>
          <w:rFonts w:ascii="Arial" w:hAnsi="Arial" w:cs="Arial"/>
          <w:b/>
          <w:sz w:val="24"/>
          <w:szCs w:val="24"/>
        </w:rPr>
        <w:t>Rezervele de apă subterană</w:t>
      </w:r>
      <w:r w:rsidRPr="00B8293F">
        <w:rPr>
          <w:rFonts w:ascii="Arial" w:hAnsi="Arial" w:cs="Arial"/>
          <w:sz w:val="24"/>
          <w:szCs w:val="24"/>
        </w:rPr>
        <w:t xml:space="preserve"> reprezintă volumul de apă gravitaţională ȋnmagazinată ȋntr-o anumită perioadă sau ȋntr-un anumit moment dat ȋntr-un acvifer sau rocă magazin. Rezervele sunt condiţionate astfel, de structura geologică, adică de geometria acviferului şi de porozitatea eficace sau coeficientul de ȋnmagazinare, factor care exprimă volumul de apă liberă ȋn roca magazin. Rezervele depind exclusiv de datele volumetrice şi se exprimă ȋn unităţi de volum (de regulă, ȋn m</w:t>
      </w:r>
      <w:r w:rsidRPr="00B8293F">
        <w:rPr>
          <w:rFonts w:ascii="Arial" w:hAnsi="Arial" w:cs="Arial"/>
          <w:sz w:val="24"/>
          <w:szCs w:val="24"/>
          <w:vertAlign w:val="superscript"/>
        </w:rPr>
        <w:t>3</w:t>
      </w:r>
      <w:r w:rsidRPr="00B8293F">
        <w:rPr>
          <w:rFonts w:ascii="Arial" w:hAnsi="Arial" w:cs="Arial"/>
          <w:sz w:val="24"/>
          <w:szCs w:val="24"/>
        </w:rPr>
        <w:t xml:space="preserve">). </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Resursele totale de apă subterană din România au fost estimate la 9,68 mld. m</w:t>
      </w:r>
      <w:r w:rsidRPr="00B8293F">
        <w:rPr>
          <w:rFonts w:ascii="Arial" w:hAnsi="Arial" w:cs="Arial"/>
          <w:sz w:val="24"/>
          <w:szCs w:val="24"/>
          <w:vertAlign w:val="superscript"/>
        </w:rPr>
        <w:t>3</w:t>
      </w:r>
      <w:r w:rsidRPr="00B8293F">
        <w:rPr>
          <w:rFonts w:ascii="Arial" w:hAnsi="Arial" w:cs="Arial"/>
          <w:sz w:val="24"/>
          <w:szCs w:val="24"/>
        </w:rPr>
        <w:t>/an, din care 4,74 mld. m</w:t>
      </w:r>
      <w:r w:rsidRPr="00B8293F">
        <w:rPr>
          <w:rFonts w:ascii="Arial" w:hAnsi="Arial" w:cs="Arial"/>
          <w:sz w:val="24"/>
          <w:szCs w:val="24"/>
          <w:vertAlign w:val="superscript"/>
        </w:rPr>
        <w:t>3</w:t>
      </w:r>
      <w:r w:rsidRPr="00B8293F">
        <w:rPr>
          <w:rFonts w:ascii="Arial" w:hAnsi="Arial" w:cs="Arial"/>
          <w:sz w:val="24"/>
          <w:szCs w:val="24"/>
        </w:rPr>
        <w:t>/an apele freatice și 4,94 mld. m</w:t>
      </w:r>
      <w:r w:rsidRPr="00B8293F">
        <w:rPr>
          <w:rFonts w:ascii="Arial" w:hAnsi="Arial" w:cs="Arial"/>
          <w:sz w:val="24"/>
          <w:szCs w:val="24"/>
          <w:vertAlign w:val="superscript"/>
        </w:rPr>
        <w:t>3</w:t>
      </w:r>
      <w:r w:rsidRPr="00B8293F">
        <w:rPr>
          <w:rFonts w:ascii="Arial" w:hAnsi="Arial" w:cs="Arial"/>
          <w:sz w:val="24"/>
          <w:szCs w:val="24"/>
        </w:rPr>
        <w:t xml:space="preserve">/an de apă subterană de adâncime, reprezentând circa 25% din apa de suprafață. </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În România, identificarea şi delimitarea corpurilor de apă subterană s-a făcut în concordanţă cu metodologia specifică de caracterizare a apelor subterane elaborată în cadrul INHGA, care a ţinut cont de prevederile Directivei Cadru a Apei 2000/60/EC şi de Ghidurile elaborate în cadrul Strategiei Comune de Implementare a DCA. Delimitarea corpurilor de ape subterane s-a făcut pentru zonele în care există acvifere semnificative ca importanţă pentru alimentări cu apă şi anume debite exploatabile mai mari de 10 m</w:t>
      </w:r>
      <w:r w:rsidRPr="00B8293F">
        <w:rPr>
          <w:rFonts w:ascii="Arial" w:hAnsi="Arial" w:cs="Arial"/>
          <w:sz w:val="24"/>
          <w:szCs w:val="24"/>
          <w:vertAlign w:val="superscript"/>
        </w:rPr>
        <w:t>3</w:t>
      </w:r>
      <w:r w:rsidRPr="00B8293F">
        <w:rPr>
          <w:rFonts w:ascii="Arial" w:hAnsi="Arial" w:cs="Arial"/>
          <w:sz w:val="24"/>
          <w:szCs w:val="24"/>
        </w:rPr>
        <w:t xml:space="preserve">/zi. În restul teritoriului, chiar dacă există condiţii locale de acumulare a apelor în subteran, acestea nu se constituie în corpuri de apă, conform prevederilor Directivei Cadru Apă. În România au fost identificate, delimitate şi caracterizate un număr de 143 de corpuri de apă subterană. Dintre acestea, un număr de 115 reprezintă corpuri de apă subterană freatică, iar 28 sunt corpuri de apă subterană de adâncime. </w:t>
      </w:r>
    </w:p>
    <w:p w:rsidR="00C1490A" w:rsidRPr="00B8293F" w:rsidRDefault="00C1490A" w:rsidP="00C1490A">
      <w:pPr>
        <w:spacing w:after="0" w:line="240" w:lineRule="auto"/>
        <w:ind w:firstLine="720"/>
        <w:jc w:val="both"/>
        <w:rPr>
          <w:rFonts w:ascii="Arial" w:hAnsi="Arial" w:cs="Arial"/>
          <w:sz w:val="24"/>
          <w:szCs w:val="24"/>
        </w:rPr>
      </w:pPr>
      <w:r w:rsidRPr="00B8293F">
        <w:rPr>
          <w:rFonts w:ascii="Arial" w:hAnsi="Arial" w:cs="Arial"/>
          <w:sz w:val="24"/>
          <w:szCs w:val="24"/>
        </w:rPr>
        <w:t xml:space="preserve">În general, apa subterană din primul orizont acvifer întâlnit în adâncime, este utilizată pentru irigaţii şi industrie, pentru alimentarea populaţiei fiind utilizată apa captată </w:t>
      </w:r>
      <w:r w:rsidRPr="00B8293F">
        <w:rPr>
          <w:rFonts w:ascii="Arial" w:hAnsi="Arial" w:cs="Arial"/>
          <w:sz w:val="24"/>
          <w:szCs w:val="24"/>
        </w:rPr>
        <w:lastRenderedPageBreak/>
        <w:t>din izvoare şi foraje de adâncime. Calitatea apei este determinată de alcătuirea mineralogică şi chimică a rocii în care este localizată apa subterană, dar şi de evoluţia tectonică regională şi/sau locală. Astfel, există ape subterane de adâncime cu un grad ridicat de mineralizare, cum sunt cele din partea nordică a Moldovei (unde depozitele sunt alcătuite preponderent din argile nisipoase şi nisipuri fine, acviferele având capacitate redusă de debitare şi grosime mică), partea central-nordică a Depresiunii Transilvaniei sau ȋn zona de curbură a Carpaţilor (datorită diapirelor la zi sau la mică adâncime). Aceste aspecte calitative fac ca apa subterană să nu poată fi utilizată pentru alimentarea populaţiei. În Depresiunea Transilvaniei, Câmpia de Vest, vestul Olteniei, apele de adâncime au local, în mod natural, conţinuturi ridicate de amoniu, ceea determină caracterul nepotabil al acestora şi aplicarea unor măsuri de tratare.</w:t>
      </w:r>
    </w:p>
    <w:p w:rsidR="00C1490A" w:rsidRPr="00B8293F" w:rsidRDefault="00C1490A" w:rsidP="00C1490A">
      <w:pPr>
        <w:spacing w:after="0"/>
        <w:ind w:firstLine="323"/>
        <w:jc w:val="center"/>
        <w:rPr>
          <w:rFonts w:ascii="Arial" w:hAnsi="Arial" w:cs="Arial"/>
          <w:b/>
          <w:i/>
          <w:color w:val="FF0000"/>
          <w:sz w:val="24"/>
          <w:szCs w:val="24"/>
        </w:rPr>
      </w:pPr>
    </w:p>
    <w:p w:rsidR="00C1490A" w:rsidRPr="00B8293F" w:rsidRDefault="00C1490A" w:rsidP="00C1490A">
      <w:pPr>
        <w:spacing w:before="120" w:after="120" w:line="240" w:lineRule="auto"/>
        <w:ind w:firstLine="323"/>
        <w:jc w:val="center"/>
        <w:rPr>
          <w:rFonts w:ascii="Arial" w:hAnsi="Arial" w:cs="Arial"/>
          <w:b/>
          <w:i/>
          <w:sz w:val="24"/>
          <w:szCs w:val="24"/>
        </w:rPr>
      </w:pPr>
      <w:r w:rsidRPr="00B8293F">
        <w:rPr>
          <w:rFonts w:ascii="Arial" w:hAnsi="Arial" w:cs="Arial"/>
          <w:b/>
          <w:i/>
          <w:sz w:val="24"/>
          <w:szCs w:val="24"/>
        </w:rPr>
        <w:t>Analiza evoluţiei nivelurilor apelor subterane de mică adâncime ȋn perioada 2016-2021</w:t>
      </w:r>
    </w:p>
    <w:p w:rsidR="00C1490A" w:rsidRPr="00B8293F" w:rsidRDefault="00C1490A" w:rsidP="00C1490A">
      <w:pPr>
        <w:spacing w:line="240" w:lineRule="auto"/>
        <w:ind w:firstLine="323"/>
        <w:jc w:val="both"/>
        <w:rPr>
          <w:rFonts w:ascii="Arial" w:hAnsi="Arial" w:cs="Arial"/>
          <w:bCs/>
          <w:color w:val="000000"/>
          <w:sz w:val="24"/>
          <w:szCs w:val="24"/>
        </w:rPr>
      </w:pPr>
      <w:r w:rsidRPr="00B8293F">
        <w:rPr>
          <w:rFonts w:ascii="Arial" w:hAnsi="Arial" w:cs="Arial"/>
          <w:bCs/>
          <w:color w:val="000000"/>
          <w:sz w:val="24"/>
          <w:szCs w:val="24"/>
        </w:rPr>
        <w:t>Datele zilnice (10 măsurători/lună) provenite de la un număr de 267 de foraje de monitorizare selectate ca reprezentative pentru Programul de transmisie lunară a Buletinului Hidrogeologic au fost prelucrate statistic şi reprezentate grafic pentru a evidenţia regimul de curgere subterană ȋn acviferele de mică adâncime ȋn anul 2021, comparativ cu perioada ultimilor cinci ani. Deoarece numărul punctelor de monitorizare reprezintă aproximativ 10% din Reţaua Hidrogeologică Naţională, această analiză are caracter informativ.</w:t>
      </w:r>
    </w:p>
    <w:p w:rsidR="00C1490A" w:rsidRPr="00B8293F" w:rsidRDefault="00C1490A" w:rsidP="00C1490A">
      <w:pPr>
        <w:spacing w:line="240" w:lineRule="auto"/>
        <w:ind w:firstLine="567"/>
        <w:jc w:val="both"/>
        <w:rPr>
          <w:rFonts w:ascii="Arial" w:hAnsi="Arial" w:cs="Arial"/>
          <w:bCs/>
          <w:color w:val="000000"/>
          <w:sz w:val="24"/>
          <w:szCs w:val="24"/>
        </w:rPr>
      </w:pPr>
      <w:r w:rsidRPr="00B8293F">
        <w:rPr>
          <w:rFonts w:ascii="Arial" w:hAnsi="Arial" w:cs="Arial"/>
          <w:bCs/>
          <w:color w:val="000000"/>
          <w:sz w:val="24"/>
          <w:szCs w:val="24"/>
        </w:rPr>
        <w:t>Ȋn anul 2021, comparativ cu perioada 2016-2020, frecvenţa scăderilor de niveluri medii lunare depăşeşte 50% la nivelul ȋntregii ţări şi atinge maximum, 70%, ȋn luna noiembrie (</w:t>
      </w:r>
      <w:r w:rsidRPr="00B8293F">
        <w:rPr>
          <w:rFonts w:ascii="Arial" w:hAnsi="Arial" w:cs="Arial"/>
          <w:bCs/>
          <w:i/>
          <w:color w:val="000000"/>
          <w:sz w:val="24"/>
          <w:szCs w:val="24"/>
        </w:rPr>
        <w:t>Figura II.1.2</w:t>
      </w:r>
      <w:r w:rsidRPr="00B8293F">
        <w:rPr>
          <w:rFonts w:ascii="Arial" w:hAnsi="Arial" w:cs="Arial"/>
          <w:bCs/>
          <w:color w:val="000000"/>
          <w:sz w:val="24"/>
          <w:szCs w:val="24"/>
        </w:rPr>
        <w:t>). Ȋn bazinele hidrografice situate ȋn partea de nord-vest şi centrală a ţării, intervalul februarie-mai al anului 2021 s-a caracterizat prin niveluri piezometrice excedentare faţă de perioada celor cinci ani precedenţi, ȋn conformitate cu hărţile de precipitaţii cumulate lunare (sursa: A.N.M.). Pentru restul teritoriului, această caracteristică s-a manifestat numai  local.</w:t>
      </w:r>
    </w:p>
    <w:p w:rsidR="00C1490A" w:rsidRPr="00B8293F" w:rsidRDefault="00C1490A" w:rsidP="00C1490A">
      <w:pPr>
        <w:spacing w:before="120" w:line="240" w:lineRule="auto"/>
        <w:jc w:val="center"/>
        <w:rPr>
          <w:rFonts w:ascii="Arial" w:hAnsi="Arial" w:cs="Arial"/>
          <w:sz w:val="24"/>
          <w:szCs w:val="24"/>
        </w:rPr>
      </w:pPr>
      <w:r w:rsidRPr="00B8293F">
        <w:rPr>
          <w:rFonts w:ascii="Arial" w:hAnsi="Arial" w:cs="Arial"/>
          <w:noProof/>
          <w:sz w:val="24"/>
          <w:szCs w:val="24"/>
          <w:lang w:eastAsia="ro-RO"/>
        </w:rPr>
        <w:drawing>
          <wp:inline distT="0" distB="0" distL="0" distR="0" wp14:anchorId="7BA28F42" wp14:editId="265EC63F">
            <wp:extent cx="4826635" cy="2385060"/>
            <wp:effectExtent l="0" t="0" r="12065" b="15240"/>
            <wp:docPr id="74" name="Chart 7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1490A" w:rsidRPr="00B8293F" w:rsidRDefault="00C1490A" w:rsidP="00C1490A">
      <w:pPr>
        <w:spacing w:after="0" w:line="240" w:lineRule="auto"/>
        <w:jc w:val="center"/>
        <w:rPr>
          <w:rFonts w:ascii="Arial" w:hAnsi="Arial" w:cs="Arial"/>
          <w:bCs/>
          <w:i/>
          <w:color w:val="000000"/>
          <w:sz w:val="24"/>
          <w:szCs w:val="24"/>
        </w:rPr>
      </w:pPr>
      <w:r w:rsidRPr="00B8293F">
        <w:rPr>
          <w:rFonts w:ascii="Arial" w:hAnsi="Arial" w:cs="Arial"/>
          <w:bCs/>
          <w:i/>
          <w:color w:val="000000"/>
          <w:sz w:val="24"/>
          <w:szCs w:val="24"/>
        </w:rPr>
        <w:t>Figura II.1.2 – Frecvenţa de depăşire a adâncimii medii lunare ȋn anul 2021 comparativ cu perioada 2016-2020</w:t>
      </w:r>
    </w:p>
    <w:p w:rsidR="00C1490A" w:rsidRPr="00B8293F" w:rsidRDefault="00C1490A" w:rsidP="00C1490A">
      <w:pPr>
        <w:spacing w:after="0" w:line="240" w:lineRule="auto"/>
        <w:jc w:val="center"/>
        <w:rPr>
          <w:rFonts w:ascii="Arial" w:hAnsi="Arial" w:cs="Arial"/>
          <w:bCs/>
          <w:i/>
          <w:color w:val="000000"/>
          <w:sz w:val="24"/>
          <w:szCs w:val="24"/>
        </w:rPr>
      </w:pPr>
    </w:p>
    <w:p w:rsidR="00C1490A" w:rsidRPr="00B8293F" w:rsidRDefault="00C1490A" w:rsidP="00C1490A">
      <w:pPr>
        <w:spacing w:after="0" w:line="240" w:lineRule="auto"/>
        <w:jc w:val="both"/>
        <w:rPr>
          <w:rFonts w:ascii="Arial" w:hAnsi="Arial" w:cs="Arial"/>
          <w:sz w:val="24"/>
          <w:szCs w:val="24"/>
        </w:rPr>
      </w:pPr>
      <w:r w:rsidRPr="00B8293F">
        <w:rPr>
          <w:rFonts w:ascii="Arial" w:hAnsi="Arial" w:cs="Arial"/>
          <w:sz w:val="24"/>
          <w:szCs w:val="24"/>
        </w:rPr>
        <w:tab/>
        <w:t xml:space="preserve">Diferenţa, ȋn cm, ȋntre valorile medii ale anului 2021 şi valorile medii multianuale ale perioadei analizate este prezentată ȋn </w:t>
      </w:r>
      <w:r w:rsidRPr="00B8293F">
        <w:rPr>
          <w:rFonts w:ascii="Arial" w:hAnsi="Arial" w:cs="Arial"/>
          <w:i/>
          <w:sz w:val="24"/>
          <w:szCs w:val="24"/>
        </w:rPr>
        <w:t>Figurile II.1.3 şi II.1.4</w:t>
      </w:r>
      <w:r w:rsidRPr="00B8293F">
        <w:rPr>
          <w:rFonts w:ascii="Arial" w:hAnsi="Arial" w:cs="Arial"/>
          <w:sz w:val="24"/>
          <w:szCs w:val="24"/>
        </w:rPr>
        <w:t xml:space="preserve">. Astfel, valorile negative, care indică scăderea nivelului piezometric ȋn foraje, sunt reprezentate prin culoarea roşie şi evidenţiază circa 61% dintre situaţii. </w:t>
      </w:r>
    </w:p>
    <w:p w:rsidR="00C1490A" w:rsidRPr="00B8293F" w:rsidRDefault="00C1490A" w:rsidP="00C1490A">
      <w:pPr>
        <w:spacing w:after="0" w:line="240" w:lineRule="auto"/>
        <w:ind w:firstLine="709"/>
        <w:jc w:val="both"/>
        <w:rPr>
          <w:rFonts w:ascii="Arial" w:hAnsi="Arial" w:cs="Arial"/>
          <w:sz w:val="24"/>
          <w:szCs w:val="24"/>
        </w:rPr>
      </w:pPr>
      <w:r w:rsidRPr="00B8293F">
        <w:rPr>
          <w:rFonts w:ascii="Arial" w:hAnsi="Arial" w:cs="Arial"/>
          <w:sz w:val="24"/>
          <w:szCs w:val="24"/>
        </w:rPr>
        <w:t xml:space="preserve">Ecartul de valori se situează ȋntre -224 (b.h. al Mării Negre) cm şi 146 cm (b.h. Tisa). Situaţia comparativă este prezentată pe bazine/spaţii hidrografice ȋn </w:t>
      </w:r>
      <w:r w:rsidRPr="00B8293F">
        <w:rPr>
          <w:rFonts w:ascii="Arial" w:hAnsi="Arial" w:cs="Arial"/>
          <w:i/>
          <w:sz w:val="24"/>
          <w:szCs w:val="24"/>
        </w:rPr>
        <w:t xml:space="preserve">Tabelul nr. </w:t>
      </w:r>
      <w:r w:rsidRPr="00B8293F">
        <w:rPr>
          <w:rFonts w:ascii="Arial" w:hAnsi="Arial" w:cs="Arial"/>
          <w:i/>
          <w:sz w:val="24"/>
          <w:szCs w:val="24"/>
        </w:rPr>
        <w:lastRenderedPageBreak/>
        <w:t>II.1.4</w:t>
      </w:r>
      <w:r w:rsidRPr="00B8293F">
        <w:rPr>
          <w:rFonts w:ascii="Arial" w:hAnsi="Arial" w:cs="Arial"/>
          <w:sz w:val="24"/>
          <w:szCs w:val="24"/>
        </w:rPr>
        <w:t>, ȋn care sunt evidenţiate valorile maxime şi minime ȋnregistrate şi ponderile creşterilor/scăderilor de nivel.</w:t>
      </w:r>
    </w:p>
    <w:p w:rsidR="00C1490A" w:rsidRPr="00B8293F" w:rsidRDefault="00C1490A" w:rsidP="00C1490A">
      <w:pPr>
        <w:spacing w:before="120" w:line="240" w:lineRule="auto"/>
        <w:jc w:val="both"/>
        <w:rPr>
          <w:rFonts w:ascii="Arial" w:hAnsi="Arial" w:cs="Arial"/>
          <w:sz w:val="24"/>
          <w:szCs w:val="24"/>
        </w:rPr>
      </w:pPr>
    </w:p>
    <w:p w:rsidR="00C1490A" w:rsidRPr="00B8293F" w:rsidRDefault="00C1490A" w:rsidP="00C1490A">
      <w:pPr>
        <w:spacing w:before="120" w:line="240" w:lineRule="auto"/>
        <w:jc w:val="center"/>
        <w:rPr>
          <w:rFonts w:ascii="Arial" w:hAnsi="Arial" w:cs="Arial"/>
          <w:i/>
          <w:sz w:val="24"/>
          <w:szCs w:val="24"/>
        </w:rPr>
      </w:pPr>
      <w:r w:rsidRPr="00B8293F">
        <w:rPr>
          <w:rFonts w:ascii="Arial" w:hAnsi="Arial" w:cs="Arial"/>
          <w:i/>
          <w:sz w:val="24"/>
          <w:szCs w:val="24"/>
        </w:rPr>
        <w:t>Tabelul nr. II.1.4 – Situaţia comparativă a diferenţelor valorilor medii anuale 2021 şi multianuale (2016-2020)</w:t>
      </w:r>
    </w:p>
    <w:tbl>
      <w:tblPr>
        <w:tblW w:w="10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2"/>
        <w:gridCol w:w="2511"/>
        <w:gridCol w:w="2917"/>
        <w:gridCol w:w="1170"/>
        <w:gridCol w:w="1350"/>
      </w:tblGrid>
      <w:tr w:rsidR="00C1490A" w:rsidRPr="00B8293F" w:rsidTr="00B8293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490A" w:rsidRPr="00B8293F" w:rsidRDefault="00C1490A" w:rsidP="00B8293F">
            <w:pPr>
              <w:spacing w:after="0" w:line="240" w:lineRule="auto"/>
              <w:jc w:val="center"/>
              <w:rPr>
                <w:rFonts w:ascii="Arial" w:hAnsi="Arial" w:cs="Arial"/>
                <w:b/>
                <w:sz w:val="24"/>
                <w:szCs w:val="24"/>
              </w:rPr>
            </w:pPr>
            <w:r w:rsidRPr="00B8293F">
              <w:rPr>
                <w:rFonts w:ascii="Arial" w:hAnsi="Arial" w:cs="Arial"/>
                <w:b/>
                <w:sz w:val="24"/>
                <w:szCs w:val="24"/>
              </w:rPr>
              <w:t>Bazin hidrografic</w:t>
            </w:r>
          </w:p>
        </w:tc>
        <w:tc>
          <w:tcPr>
            <w:tcW w:w="25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490A" w:rsidRPr="00B8293F" w:rsidRDefault="00C1490A" w:rsidP="00B8293F">
            <w:pPr>
              <w:spacing w:after="0" w:line="240" w:lineRule="auto"/>
              <w:jc w:val="center"/>
              <w:rPr>
                <w:rFonts w:ascii="Arial" w:hAnsi="Arial" w:cs="Arial"/>
                <w:b/>
                <w:sz w:val="24"/>
                <w:szCs w:val="24"/>
              </w:rPr>
            </w:pPr>
            <w:r w:rsidRPr="00B8293F">
              <w:rPr>
                <w:rFonts w:ascii="Arial" w:hAnsi="Arial" w:cs="Arial"/>
                <w:b/>
                <w:sz w:val="24"/>
                <w:szCs w:val="24"/>
              </w:rPr>
              <w:t>Creşteri (cm)/ Localizare</w:t>
            </w:r>
          </w:p>
        </w:tc>
        <w:tc>
          <w:tcPr>
            <w:tcW w:w="29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490A" w:rsidRPr="00B8293F" w:rsidRDefault="00C1490A" w:rsidP="00B8293F">
            <w:pPr>
              <w:spacing w:after="0" w:line="240" w:lineRule="auto"/>
              <w:jc w:val="center"/>
              <w:rPr>
                <w:rFonts w:ascii="Arial" w:hAnsi="Arial" w:cs="Arial"/>
                <w:b/>
                <w:sz w:val="24"/>
                <w:szCs w:val="24"/>
              </w:rPr>
            </w:pPr>
            <w:r w:rsidRPr="00B8293F">
              <w:rPr>
                <w:rFonts w:ascii="Arial" w:hAnsi="Arial" w:cs="Arial"/>
                <w:b/>
                <w:sz w:val="24"/>
                <w:szCs w:val="24"/>
              </w:rPr>
              <w:t>Scăderi (cm)/ Localizare</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490A" w:rsidRPr="00B8293F" w:rsidRDefault="00C1490A" w:rsidP="00B8293F">
            <w:pPr>
              <w:spacing w:after="0" w:line="240" w:lineRule="auto"/>
              <w:jc w:val="center"/>
              <w:rPr>
                <w:rFonts w:ascii="Arial" w:hAnsi="Arial" w:cs="Arial"/>
                <w:b/>
                <w:sz w:val="24"/>
                <w:szCs w:val="24"/>
              </w:rPr>
            </w:pPr>
            <w:r w:rsidRPr="00B8293F">
              <w:rPr>
                <w:rFonts w:ascii="Arial" w:hAnsi="Arial" w:cs="Arial"/>
                <w:b/>
                <w:sz w:val="24"/>
                <w:szCs w:val="24"/>
              </w:rPr>
              <w:t>Creşteri (%)</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1490A" w:rsidRPr="00B8293F" w:rsidRDefault="00C1490A" w:rsidP="00B8293F">
            <w:pPr>
              <w:spacing w:after="0" w:line="240" w:lineRule="auto"/>
              <w:jc w:val="center"/>
              <w:rPr>
                <w:rFonts w:ascii="Arial" w:hAnsi="Arial" w:cs="Arial"/>
                <w:b/>
                <w:sz w:val="24"/>
                <w:szCs w:val="24"/>
              </w:rPr>
            </w:pPr>
            <w:r w:rsidRPr="00B8293F">
              <w:rPr>
                <w:rFonts w:ascii="Arial" w:hAnsi="Arial" w:cs="Arial"/>
                <w:b/>
                <w:sz w:val="24"/>
                <w:szCs w:val="24"/>
              </w:rPr>
              <w:t>Scăderi (%)</w:t>
            </w:r>
          </w:p>
        </w:tc>
      </w:tr>
      <w:tr w:rsidR="00C1490A" w:rsidRPr="00B8293F" w:rsidTr="00B8293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Spaţiul hidrografic Someş-Tisa</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146 (Oar, C. Joasă a Someşului, ROSO01)</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50 (Reteag, Culoarele Someşelor Mic şi Mare, ROSO09)</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color w:val="0070C0"/>
                <w:sz w:val="24"/>
                <w:szCs w:val="24"/>
              </w:rPr>
              <w:t>55</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45</w:t>
            </w:r>
          </w:p>
        </w:tc>
      </w:tr>
      <w:tr w:rsidR="00C1490A" w:rsidRPr="00B8293F" w:rsidTr="00B8293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Crişuri</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80 (Vărşand, C. Joasă a Crişurilor, ROCR01)</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90 (Oradea, C. Joasă a Crişurilor, ROCR01)</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color w:val="0070C0"/>
                <w:sz w:val="24"/>
                <w:szCs w:val="24"/>
              </w:rPr>
              <w:t>45</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55</w:t>
            </w:r>
          </w:p>
        </w:tc>
      </w:tr>
      <w:tr w:rsidR="00C1490A" w:rsidRPr="00B8293F" w:rsidTr="00B8293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Mureş</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72 (Mihalţ, Culoarul Aiudului, ROMU03)</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67 (Nădlac, C. Nădlac, ROMU20)</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color w:val="0070C0"/>
                <w:sz w:val="24"/>
                <w:szCs w:val="24"/>
              </w:rPr>
              <w:t>50</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50</w:t>
            </w:r>
          </w:p>
        </w:tc>
      </w:tr>
      <w:tr w:rsidR="00C1490A" w:rsidRPr="00B8293F" w:rsidTr="00B8293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Spaţiul hidrografic Banat</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37 (Silha, C. Timişanei, ROBA04)</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119 (Pişchia, C. Vingăi, ROMU02)</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19</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color w:val="FF0000"/>
                <w:sz w:val="24"/>
                <w:szCs w:val="24"/>
              </w:rPr>
              <w:t>81</w:t>
            </w:r>
          </w:p>
        </w:tc>
      </w:tr>
      <w:tr w:rsidR="00C1490A" w:rsidRPr="00B8293F" w:rsidTr="00B8293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Jiu</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12 (Teleşti, Depresiunea Tg. Jiu, ROJI05)</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67 (Filiaşi, Culoarul Jiului, ROJI05)</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20</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color w:val="FF0000"/>
                <w:sz w:val="24"/>
                <w:szCs w:val="24"/>
              </w:rPr>
              <w:t>80</w:t>
            </w:r>
          </w:p>
        </w:tc>
      </w:tr>
      <w:tr w:rsidR="00C1490A" w:rsidRPr="00B8293F" w:rsidTr="00B8293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Olt</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76 (Sânsimion, Depresiunea Tuşnad, ROOT01)</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129 (Hoghiz, Olt superior, ROOT07)</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color w:val="0070C0"/>
                <w:sz w:val="24"/>
                <w:szCs w:val="24"/>
              </w:rPr>
              <w:t>57</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43</w:t>
            </w:r>
          </w:p>
        </w:tc>
      </w:tr>
      <w:tr w:rsidR="00C1490A" w:rsidRPr="00B8293F" w:rsidTr="00B8293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Spaţiul hidrografic Argeş-Vedea</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44 (Ştefăneşti-Argeş, ROAG05)</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197 (Nana, C. Nana, ROAG03)</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41</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59</w:t>
            </w:r>
          </w:p>
        </w:tc>
      </w:tr>
      <w:tr w:rsidR="00C1490A" w:rsidRPr="00B8293F" w:rsidTr="00B8293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Ialomiţa</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18 (Cioranca, C. Urziceni, ROIL08)</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88 (Radila, Glacisul Valea Călugărească, ROIL15)</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5</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color w:val="FF0000"/>
                <w:sz w:val="24"/>
                <w:szCs w:val="24"/>
              </w:rPr>
              <w:t>95</w:t>
            </w:r>
          </w:p>
        </w:tc>
      </w:tr>
      <w:tr w:rsidR="00C1490A" w:rsidRPr="00B8293F" w:rsidTr="00B8293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Siret</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74 (Girov, Culoarul Siretului, ROSI03)</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171 (Vipereşti, Depresiunea Cislău, ROIL10)</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31</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69</w:t>
            </w:r>
          </w:p>
        </w:tc>
      </w:tr>
      <w:tr w:rsidR="00C1490A" w:rsidRPr="00B8293F" w:rsidTr="00B8293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Prut</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93 (Băleni, Colinele Bălăbăneşti, ROPR06)</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100 (Moimeşti, Colinele Gloduri, ROPR07)</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38</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62</w:t>
            </w:r>
          </w:p>
        </w:tc>
      </w:tr>
      <w:tr w:rsidR="00C1490A" w:rsidRPr="00B8293F" w:rsidTr="00B8293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Dunăre</w:t>
            </w:r>
          </w:p>
        </w:tc>
        <w:tc>
          <w:tcPr>
            <w:tcW w:w="2511"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 xml:space="preserve">101 (Viziru, C. Viziru, ROIL17) </w:t>
            </w: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153 (Spanţov, C. Nana, ROIL17)</w:t>
            </w: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32</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68</w:t>
            </w:r>
          </w:p>
        </w:tc>
      </w:tr>
      <w:tr w:rsidR="00C1490A" w:rsidRPr="00B8293F" w:rsidTr="00B8293F">
        <w:trPr>
          <w:jc w:val="center"/>
        </w:trPr>
        <w:tc>
          <w:tcPr>
            <w:tcW w:w="2222"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Dobrogea-Litoral</w:t>
            </w:r>
          </w:p>
        </w:tc>
        <w:tc>
          <w:tcPr>
            <w:tcW w:w="2511" w:type="dxa"/>
            <w:tcBorders>
              <w:top w:val="single" w:sz="4" w:space="0" w:color="auto"/>
              <w:left w:val="single" w:sz="4" w:space="0" w:color="auto"/>
              <w:bottom w:val="single" w:sz="4" w:space="0" w:color="auto"/>
              <w:right w:val="single" w:sz="4" w:space="0" w:color="auto"/>
            </w:tcBorders>
            <w:shd w:val="clear" w:color="auto" w:fill="auto"/>
          </w:tcPr>
          <w:p w:rsidR="00C1490A" w:rsidRPr="00B8293F" w:rsidRDefault="00C1490A" w:rsidP="00B8293F">
            <w:pPr>
              <w:spacing w:before="120" w:after="0" w:line="240" w:lineRule="auto"/>
              <w:jc w:val="center"/>
              <w:rPr>
                <w:rFonts w:ascii="Arial" w:hAnsi="Arial" w:cs="Arial"/>
                <w:sz w:val="24"/>
                <w:szCs w:val="24"/>
              </w:rPr>
            </w:pPr>
          </w:p>
        </w:tc>
        <w:tc>
          <w:tcPr>
            <w:tcW w:w="2917"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sz w:val="24"/>
                <w:szCs w:val="24"/>
              </w:rPr>
              <w:t>224 (Techirghiol, Podişul Mangaliei, RODL10)</w:t>
            </w:r>
          </w:p>
        </w:tc>
        <w:tc>
          <w:tcPr>
            <w:tcW w:w="1170" w:type="dxa"/>
            <w:tcBorders>
              <w:top w:val="single" w:sz="4" w:space="0" w:color="auto"/>
              <w:left w:val="single" w:sz="4" w:space="0" w:color="auto"/>
              <w:bottom w:val="single" w:sz="4" w:space="0" w:color="auto"/>
              <w:right w:val="single" w:sz="4" w:space="0" w:color="auto"/>
            </w:tcBorders>
            <w:shd w:val="clear" w:color="auto" w:fill="auto"/>
          </w:tcPr>
          <w:p w:rsidR="00C1490A" w:rsidRPr="00B8293F" w:rsidRDefault="00C1490A" w:rsidP="00B8293F">
            <w:pPr>
              <w:spacing w:before="120" w:after="0" w:line="240" w:lineRule="auto"/>
              <w:jc w:val="center"/>
              <w:rPr>
                <w:rFonts w:ascii="Arial" w:hAnsi="Arial" w:cs="Arial"/>
                <w:sz w:val="24"/>
                <w:szCs w:val="24"/>
              </w:rPr>
            </w:pP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rsidR="00C1490A" w:rsidRPr="00B8293F" w:rsidRDefault="00C1490A" w:rsidP="00B8293F">
            <w:pPr>
              <w:spacing w:before="120" w:after="0" w:line="240" w:lineRule="auto"/>
              <w:jc w:val="center"/>
              <w:rPr>
                <w:rFonts w:ascii="Arial" w:hAnsi="Arial" w:cs="Arial"/>
                <w:sz w:val="24"/>
                <w:szCs w:val="24"/>
              </w:rPr>
            </w:pPr>
            <w:r w:rsidRPr="00B8293F">
              <w:rPr>
                <w:rFonts w:ascii="Arial" w:hAnsi="Arial" w:cs="Arial"/>
                <w:color w:val="FF0000"/>
                <w:sz w:val="24"/>
                <w:szCs w:val="24"/>
              </w:rPr>
              <w:t>100</w:t>
            </w:r>
          </w:p>
        </w:tc>
      </w:tr>
    </w:tbl>
    <w:p w:rsidR="00C1490A" w:rsidRPr="00B8293F" w:rsidRDefault="00C1490A" w:rsidP="00C1490A">
      <w:pPr>
        <w:spacing w:before="120" w:line="240" w:lineRule="auto"/>
        <w:jc w:val="center"/>
        <w:rPr>
          <w:rFonts w:ascii="Arial" w:eastAsia="Times New Roman" w:hAnsi="Arial" w:cs="Arial"/>
          <w:sz w:val="24"/>
          <w:szCs w:val="24"/>
        </w:rPr>
      </w:pPr>
    </w:p>
    <w:p w:rsidR="00C1490A" w:rsidRPr="00B8293F" w:rsidRDefault="00C1490A" w:rsidP="00C1490A">
      <w:pPr>
        <w:spacing w:before="120" w:line="240" w:lineRule="auto"/>
        <w:jc w:val="both"/>
        <w:rPr>
          <w:rFonts w:ascii="Arial" w:hAnsi="Arial" w:cs="Arial"/>
          <w:sz w:val="24"/>
          <w:szCs w:val="24"/>
        </w:rPr>
      </w:pPr>
    </w:p>
    <w:p w:rsidR="00C1490A" w:rsidRPr="00B8293F" w:rsidRDefault="00C1490A" w:rsidP="00C1490A">
      <w:pPr>
        <w:spacing w:before="120" w:line="240" w:lineRule="auto"/>
        <w:jc w:val="both"/>
        <w:rPr>
          <w:rFonts w:ascii="Arial" w:hAnsi="Arial" w:cs="Arial"/>
          <w:sz w:val="24"/>
          <w:szCs w:val="24"/>
        </w:rPr>
      </w:pPr>
    </w:p>
    <w:p w:rsidR="00C1490A" w:rsidRPr="00B8293F" w:rsidRDefault="00C1490A" w:rsidP="00C1490A">
      <w:pPr>
        <w:spacing w:before="120" w:line="240" w:lineRule="auto"/>
        <w:jc w:val="both"/>
        <w:rPr>
          <w:rFonts w:ascii="Arial" w:hAnsi="Arial" w:cs="Arial"/>
          <w:sz w:val="24"/>
          <w:szCs w:val="24"/>
        </w:rPr>
      </w:pPr>
    </w:p>
    <w:p w:rsidR="00C1490A" w:rsidRPr="00B8293F" w:rsidRDefault="00C1490A" w:rsidP="00C1490A">
      <w:pPr>
        <w:spacing w:after="0" w:line="240" w:lineRule="auto"/>
        <w:jc w:val="center"/>
        <w:rPr>
          <w:rFonts w:ascii="Arial" w:hAnsi="Arial" w:cs="Arial"/>
          <w:sz w:val="24"/>
          <w:szCs w:val="24"/>
        </w:rPr>
      </w:pPr>
      <w:r w:rsidRPr="00B8293F">
        <w:rPr>
          <w:rFonts w:ascii="Arial" w:hAnsi="Arial" w:cs="Arial"/>
          <w:noProof/>
          <w:sz w:val="24"/>
          <w:szCs w:val="24"/>
          <w:lang w:eastAsia="ro-RO"/>
        </w:rPr>
        <w:lastRenderedPageBreak/>
        <w:drawing>
          <wp:inline distT="0" distB="0" distL="0" distR="0" wp14:anchorId="1CE82EB0" wp14:editId="1253DA93">
            <wp:extent cx="3827145" cy="2705735"/>
            <wp:effectExtent l="19050" t="19050" r="20955" b="1841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27145" cy="2705735"/>
                    </a:xfrm>
                    <a:prstGeom prst="rect">
                      <a:avLst/>
                    </a:prstGeom>
                    <a:noFill/>
                    <a:ln w="9525" cmpd="sng">
                      <a:solidFill>
                        <a:srgbClr val="000000"/>
                      </a:solidFill>
                      <a:miter lim="800000"/>
                      <a:headEnd/>
                      <a:tailEnd/>
                    </a:ln>
                    <a:effectLst/>
                  </pic:spPr>
                </pic:pic>
              </a:graphicData>
            </a:graphic>
          </wp:inline>
        </w:drawing>
      </w:r>
    </w:p>
    <w:p w:rsidR="00C1490A" w:rsidRPr="00B8293F" w:rsidRDefault="00C1490A" w:rsidP="00C1490A">
      <w:pPr>
        <w:spacing w:before="120" w:after="0" w:line="240" w:lineRule="auto"/>
        <w:jc w:val="center"/>
        <w:rPr>
          <w:rFonts w:ascii="Arial" w:hAnsi="Arial" w:cs="Arial"/>
          <w:bCs/>
          <w:i/>
          <w:color w:val="000000"/>
          <w:sz w:val="24"/>
          <w:szCs w:val="24"/>
        </w:rPr>
      </w:pPr>
      <w:r w:rsidRPr="00B8293F">
        <w:rPr>
          <w:rFonts w:ascii="Arial" w:hAnsi="Arial" w:cs="Arial"/>
          <w:bCs/>
          <w:i/>
          <w:color w:val="000000"/>
          <w:sz w:val="24"/>
          <w:szCs w:val="24"/>
        </w:rPr>
        <w:t xml:space="preserve">Figura II.1..3  – Situaţia adâncimii medii lunare a nivelurilor piezometrice ȋn anul 2021 comparativ cu media multianuală a perioadei 2016-2020 </w:t>
      </w:r>
    </w:p>
    <w:p w:rsidR="00C1490A" w:rsidRPr="00B8293F" w:rsidRDefault="00C1490A" w:rsidP="00C1490A">
      <w:pPr>
        <w:spacing w:after="0" w:line="240" w:lineRule="auto"/>
        <w:jc w:val="center"/>
        <w:rPr>
          <w:rFonts w:ascii="Arial" w:hAnsi="Arial" w:cs="Arial"/>
          <w:i/>
          <w:sz w:val="24"/>
          <w:szCs w:val="24"/>
        </w:rPr>
      </w:pPr>
      <w:r w:rsidRPr="00B8293F">
        <w:rPr>
          <w:rFonts w:ascii="Arial" w:hAnsi="Arial" w:cs="Arial"/>
          <w:i/>
          <w:noProof/>
          <w:sz w:val="24"/>
          <w:szCs w:val="24"/>
          <w:lang w:eastAsia="ro-RO"/>
        </w:rPr>
        <w:drawing>
          <wp:inline distT="0" distB="0" distL="0" distR="0" wp14:anchorId="35F4FB91" wp14:editId="1263AC11">
            <wp:extent cx="5137785" cy="2394585"/>
            <wp:effectExtent l="0" t="0" r="5715"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37785" cy="2394585"/>
                    </a:xfrm>
                    <a:prstGeom prst="rect">
                      <a:avLst/>
                    </a:prstGeom>
                    <a:noFill/>
                    <a:ln>
                      <a:noFill/>
                    </a:ln>
                  </pic:spPr>
                </pic:pic>
              </a:graphicData>
            </a:graphic>
          </wp:inline>
        </w:drawing>
      </w:r>
    </w:p>
    <w:p w:rsidR="00C1490A" w:rsidRPr="00B8293F" w:rsidRDefault="00C1490A" w:rsidP="00C1490A">
      <w:pPr>
        <w:spacing w:before="120" w:line="240" w:lineRule="auto"/>
        <w:jc w:val="center"/>
        <w:rPr>
          <w:rFonts w:ascii="Arial" w:hAnsi="Arial" w:cs="Arial"/>
          <w:i/>
          <w:sz w:val="24"/>
          <w:szCs w:val="24"/>
        </w:rPr>
      </w:pPr>
      <w:r w:rsidRPr="00B8293F">
        <w:rPr>
          <w:rFonts w:ascii="Arial" w:hAnsi="Arial" w:cs="Arial"/>
          <w:bCs/>
          <w:i/>
          <w:color w:val="000000"/>
          <w:sz w:val="24"/>
          <w:szCs w:val="24"/>
        </w:rPr>
        <w:t>Figura II.1.4  – Creşterile şi scăderile de nivel piezometric  ȋn anul 2021 comparativ cu perioada 2016-2020</w:t>
      </w:r>
    </w:p>
    <w:p w:rsidR="00C1490A" w:rsidRPr="00B8293F" w:rsidRDefault="00C1490A" w:rsidP="00C1490A">
      <w:pPr>
        <w:spacing w:before="120" w:after="120" w:line="240" w:lineRule="auto"/>
        <w:ind w:firstLine="567"/>
        <w:rPr>
          <w:rFonts w:ascii="Arial" w:hAnsi="Arial" w:cs="Arial"/>
          <w:b/>
          <w:sz w:val="24"/>
          <w:szCs w:val="24"/>
        </w:rPr>
      </w:pPr>
    </w:p>
    <w:p w:rsidR="00C1490A" w:rsidRPr="00B8293F" w:rsidRDefault="00C1490A" w:rsidP="00C1490A">
      <w:pPr>
        <w:spacing w:before="120" w:after="120" w:line="240" w:lineRule="auto"/>
        <w:ind w:firstLine="567"/>
        <w:rPr>
          <w:rFonts w:ascii="Arial" w:hAnsi="Arial" w:cs="Arial"/>
          <w:b/>
          <w:sz w:val="24"/>
          <w:szCs w:val="24"/>
        </w:rPr>
      </w:pPr>
      <w:r w:rsidRPr="00B8293F">
        <w:rPr>
          <w:rFonts w:ascii="Arial" w:hAnsi="Arial" w:cs="Arial"/>
          <w:b/>
          <w:sz w:val="24"/>
          <w:szCs w:val="24"/>
        </w:rPr>
        <w:t>Concluzii:</w:t>
      </w:r>
    </w:p>
    <w:p w:rsidR="00C1490A" w:rsidRPr="00B8293F" w:rsidRDefault="00C1490A" w:rsidP="00C1490A">
      <w:pPr>
        <w:spacing w:after="0" w:line="240" w:lineRule="auto"/>
        <w:ind w:firstLine="567"/>
        <w:jc w:val="both"/>
        <w:rPr>
          <w:rFonts w:ascii="Arial" w:hAnsi="Arial" w:cs="Arial"/>
          <w:sz w:val="24"/>
          <w:szCs w:val="24"/>
        </w:rPr>
      </w:pPr>
      <w:r w:rsidRPr="00B8293F">
        <w:rPr>
          <w:rFonts w:ascii="Arial" w:hAnsi="Arial" w:cs="Arial"/>
          <w:sz w:val="24"/>
          <w:szCs w:val="24"/>
        </w:rPr>
        <w:t>Analiza evoluţiei nivelurilor piezometrice ȋn perioada 2016-2021 a fost efectuată pe baza datelor provenite de la forajele reprezentative de monitorizare cantitativă din Programul de Transmisie lunară, care reprezintă aproximativ 10% din numărul total al forajelor gestionate de Administraţiile Bazinele de Apă, astfel ȋncât caracterul acesteia este informativ.</w:t>
      </w:r>
    </w:p>
    <w:p w:rsidR="00C1490A" w:rsidRPr="00B8293F" w:rsidRDefault="00C1490A" w:rsidP="00C1490A">
      <w:pPr>
        <w:spacing w:after="0" w:line="240" w:lineRule="auto"/>
        <w:ind w:firstLine="567"/>
        <w:jc w:val="both"/>
        <w:rPr>
          <w:rFonts w:ascii="Arial" w:hAnsi="Arial" w:cs="Arial"/>
          <w:sz w:val="24"/>
          <w:szCs w:val="24"/>
        </w:rPr>
      </w:pPr>
      <w:r w:rsidRPr="00B8293F">
        <w:rPr>
          <w:rFonts w:ascii="Arial" w:hAnsi="Arial" w:cs="Arial"/>
          <w:sz w:val="24"/>
          <w:szCs w:val="24"/>
        </w:rPr>
        <w:t xml:space="preserve">Conform rezultatelor sintetice prezentate ȋn acest raport, perioada analizată este caracterizată, din punct de vedere al tendinţei de evoluţie a nivelurilor piezometrice, prin scăderi pronunţate ȋn acviferele din bazinele şi spaţiile hidrografice Dobrogea-Litoral, Ialomiţa, Banat şi Jiu. Creşteri locale, dar semnificative s-au ȋnregistrat ȋn bazinele hidrografice Olt, Someş-Tisa, Crişuri şi Mureş. </w:t>
      </w:r>
    </w:p>
    <w:p w:rsidR="00C1490A" w:rsidRPr="00B8293F" w:rsidRDefault="00C1490A" w:rsidP="00C1490A">
      <w:pPr>
        <w:spacing w:line="240" w:lineRule="auto"/>
        <w:ind w:firstLine="567"/>
        <w:jc w:val="both"/>
        <w:rPr>
          <w:rFonts w:ascii="Arial" w:hAnsi="Arial" w:cs="Arial"/>
          <w:sz w:val="24"/>
          <w:szCs w:val="24"/>
        </w:rPr>
      </w:pPr>
      <w:r w:rsidRPr="00B8293F">
        <w:rPr>
          <w:rFonts w:ascii="Arial" w:hAnsi="Arial" w:cs="Arial"/>
          <w:sz w:val="24"/>
          <w:szCs w:val="24"/>
        </w:rPr>
        <w:t>Bazinele situate ȋn partea de nord şi est a României  prezintă, la nivelul ȋntregului an, o situaţie satisfăcătoare datorată cantităţilor cumulate din lunile iulie, august şi decembrie, ȋn cea mai mare parte depăşind 50 mm. Aceste valori au fost estimate ȋn forajele de monitorizare conform hărţilor Administraţie Naţionale de Meteorologie.</w:t>
      </w:r>
    </w:p>
    <w:p w:rsidR="00C1490A" w:rsidRPr="00B8293F" w:rsidRDefault="00C1490A" w:rsidP="00C1490A">
      <w:pPr>
        <w:spacing w:before="120" w:after="0"/>
        <w:ind w:firstLine="720"/>
        <w:jc w:val="center"/>
        <w:rPr>
          <w:rFonts w:ascii="Arial" w:hAnsi="Arial" w:cs="Arial"/>
          <w:b/>
          <w:i/>
          <w:color w:val="FF0000"/>
          <w:sz w:val="24"/>
          <w:szCs w:val="24"/>
        </w:rPr>
      </w:pPr>
    </w:p>
    <w:p w:rsidR="00C1490A" w:rsidRPr="00B8293F" w:rsidRDefault="00C1490A" w:rsidP="00C1490A">
      <w:pPr>
        <w:spacing w:before="120" w:after="0"/>
        <w:ind w:firstLine="720"/>
        <w:jc w:val="center"/>
        <w:rPr>
          <w:rFonts w:ascii="Arial" w:hAnsi="Arial" w:cs="Arial"/>
          <w:b/>
          <w:i/>
          <w:color w:val="FF0000"/>
          <w:sz w:val="24"/>
          <w:szCs w:val="24"/>
        </w:rPr>
      </w:pPr>
    </w:p>
    <w:p w:rsidR="00FD3D76" w:rsidRDefault="00FD3D76" w:rsidP="00C1490A">
      <w:pPr>
        <w:rPr>
          <w:rFonts w:ascii="Arial" w:hAnsi="Arial" w:cs="Arial"/>
          <w:b/>
          <w:sz w:val="24"/>
          <w:szCs w:val="24"/>
        </w:rPr>
      </w:pPr>
    </w:p>
    <w:p w:rsidR="00C1490A" w:rsidRPr="00B8293F" w:rsidRDefault="00C1490A" w:rsidP="00C1490A">
      <w:pPr>
        <w:rPr>
          <w:rFonts w:ascii="Arial" w:hAnsi="Arial" w:cs="Arial"/>
          <w:b/>
          <w:sz w:val="24"/>
          <w:szCs w:val="24"/>
        </w:rPr>
      </w:pPr>
      <w:r w:rsidRPr="00B8293F">
        <w:rPr>
          <w:rFonts w:ascii="Arial" w:hAnsi="Arial" w:cs="Arial"/>
          <w:b/>
          <w:sz w:val="24"/>
          <w:szCs w:val="24"/>
        </w:rPr>
        <w:t>II.1.1.2 Utilizarea resurselor de apă</w:t>
      </w:r>
    </w:p>
    <w:p w:rsidR="00C1490A" w:rsidRPr="00B8293F" w:rsidRDefault="00C1490A" w:rsidP="00C1490A">
      <w:pPr>
        <w:rPr>
          <w:rFonts w:ascii="Arial" w:eastAsia="Times New Roman" w:hAnsi="Arial" w:cs="Arial"/>
          <w:sz w:val="24"/>
          <w:szCs w:val="24"/>
          <w:lang w:eastAsia="ro-RO"/>
        </w:rPr>
      </w:pPr>
      <w:r w:rsidRPr="00B8293F">
        <w:rPr>
          <w:rFonts w:ascii="Arial" w:eastAsia="Times New Roman" w:hAnsi="Arial" w:cs="Arial"/>
          <w:b/>
          <w:bCs/>
          <w:i/>
          <w:iCs/>
          <w:sz w:val="24"/>
          <w:szCs w:val="24"/>
          <w:lang w:eastAsia="ro-RO"/>
        </w:rPr>
        <w:t xml:space="preserve">Tabelul II.1.1.2. </w:t>
      </w:r>
      <w:r w:rsidRPr="00B8293F">
        <w:rPr>
          <w:rFonts w:ascii="Arial" w:eastAsia="Times New Roman" w:hAnsi="Arial" w:cs="Arial"/>
          <w:sz w:val="24"/>
          <w:szCs w:val="24"/>
          <w:lang w:eastAsia="ro-RO"/>
        </w:rPr>
        <w:t>Evoluția cerinței de apă comparativ cu prelevarea volumelor de apă (mii m</w:t>
      </w:r>
      <w:r w:rsidRPr="00B8293F">
        <w:rPr>
          <w:rFonts w:ascii="Arial" w:eastAsia="Times New Roman" w:hAnsi="Arial" w:cs="Arial"/>
          <w:sz w:val="24"/>
          <w:szCs w:val="24"/>
          <w:vertAlign w:val="superscript"/>
          <w:lang w:eastAsia="ro-RO"/>
        </w:rPr>
        <w:t>3</w:t>
      </w:r>
      <w:r w:rsidRPr="00B8293F">
        <w:rPr>
          <w:rFonts w:ascii="Arial" w:eastAsia="Times New Roman" w:hAnsi="Arial" w:cs="Arial"/>
          <w:sz w:val="24"/>
          <w:szCs w:val="24"/>
          <w:lang w:eastAsia="ro-RO"/>
        </w:rPr>
        <w:t xml:space="preserve">) </w:t>
      </w:r>
    </w:p>
    <w:tbl>
      <w:tblPr>
        <w:tblStyle w:val="TableGrid"/>
        <w:tblW w:w="10307" w:type="dxa"/>
        <w:tblInd w:w="-725" w:type="dxa"/>
        <w:tblLook w:val="04A0" w:firstRow="1" w:lastRow="0" w:firstColumn="1" w:lastColumn="0" w:noHBand="0" w:noVBand="1"/>
      </w:tblPr>
      <w:tblGrid>
        <w:gridCol w:w="1620"/>
        <w:gridCol w:w="1151"/>
        <w:gridCol w:w="1151"/>
        <w:gridCol w:w="1151"/>
        <w:gridCol w:w="1151"/>
        <w:gridCol w:w="1151"/>
        <w:gridCol w:w="1151"/>
        <w:gridCol w:w="1151"/>
        <w:gridCol w:w="1151"/>
      </w:tblGrid>
      <w:tr w:rsidR="00C1490A" w:rsidRPr="00B8293F" w:rsidTr="00B8293F">
        <w:trPr>
          <w:trHeight w:val="302"/>
        </w:trPr>
        <w:tc>
          <w:tcPr>
            <w:tcW w:w="1620" w:type="dxa"/>
            <w:vMerge w:val="restart"/>
            <w:noWrap/>
            <w:vAlign w:val="center"/>
            <w:hideMark/>
          </w:tcPr>
          <w:p w:rsidR="00C1490A" w:rsidRPr="00B8293F" w:rsidRDefault="00C1490A" w:rsidP="00B8293F">
            <w:pPr>
              <w:jc w:val="center"/>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Sursa</w:t>
            </w:r>
          </w:p>
        </w:tc>
        <w:tc>
          <w:tcPr>
            <w:tcW w:w="2177" w:type="dxa"/>
            <w:gridSpan w:val="2"/>
            <w:noWrap/>
            <w:vAlign w:val="center"/>
            <w:hideMark/>
          </w:tcPr>
          <w:p w:rsidR="00C1490A" w:rsidRPr="00B8293F" w:rsidRDefault="00C1490A" w:rsidP="00B8293F">
            <w:pPr>
              <w:jc w:val="center"/>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Populație</w:t>
            </w:r>
          </w:p>
        </w:tc>
        <w:tc>
          <w:tcPr>
            <w:tcW w:w="2170" w:type="dxa"/>
            <w:gridSpan w:val="2"/>
            <w:noWrap/>
            <w:vAlign w:val="center"/>
            <w:hideMark/>
          </w:tcPr>
          <w:p w:rsidR="00C1490A" w:rsidRPr="00B8293F" w:rsidRDefault="00C1490A" w:rsidP="00B8293F">
            <w:pPr>
              <w:jc w:val="center"/>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Industrie</w:t>
            </w:r>
          </w:p>
        </w:tc>
        <w:tc>
          <w:tcPr>
            <w:tcW w:w="2170" w:type="dxa"/>
            <w:gridSpan w:val="2"/>
            <w:noWrap/>
            <w:vAlign w:val="center"/>
            <w:hideMark/>
          </w:tcPr>
          <w:p w:rsidR="00C1490A" w:rsidRPr="00B8293F" w:rsidRDefault="00C1490A" w:rsidP="00B8293F">
            <w:pPr>
              <w:jc w:val="center"/>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Agricultură</w:t>
            </w:r>
          </w:p>
        </w:tc>
        <w:tc>
          <w:tcPr>
            <w:tcW w:w="2170" w:type="dxa"/>
            <w:gridSpan w:val="2"/>
            <w:noWrap/>
            <w:vAlign w:val="center"/>
            <w:hideMark/>
          </w:tcPr>
          <w:p w:rsidR="00C1490A" w:rsidRPr="00B8293F" w:rsidRDefault="00C1490A" w:rsidP="00B8293F">
            <w:pPr>
              <w:jc w:val="center"/>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TOTAL</w:t>
            </w:r>
          </w:p>
        </w:tc>
      </w:tr>
      <w:tr w:rsidR="00C1490A" w:rsidRPr="00B8293F" w:rsidTr="00B8293F">
        <w:trPr>
          <w:trHeight w:val="302"/>
        </w:trPr>
        <w:tc>
          <w:tcPr>
            <w:tcW w:w="1620" w:type="dxa"/>
            <w:vMerge/>
            <w:vAlign w:val="center"/>
            <w:hideMark/>
          </w:tcPr>
          <w:p w:rsidR="00C1490A" w:rsidRPr="00B8293F" w:rsidRDefault="00C1490A" w:rsidP="00B8293F">
            <w:pPr>
              <w:jc w:val="center"/>
              <w:rPr>
                <w:rFonts w:ascii="Arial" w:eastAsia="Times New Roman" w:hAnsi="Arial" w:cs="Arial"/>
                <w:i/>
                <w:iCs/>
                <w:sz w:val="24"/>
                <w:szCs w:val="24"/>
                <w:lang w:eastAsia="ro-RO"/>
              </w:rPr>
            </w:pPr>
          </w:p>
        </w:tc>
        <w:tc>
          <w:tcPr>
            <w:tcW w:w="1080" w:type="dxa"/>
            <w:noWrap/>
            <w:vAlign w:val="center"/>
            <w:hideMark/>
          </w:tcPr>
          <w:p w:rsidR="00C1490A" w:rsidRPr="00B8293F" w:rsidRDefault="00C1490A" w:rsidP="00B8293F">
            <w:pPr>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Cerință</w:t>
            </w:r>
          </w:p>
        </w:tc>
        <w:tc>
          <w:tcPr>
            <w:tcW w:w="1097" w:type="dxa"/>
            <w:noWrap/>
            <w:vAlign w:val="center"/>
            <w:hideMark/>
          </w:tcPr>
          <w:p w:rsidR="00C1490A" w:rsidRPr="00B8293F" w:rsidRDefault="00C1490A" w:rsidP="00B8293F">
            <w:pPr>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Prelevat</w:t>
            </w:r>
          </w:p>
        </w:tc>
        <w:tc>
          <w:tcPr>
            <w:tcW w:w="1073" w:type="dxa"/>
            <w:noWrap/>
            <w:vAlign w:val="center"/>
            <w:hideMark/>
          </w:tcPr>
          <w:p w:rsidR="00C1490A" w:rsidRPr="00B8293F" w:rsidRDefault="00C1490A" w:rsidP="00B8293F">
            <w:pPr>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Cerință</w:t>
            </w:r>
          </w:p>
        </w:tc>
        <w:tc>
          <w:tcPr>
            <w:tcW w:w="1097" w:type="dxa"/>
            <w:noWrap/>
            <w:vAlign w:val="center"/>
            <w:hideMark/>
          </w:tcPr>
          <w:p w:rsidR="00C1490A" w:rsidRPr="00B8293F" w:rsidRDefault="00C1490A" w:rsidP="00B8293F">
            <w:pPr>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Prelevat</w:t>
            </w:r>
          </w:p>
        </w:tc>
        <w:tc>
          <w:tcPr>
            <w:tcW w:w="1073" w:type="dxa"/>
            <w:noWrap/>
            <w:vAlign w:val="center"/>
            <w:hideMark/>
          </w:tcPr>
          <w:p w:rsidR="00C1490A" w:rsidRPr="00B8293F" w:rsidRDefault="00C1490A" w:rsidP="00B8293F">
            <w:pPr>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Cerință</w:t>
            </w:r>
          </w:p>
        </w:tc>
        <w:tc>
          <w:tcPr>
            <w:tcW w:w="1097" w:type="dxa"/>
            <w:noWrap/>
            <w:vAlign w:val="center"/>
            <w:hideMark/>
          </w:tcPr>
          <w:p w:rsidR="00C1490A" w:rsidRPr="00B8293F" w:rsidRDefault="00C1490A" w:rsidP="00B8293F">
            <w:pPr>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Prelevat</w:t>
            </w:r>
          </w:p>
        </w:tc>
        <w:tc>
          <w:tcPr>
            <w:tcW w:w="1073" w:type="dxa"/>
            <w:noWrap/>
            <w:vAlign w:val="center"/>
            <w:hideMark/>
          </w:tcPr>
          <w:p w:rsidR="00C1490A" w:rsidRPr="00B8293F" w:rsidRDefault="00C1490A" w:rsidP="00B8293F">
            <w:pPr>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Cerință</w:t>
            </w:r>
          </w:p>
        </w:tc>
        <w:tc>
          <w:tcPr>
            <w:tcW w:w="1097" w:type="dxa"/>
            <w:noWrap/>
            <w:vAlign w:val="center"/>
            <w:hideMark/>
          </w:tcPr>
          <w:p w:rsidR="00C1490A" w:rsidRPr="00B8293F" w:rsidRDefault="00C1490A" w:rsidP="00B8293F">
            <w:pPr>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Prelevat</w:t>
            </w:r>
          </w:p>
        </w:tc>
      </w:tr>
      <w:tr w:rsidR="00C1490A" w:rsidRPr="00B8293F" w:rsidTr="00B8293F">
        <w:trPr>
          <w:trHeight w:val="302"/>
        </w:trPr>
        <w:tc>
          <w:tcPr>
            <w:tcW w:w="1620" w:type="dxa"/>
            <w:vMerge w:val="restart"/>
            <w:vAlign w:val="center"/>
            <w:hideMark/>
          </w:tcPr>
          <w:p w:rsidR="00C1490A" w:rsidRPr="00B8293F" w:rsidRDefault="00C1490A" w:rsidP="00B8293F">
            <w:pPr>
              <w:jc w:val="center"/>
              <w:rPr>
                <w:rFonts w:ascii="Arial" w:eastAsia="Times New Roman" w:hAnsi="Arial" w:cs="Arial"/>
                <w:sz w:val="24"/>
                <w:szCs w:val="24"/>
                <w:lang w:eastAsia="ro-RO"/>
              </w:rPr>
            </w:pPr>
            <w:r w:rsidRPr="00B8293F">
              <w:rPr>
                <w:rFonts w:ascii="Arial" w:eastAsia="Times New Roman" w:hAnsi="Arial" w:cs="Arial"/>
                <w:sz w:val="24"/>
                <w:szCs w:val="24"/>
                <w:lang w:eastAsia="ro-RO"/>
              </w:rPr>
              <w:t>Suprafață</w:t>
            </w:r>
          </w:p>
        </w:tc>
        <w:tc>
          <w:tcPr>
            <w:tcW w:w="1080"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579424</w:t>
            </w:r>
          </w:p>
        </w:tc>
        <w:tc>
          <w:tcPr>
            <w:tcW w:w="1097"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536969</w:t>
            </w:r>
          </w:p>
        </w:tc>
        <w:tc>
          <w:tcPr>
            <w:tcW w:w="1073"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1690074</w:t>
            </w:r>
          </w:p>
        </w:tc>
        <w:tc>
          <w:tcPr>
            <w:tcW w:w="1097"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1244955</w:t>
            </w:r>
          </w:p>
        </w:tc>
        <w:tc>
          <w:tcPr>
            <w:tcW w:w="1073"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998258</w:t>
            </w:r>
          </w:p>
        </w:tc>
        <w:tc>
          <w:tcPr>
            <w:tcW w:w="1097"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888659</w:t>
            </w:r>
          </w:p>
        </w:tc>
        <w:tc>
          <w:tcPr>
            <w:tcW w:w="1073"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3267756</w:t>
            </w:r>
          </w:p>
        </w:tc>
        <w:tc>
          <w:tcPr>
            <w:tcW w:w="1097"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2670583</w:t>
            </w:r>
          </w:p>
        </w:tc>
      </w:tr>
      <w:tr w:rsidR="00C1490A" w:rsidRPr="00B8293F" w:rsidTr="00B8293F">
        <w:trPr>
          <w:trHeight w:val="302"/>
        </w:trPr>
        <w:tc>
          <w:tcPr>
            <w:tcW w:w="1620" w:type="dxa"/>
            <w:vMerge/>
            <w:vAlign w:val="center"/>
            <w:hideMark/>
          </w:tcPr>
          <w:p w:rsidR="00C1490A" w:rsidRPr="00B8293F" w:rsidRDefault="00C1490A" w:rsidP="00B8293F">
            <w:pPr>
              <w:jc w:val="center"/>
              <w:rPr>
                <w:rFonts w:ascii="Arial" w:eastAsia="Times New Roman" w:hAnsi="Arial" w:cs="Arial"/>
                <w:sz w:val="24"/>
                <w:szCs w:val="24"/>
                <w:lang w:eastAsia="ro-RO"/>
              </w:rPr>
            </w:pPr>
          </w:p>
        </w:tc>
        <w:tc>
          <w:tcPr>
            <w:tcW w:w="1080"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594990</w:t>
            </w:r>
          </w:p>
        </w:tc>
        <w:tc>
          <w:tcPr>
            <w:tcW w:w="1097"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535160</w:t>
            </w:r>
          </w:p>
        </w:tc>
        <w:tc>
          <w:tcPr>
            <w:tcW w:w="1073"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1707998</w:t>
            </w:r>
          </w:p>
        </w:tc>
        <w:tc>
          <w:tcPr>
            <w:tcW w:w="1097"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1350532</w:t>
            </w:r>
          </w:p>
        </w:tc>
        <w:tc>
          <w:tcPr>
            <w:tcW w:w="1073"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942300</w:t>
            </w:r>
          </w:p>
        </w:tc>
        <w:tc>
          <w:tcPr>
            <w:tcW w:w="1097"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1035709</w:t>
            </w:r>
          </w:p>
        </w:tc>
        <w:tc>
          <w:tcPr>
            <w:tcW w:w="1073"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3245288</w:t>
            </w:r>
          </w:p>
        </w:tc>
        <w:tc>
          <w:tcPr>
            <w:tcW w:w="1097"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2921401</w:t>
            </w:r>
          </w:p>
        </w:tc>
      </w:tr>
      <w:tr w:rsidR="00C1490A" w:rsidRPr="00B8293F" w:rsidTr="00B8293F">
        <w:trPr>
          <w:trHeight w:val="302"/>
        </w:trPr>
        <w:tc>
          <w:tcPr>
            <w:tcW w:w="1620" w:type="dxa"/>
            <w:vMerge/>
            <w:vAlign w:val="center"/>
            <w:hideMark/>
          </w:tcPr>
          <w:p w:rsidR="00C1490A" w:rsidRPr="00B8293F" w:rsidRDefault="00C1490A" w:rsidP="00B8293F">
            <w:pPr>
              <w:jc w:val="center"/>
              <w:rPr>
                <w:rFonts w:ascii="Arial" w:eastAsia="Times New Roman" w:hAnsi="Arial" w:cs="Arial"/>
                <w:sz w:val="24"/>
                <w:szCs w:val="24"/>
                <w:lang w:eastAsia="ro-RO"/>
              </w:rPr>
            </w:pPr>
          </w:p>
        </w:tc>
        <w:tc>
          <w:tcPr>
            <w:tcW w:w="1080" w:type="dxa"/>
            <w:tcBorders>
              <w:top w:val="single" w:sz="4" w:space="0" w:color="auto"/>
              <w:left w:val="single" w:sz="4" w:space="0" w:color="auto"/>
              <w:bottom w:val="nil"/>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593806</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557945</w:t>
            </w:r>
          </w:p>
        </w:tc>
        <w:tc>
          <w:tcPr>
            <w:tcW w:w="1073" w:type="dxa"/>
            <w:tcBorders>
              <w:top w:val="nil"/>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1307286</w:t>
            </w:r>
          </w:p>
        </w:tc>
        <w:tc>
          <w:tcPr>
            <w:tcW w:w="1097" w:type="dxa"/>
            <w:tcBorders>
              <w:top w:val="nil"/>
              <w:left w:val="nil"/>
              <w:bottom w:val="nil"/>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1255395</w:t>
            </w:r>
          </w:p>
        </w:tc>
        <w:tc>
          <w:tcPr>
            <w:tcW w:w="1073" w:type="dxa"/>
            <w:tcBorders>
              <w:top w:val="nil"/>
              <w:left w:val="nil"/>
              <w:bottom w:val="nil"/>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1099659</w:t>
            </w:r>
          </w:p>
        </w:tc>
        <w:tc>
          <w:tcPr>
            <w:tcW w:w="1097" w:type="dxa"/>
            <w:tcBorders>
              <w:top w:val="nil"/>
              <w:left w:val="nil"/>
              <w:bottom w:val="nil"/>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951952</w:t>
            </w:r>
          </w:p>
        </w:tc>
        <w:tc>
          <w:tcPr>
            <w:tcW w:w="1073" w:type="dxa"/>
            <w:tcBorders>
              <w:top w:val="single" w:sz="4" w:space="0" w:color="auto"/>
              <w:left w:val="nil"/>
              <w:bottom w:val="nil"/>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3000751</w:t>
            </w:r>
          </w:p>
        </w:tc>
        <w:tc>
          <w:tcPr>
            <w:tcW w:w="1097" w:type="dxa"/>
            <w:tcBorders>
              <w:top w:val="single" w:sz="4" w:space="0" w:color="auto"/>
              <w:left w:val="nil"/>
              <w:bottom w:val="nil"/>
              <w:right w:val="single" w:sz="8"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2765292</w:t>
            </w:r>
          </w:p>
        </w:tc>
      </w:tr>
      <w:tr w:rsidR="00C1490A" w:rsidRPr="00B8293F" w:rsidTr="00B8293F">
        <w:trPr>
          <w:trHeight w:val="302"/>
        </w:trPr>
        <w:tc>
          <w:tcPr>
            <w:tcW w:w="1620" w:type="dxa"/>
            <w:vMerge/>
            <w:vAlign w:val="center"/>
            <w:hideMark/>
          </w:tcPr>
          <w:p w:rsidR="00C1490A" w:rsidRPr="00B8293F" w:rsidRDefault="00C1490A" w:rsidP="00B8293F">
            <w:pPr>
              <w:jc w:val="center"/>
              <w:rPr>
                <w:rFonts w:ascii="Arial" w:eastAsia="Times New Roman" w:hAnsi="Arial" w:cs="Arial"/>
                <w:sz w:val="24"/>
                <w:szCs w:val="24"/>
                <w:lang w:eastAsia="ro-RO"/>
              </w:rPr>
            </w:pPr>
          </w:p>
        </w:tc>
        <w:tc>
          <w:tcPr>
            <w:tcW w:w="1080" w:type="dxa"/>
            <w:tcBorders>
              <w:top w:val="single" w:sz="4" w:space="0" w:color="auto"/>
              <w:left w:val="single" w:sz="4" w:space="0" w:color="auto"/>
              <w:bottom w:val="single" w:sz="8" w:space="0" w:color="auto"/>
              <w:right w:val="nil"/>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615797</w:t>
            </w:r>
          </w:p>
        </w:tc>
        <w:tc>
          <w:tcPr>
            <w:tcW w:w="1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612211</w:t>
            </w:r>
          </w:p>
        </w:tc>
        <w:tc>
          <w:tcPr>
            <w:tcW w:w="1073" w:type="dxa"/>
            <w:tcBorders>
              <w:top w:val="single" w:sz="4" w:space="0" w:color="auto"/>
              <w:left w:val="single" w:sz="4" w:space="0" w:color="auto"/>
              <w:bottom w:val="single" w:sz="4" w:space="0" w:color="auto"/>
              <w:right w:val="nil"/>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1730382</w:t>
            </w:r>
          </w:p>
        </w:tc>
        <w:tc>
          <w:tcPr>
            <w:tcW w:w="1097" w:type="dxa"/>
            <w:tcBorders>
              <w:top w:val="single" w:sz="4" w:space="0" w:color="auto"/>
              <w:left w:val="single" w:sz="4" w:space="0" w:color="auto"/>
              <w:bottom w:val="single" w:sz="8" w:space="0" w:color="auto"/>
              <w:right w:val="nil"/>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1322859</w:t>
            </w:r>
          </w:p>
        </w:tc>
        <w:tc>
          <w:tcPr>
            <w:tcW w:w="1073" w:type="dxa"/>
            <w:tcBorders>
              <w:top w:val="single" w:sz="4" w:space="0" w:color="auto"/>
              <w:left w:val="single" w:sz="4" w:space="0" w:color="auto"/>
              <w:bottom w:val="single" w:sz="8" w:space="0" w:color="auto"/>
              <w:right w:val="nil"/>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1120766</w:t>
            </w:r>
          </w:p>
        </w:tc>
        <w:tc>
          <w:tcPr>
            <w:tcW w:w="1097" w:type="dxa"/>
            <w:tcBorders>
              <w:top w:val="single" w:sz="4" w:space="0" w:color="auto"/>
              <w:left w:val="single" w:sz="4" w:space="0" w:color="auto"/>
              <w:bottom w:val="single" w:sz="8" w:space="0" w:color="auto"/>
              <w:right w:val="nil"/>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1028841</w:t>
            </w:r>
          </w:p>
        </w:tc>
        <w:tc>
          <w:tcPr>
            <w:tcW w:w="1073" w:type="dxa"/>
            <w:tcBorders>
              <w:top w:val="single" w:sz="4" w:space="0" w:color="auto"/>
              <w:left w:val="single" w:sz="4" w:space="0" w:color="auto"/>
              <w:bottom w:val="single" w:sz="8" w:space="0" w:color="auto"/>
              <w:right w:val="nil"/>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3466945</w:t>
            </w:r>
          </w:p>
        </w:tc>
        <w:tc>
          <w:tcPr>
            <w:tcW w:w="1097"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2963911</w:t>
            </w:r>
          </w:p>
        </w:tc>
      </w:tr>
      <w:tr w:rsidR="00C1490A" w:rsidRPr="00B8293F" w:rsidTr="00B8293F">
        <w:trPr>
          <w:trHeight w:val="302"/>
        </w:trPr>
        <w:tc>
          <w:tcPr>
            <w:tcW w:w="1620" w:type="dxa"/>
            <w:vMerge/>
            <w:vAlign w:val="center"/>
            <w:hideMark/>
          </w:tcPr>
          <w:p w:rsidR="00C1490A" w:rsidRPr="00B8293F" w:rsidRDefault="00C1490A" w:rsidP="00B8293F">
            <w:pPr>
              <w:jc w:val="center"/>
              <w:rPr>
                <w:rFonts w:ascii="Arial" w:eastAsia="Times New Roman" w:hAnsi="Arial" w:cs="Arial"/>
                <w:sz w:val="24"/>
                <w:szCs w:val="24"/>
                <w:lang w:eastAsia="ro-RO"/>
              </w:rPr>
            </w:pPr>
          </w:p>
        </w:tc>
        <w:tc>
          <w:tcPr>
            <w:tcW w:w="1080" w:type="dxa"/>
            <w:tcBorders>
              <w:top w:val="single" w:sz="4" w:space="0" w:color="auto"/>
              <w:left w:val="single" w:sz="4" w:space="0" w:color="auto"/>
              <w:bottom w:val="single" w:sz="8" w:space="0" w:color="auto"/>
              <w:right w:val="nil"/>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627178</w:t>
            </w:r>
          </w:p>
        </w:tc>
        <w:tc>
          <w:tcPr>
            <w:tcW w:w="10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593018</w:t>
            </w:r>
          </w:p>
        </w:tc>
        <w:tc>
          <w:tcPr>
            <w:tcW w:w="1073"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1909807</w:t>
            </w:r>
          </w:p>
        </w:tc>
        <w:tc>
          <w:tcPr>
            <w:tcW w:w="1097" w:type="dxa"/>
            <w:tcBorders>
              <w:top w:val="single" w:sz="4" w:space="0" w:color="auto"/>
              <w:left w:val="nil"/>
              <w:bottom w:val="single" w:sz="8" w:space="0" w:color="auto"/>
              <w:right w:val="nil"/>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1155263</w:t>
            </w:r>
          </w:p>
        </w:tc>
        <w:tc>
          <w:tcPr>
            <w:tcW w:w="1073" w:type="dxa"/>
            <w:tcBorders>
              <w:top w:val="single" w:sz="4" w:space="0" w:color="auto"/>
              <w:left w:val="single" w:sz="4" w:space="0" w:color="auto"/>
              <w:bottom w:val="single" w:sz="8" w:space="0" w:color="auto"/>
              <w:right w:val="nil"/>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1171368</w:t>
            </w:r>
          </w:p>
        </w:tc>
        <w:tc>
          <w:tcPr>
            <w:tcW w:w="1097" w:type="dxa"/>
            <w:tcBorders>
              <w:top w:val="single" w:sz="4" w:space="0" w:color="auto"/>
              <w:left w:val="single" w:sz="4" w:space="0" w:color="auto"/>
              <w:bottom w:val="single" w:sz="8" w:space="0" w:color="auto"/>
              <w:right w:val="nil"/>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1135911</w:t>
            </w:r>
          </w:p>
        </w:tc>
        <w:tc>
          <w:tcPr>
            <w:tcW w:w="1073" w:type="dxa"/>
            <w:tcBorders>
              <w:top w:val="single" w:sz="4" w:space="0" w:color="auto"/>
              <w:left w:val="single" w:sz="4" w:space="0" w:color="auto"/>
              <w:bottom w:val="single" w:sz="8" w:space="0" w:color="auto"/>
              <w:right w:val="nil"/>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3708353</w:t>
            </w:r>
          </w:p>
        </w:tc>
        <w:tc>
          <w:tcPr>
            <w:tcW w:w="1097"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2884192</w:t>
            </w:r>
          </w:p>
        </w:tc>
      </w:tr>
      <w:tr w:rsidR="00C1490A" w:rsidRPr="00B8293F" w:rsidTr="00B8293F">
        <w:trPr>
          <w:trHeight w:val="302"/>
        </w:trPr>
        <w:tc>
          <w:tcPr>
            <w:tcW w:w="1620" w:type="dxa"/>
            <w:vMerge/>
            <w:vAlign w:val="center"/>
            <w:hideMark/>
          </w:tcPr>
          <w:p w:rsidR="00C1490A" w:rsidRPr="00B8293F" w:rsidRDefault="00C1490A" w:rsidP="00B8293F">
            <w:pPr>
              <w:jc w:val="center"/>
              <w:rPr>
                <w:rFonts w:ascii="Arial" w:eastAsia="Times New Roman" w:hAnsi="Arial" w:cs="Arial"/>
                <w:sz w:val="24"/>
                <w:szCs w:val="24"/>
                <w:lang w:eastAsia="ro-RO"/>
              </w:rPr>
            </w:pPr>
          </w:p>
        </w:tc>
        <w:tc>
          <w:tcPr>
            <w:tcW w:w="1080" w:type="dxa"/>
            <w:tcBorders>
              <w:top w:val="single" w:sz="4" w:space="0" w:color="auto"/>
              <w:left w:val="single" w:sz="4" w:space="0" w:color="auto"/>
              <w:bottom w:val="single" w:sz="8" w:space="0" w:color="auto"/>
              <w:right w:val="nil"/>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606789</w:t>
            </w:r>
          </w:p>
        </w:tc>
        <w:tc>
          <w:tcPr>
            <w:tcW w:w="1097" w:type="dxa"/>
            <w:tcBorders>
              <w:top w:val="single" w:sz="4" w:space="0" w:color="auto"/>
              <w:left w:val="single" w:sz="4" w:space="0" w:color="auto"/>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663620</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1735509</w:t>
            </w:r>
          </w:p>
        </w:tc>
        <w:tc>
          <w:tcPr>
            <w:tcW w:w="1097" w:type="dxa"/>
            <w:tcBorders>
              <w:top w:val="single" w:sz="4" w:space="0" w:color="auto"/>
              <w:left w:val="nil"/>
              <w:bottom w:val="single" w:sz="8" w:space="0" w:color="auto"/>
              <w:right w:val="nil"/>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1219753</w:t>
            </w:r>
          </w:p>
        </w:tc>
        <w:tc>
          <w:tcPr>
            <w:tcW w:w="1073" w:type="dxa"/>
            <w:tcBorders>
              <w:top w:val="single" w:sz="4" w:space="0" w:color="auto"/>
              <w:left w:val="single" w:sz="4" w:space="0" w:color="auto"/>
              <w:bottom w:val="single" w:sz="8" w:space="0" w:color="auto"/>
              <w:right w:val="nil"/>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1271531</w:t>
            </w:r>
          </w:p>
        </w:tc>
        <w:tc>
          <w:tcPr>
            <w:tcW w:w="1097" w:type="dxa"/>
            <w:tcBorders>
              <w:top w:val="single" w:sz="4" w:space="0" w:color="auto"/>
              <w:left w:val="single" w:sz="4" w:space="0" w:color="auto"/>
              <w:bottom w:val="single" w:sz="8" w:space="0" w:color="auto"/>
              <w:right w:val="nil"/>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1396849</w:t>
            </w:r>
          </w:p>
        </w:tc>
        <w:tc>
          <w:tcPr>
            <w:tcW w:w="1073" w:type="dxa"/>
            <w:tcBorders>
              <w:top w:val="single" w:sz="4" w:space="0" w:color="auto"/>
              <w:left w:val="single" w:sz="4" w:space="0" w:color="auto"/>
              <w:bottom w:val="single" w:sz="8" w:space="0" w:color="auto"/>
              <w:right w:val="nil"/>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3613829</w:t>
            </w:r>
          </w:p>
        </w:tc>
        <w:tc>
          <w:tcPr>
            <w:tcW w:w="1097" w:type="dxa"/>
            <w:tcBorders>
              <w:top w:val="single" w:sz="4" w:space="0" w:color="auto"/>
              <w:left w:val="single" w:sz="4" w:space="0" w:color="auto"/>
              <w:bottom w:val="single" w:sz="8" w:space="0" w:color="auto"/>
              <w:right w:val="single" w:sz="8"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3280222</w:t>
            </w:r>
          </w:p>
        </w:tc>
      </w:tr>
      <w:tr w:rsidR="00C1490A" w:rsidRPr="00B8293F" w:rsidTr="00B8293F">
        <w:trPr>
          <w:trHeight w:val="302"/>
        </w:trPr>
        <w:tc>
          <w:tcPr>
            <w:tcW w:w="1620" w:type="dxa"/>
            <w:vMerge w:val="restart"/>
            <w:noWrap/>
            <w:vAlign w:val="center"/>
            <w:hideMark/>
          </w:tcPr>
          <w:p w:rsidR="00C1490A" w:rsidRPr="00B8293F" w:rsidRDefault="00C1490A" w:rsidP="00B8293F">
            <w:pPr>
              <w:jc w:val="center"/>
              <w:rPr>
                <w:rFonts w:ascii="Arial" w:eastAsia="Times New Roman" w:hAnsi="Arial" w:cs="Arial"/>
                <w:sz w:val="24"/>
                <w:szCs w:val="24"/>
                <w:lang w:eastAsia="ro-RO"/>
              </w:rPr>
            </w:pPr>
            <w:r w:rsidRPr="00B8293F">
              <w:rPr>
                <w:rFonts w:ascii="Arial" w:eastAsia="Times New Roman" w:hAnsi="Arial" w:cs="Arial"/>
                <w:sz w:val="24"/>
                <w:szCs w:val="24"/>
                <w:lang w:eastAsia="ro-RO"/>
              </w:rPr>
              <w:t>Subteran</w:t>
            </w:r>
          </w:p>
        </w:tc>
        <w:tc>
          <w:tcPr>
            <w:tcW w:w="1080"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472993</w:t>
            </w:r>
          </w:p>
        </w:tc>
        <w:tc>
          <w:tcPr>
            <w:tcW w:w="1097"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454977</w:t>
            </w:r>
          </w:p>
        </w:tc>
        <w:tc>
          <w:tcPr>
            <w:tcW w:w="1073"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166987</w:t>
            </w:r>
          </w:p>
        </w:tc>
        <w:tc>
          <w:tcPr>
            <w:tcW w:w="1097"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140553</w:t>
            </w:r>
          </w:p>
        </w:tc>
        <w:tc>
          <w:tcPr>
            <w:tcW w:w="1073"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40674</w:t>
            </w:r>
          </w:p>
        </w:tc>
        <w:tc>
          <w:tcPr>
            <w:tcW w:w="1097"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39518</w:t>
            </w:r>
          </w:p>
        </w:tc>
        <w:tc>
          <w:tcPr>
            <w:tcW w:w="1073"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680654</w:t>
            </w:r>
          </w:p>
        </w:tc>
        <w:tc>
          <w:tcPr>
            <w:tcW w:w="1097"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635048</w:t>
            </w:r>
          </w:p>
        </w:tc>
      </w:tr>
      <w:tr w:rsidR="00C1490A" w:rsidRPr="00B8293F" w:rsidTr="00B8293F">
        <w:trPr>
          <w:trHeight w:val="302"/>
        </w:trPr>
        <w:tc>
          <w:tcPr>
            <w:tcW w:w="1620" w:type="dxa"/>
            <w:vMerge/>
            <w:vAlign w:val="center"/>
            <w:hideMark/>
          </w:tcPr>
          <w:p w:rsidR="00C1490A" w:rsidRPr="00B8293F" w:rsidRDefault="00C1490A" w:rsidP="00B8293F">
            <w:pPr>
              <w:jc w:val="center"/>
              <w:rPr>
                <w:rFonts w:ascii="Arial" w:eastAsia="Times New Roman" w:hAnsi="Arial" w:cs="Arial"/>
                <w:sz w:val="24"/>
                <w:szCs w:val="24"/>
                <w:lang w:eastAsia="ro-RO"/>
              </w:rPr>
            </w:pPr>
          </w:p>
        </w:tc>
        <w:tc>
          <w:tcPr>
            <w:tcW w:w="1080"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482213</w:t>
            </w:r>
          </w:p>
        </w:tc>
        <w:tc>
          <w:tcPr>
            <w:tcW w:w="1097"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452958</w:t>
            </w:r>
          </w:p>
        </w:tc>
        <w:tc>
          <w:tcPr>
            <w:tcW w:w="1073"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162548</w:t>
            </w:r>
          </w:p>
        </w:tc>
        <w:tc>
          <w:tcPr>
            <w:tcW w:w="1097"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147014</w:t>
            </w:r>
          </w:p>
        </w:tc>
        <w:tc>
          <w:tcPr>
            <w:tcW w:w="1073"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44805</w:t>
            </w:r>
          </w:p>
        </w:tc>
        <w:tc>
          <w:tcPr>
            <w:tcW w:w="1097"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46458</w:t>
            </w:r>
          </w:p>
        </w:tc>
        <w:tc>
          <w:tcPr>
            <w:tcW w:w="1073"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689566</w:t>
            </w:r>
          </w:p>
        </w:tc>
        <w:tc>
          <w:tcPr>
            <w:tcW w:w="1097"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646430</w:t>
            </w:r>
          </w:p>
        </w:tc>
      </w:tr>
      <w:tr w:rsidR="00C1490A" w:rsidRPr="00B8293F" w:rsidTr="00B8293F">
        <w:trPr>
          <w:trHeight w:val="302"/>
        </w:trPr>
        <w:tc>
          <w:tcPr>
            <w:tcW w:w="1620" w:type="dxa"/>
            <w:vMerge/>
            <w:vAlign w:val="center"/>
            <w:hideMark/>
          </w:tcPr>
          <w:p w:rsidR="00C1490A" w:rsidRPr="00B8293F" w:rsidRDefault="00C1490A" w:rsidP="00B8293F">
            <w:pPr>
              <w:jc w:val="center"/>
              <w:rPr>
                <w:rFonts w:ascii="Arial" w:eastAsia="Times New Roman" w:hAnsi="Arial" w:cs="Arial"/>
                <w:sz w:val="24"/>
                <w:szCs w:val="24"/>
                <w:lang w:eastAsia="ro-RO"/>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498167</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467129</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167239</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159826</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55458</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51737</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720864</w:t>
            </w:r>
          </w:p>
        </w:tc>
        <w:tc>
          <w:tcPr>
            <w:tcW w:w="1097" w:type="dxa"/>
            <w:tcBorders>
              <w:top w:val="single" w:sz="4" w:space="0" w:color="auto"/>
              <w:left w:val="nil"/>
              <w:bottom w:val="single" w:sz="4" w:space="0" w:color="auto"/>
              <w:right w:val="single" w:sz="8"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678692</w:t>
            </w:r>
          </w:p>
        </w:tc>
      </w:tr>
      <w:tr w:rsidR="00C1490A" w:rsidRPr="00B8293F" w:rsidTr="00B8293F">
        <w:trPr>
          <w:trHeight w:val="302"/>
        </w:trPr>
        <w:tc>
          <w:tcPr>
            <w:tcW w:w="1620" w:type="dxa"/>
            <w:vMerge/>
            <w:vAlign w:val="center"/>
            <w:hideMark/>
          </w:tcPr>
          <w:p w:rsidR="00C1490A" w:rsidRPr="00B8293F" w:rsidRDefault="00C1490A" w:rsidP="00B8293F">
            <w:pPr>
              <w:jc w:val="center"/>
              <w:rPr>
                <w:rFonts w:ascii="Arial" w:eastAsia="Times New Roman" w:hAnsi="Arial" w:cs="Arial"/>
                <w:sz w:val="24"/>
                <w:szCs w:val="24"/>
                <w:lang w:eastAsia="ro-RO"/>
              </w:rPr>
            </w:pPr>
          </w:p>
        </w:tc>
        <w:tc>
          <w:tcPr>
            <w:tcW w:w="1080" w:type="dxa"/>
            <w:tcBorders>
              <w:top w:val="nil"/>
              <w:left w:val="single" w:sz="4" w:space="0" w:color="auto"/>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521195</w:t>
            </w:r>
          </w:p>
        </w:tc>
        <w:tc>
          <w:tcPr>
            <w:tcW w:w="1097"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492378</w:t>
            </w:r>
          </w:p>
        </w:tc>
        <w:tc>
          <w:tcPr>
            <w:tcW w:w="1073"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184000</w:t>
            </w:r>
          </w:p>
        </w:tc>
        <w:tc>
          <w:tcPr>
            <w:tcW w:w="1097"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159092</w:t>
            </w:r>
          </w:p>
        </w:tc>
        <w:tc>
          <w:tcPr>
            <w:tcW w:w="1073"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60841</w:t>
            </w:r>
          </w:p>
        </w:tc>
        <w:tc>
          <w:tcPr>
            <w:tcW w:w="1097"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53341</w:t>
            </w:r>
          </w:p>
        </w:tc>
        <w:tc>
          <w:tcPr>
            <w:tcW w:w="1073"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766036</w:t>
            </w:r>
          </w:p>
        </w:tc>
        <w:tc>
          <w:tcPr>
            <w:tcW w:w="1097" w:type="dxa"/>
            <w:tcBorders>
              <w:top w:val="nil"/>
              <w:left w:val="nil"/>
              <w:bottom w:val="single" w:sz="8" w:space="0" w:color="auto"/>
              <w:right w:val="single" w:sz="8"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704811</w:t>
            </w:r>
          </w:p>
        </w:tc>
      </w:tr>
      <w:tr w:rsidR="00C1490A" w:rsidRPr="00B8293F" w:rsidTr="00B8293F">
        <w:trPr>
          <w:trHeight w:val="302"/>
        </w:trPr>
        <w:tc>
          <w:tcPr>
            <w:tcW w:w="1620" w:type="dxa"/>
            <w:vMerge/>
            <w:vAlign w:val="center"/>
            <w:hideMark/>
          </w:tcPr>
          <w:p w:rsidR="00C1490A" w:rsidRPr="00B8293F" w:rsidRDefault="00C1490A" w:rsidP="00B8293F">
            <w:pPr>
              <w:jc w:val="center"/>
              <w:rPr>
                <w:rFonts w:ascii="Arial" w:eastAsia="Times New Roman" w:hAnsi="Arial" w:cs="Arial"/>
                <w:sz w:val="24"/>
                <w:szCs w:val="24"/>
                <w:lang w:eastAsia="ro-RO"/>
              </w:rPr>
            </w:pPr>
          </w:p>
        </w:tc>
        <w:tc>
          <w:tcPr>
            <w:tcW w:w="1080"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539058</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411372</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195651</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198892</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67492</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185296</w:t>
            </w:r>
          </w:p>
        </w:tc>
        <w:tc>
          <w:tcPr>
            <w:tcW w:w="1073"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802201</w:t>
            </w:r>
          </w:p>
        </w:tc>
        <w:tc>
          <w:tcPr>
            <w:tcW w:w="1097" w:type="dxa"/>
            <w:tcBorders>
              <w:top w:val="single" w:sz="4" w:space="0" w:color="auto"/>
              <w:left w:val="nil"/>
              <w:bottom w:val="single" w:sz="8" w:space="0" w:color="auto"/>
              <w:right w:val="single" w:sz="8"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795560</w:t>
            </w:r>
          </w:p>
        </w:tc>
      </w:tr>
      <w:tr w:rsidR="00C1490A" w:rsidRPr="00B8293F" w:rsidTr="00B8293F">
        <w:trPr>
          <w:trHeight w:val="302"/>
        </w:trPr>
        <w:tc>
          <w:tcPr>
            <w:tcW w:w="1620" w:type="dxa"/>
            <w:vMerge/>
            <w:vAlign w:val="center"/>
            <w:hideMark/>
          </w:tcPr>
          <w:p w:rsidR="00C1490A" w:rsidRPr="00B8293F" w:rsidRDefault="00C1490A" w:rsidP="00B8293F">
            <w:pPr>
              <w:jc w:val="center"/>
              <w:rPr>
                <w:rFonts w:ascii="Arial" w:eastAsia="Times New Roman" w:hAnsi="Arial" w:cs="Arial"/>
                <w:sz w:val="24"/>
                <w:szCs w:val="24"/>
                <w:lang w:eastAsia="ro-RO"/>
              </w:rPr>
            </w:pPr>
          </w:p>
        </w:tc>
        <w:tc>
          <w:tcPr>
            <w:tcW w:w="1080" w:type="dxa"/>
            <w:tcBorders>
              <w:top w:val="single" w:sz="4" w:space="0" w:color="auto"/>
              <w:left w:val="single" w:sz="4" w:space="0" w:color="auto"/>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598991</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535101</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201856</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194748</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87979</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75896</w:t>
            </w:r>
          </w:p>
        </w:tc>
        <w:tc>
          <w:tcPr>
            <w:tcW w:w="1073" w:type="dxa"/>
            <w:tcBorders>
              <w:top w:val="nil"/>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888826</w:t>
            </w:r>
          </w:p>
        </w:tc>
        <w:tc>
          <w:tcPr>
            <w:tcW w:w="1097" w:type="dxa"/>
            <w:tcBorders>
              <w:top w:val="single" w:sz="4" w:space="0" w:color="auto"/>
              <w:left w:val="nil"/>
              <w:bottom w:val="single" w:sz="8" w:space="0" w:color="auto"/>
              <w:right w:val="single" w:sz="8"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805745</w:t>
            </w:r>
          </w:p>
        </w:tc>
      </w:tr>
      <w:tr w:rsidR="00C1490A" w:rsidRPr="00B8293F" w:rsidTr="00B8293F">
        <w:trPr>
          <w:trHeight w:val="302"/>
        </w:trPr>
        <w:tc>
          <w:tcPr>
            <w:tcW w:w="1620" w:type="dxa"/>
            <w:vMerge w:val="restart"/>
            <w:noWrap/>
            <w:vAlign w:val="center"/>
            <w:hideMark/>
          </w:tcPr>
          <w:p w:rsidR="00C1490A" w:rsidRPr="00B8293F" w:rsidRDefault="00C1490A" w:rsidP="00B8293F">
            <w:pPr>
              <w:jc w:val="center"/>
              <w:rPr>
                <w:rFonts w:ascii="Arial" w:eastAsia="Times New Roman" w:hAnsi="Arial" w:cs="Arial"/>
                <w:sz w:val="24"/>
                <w:szCs w:val="24"/>
                <w:lang w:eastAsia="ro-RO"/>
              </w:rPr>
            </w:pPr>
            <w:r w:rsidRPr="00B8293F">
              <w:rPr>
                <w:rFonts w:ascii="Arial" w:eastAsia="Times New Roman" w:hAnsi="Arial" w:cs="Arial"/>
                <w:sz w:val="24"/>
                <w:szCs w:val="24"/>
                <w:lang w:eastAsia="ro-RO"/>
              </w:rPr>
              <w:t>Dunăre</w:t>
            </w:r>
          </w:p>
        </w:tc>
        <w:tc>
          <w:tcPr>
            <w:tcW w:w="1080"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69170</w:t>
            </w:r>
          </w:p>
        </w:tc>
        <w:tc>
          <w:tcPr>
            <w:tcW w:w="1097"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59187</w:t>
            </w:r>
          </w:p>
        </w:tc>
        <w:tc>
          <w:tcPr>
            <w:tcW w:w="1073"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2336364</w:t>
            </w:r>
          </w:p>
        </w:tc>
        <w:tc>
          <w:tcPr>
            <w:tcW w:w="1097"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2684657</w:t>
            </w:r>
          </w:p>
        </w:tc>
        <w:tc>
          <w:tcPr>
            <w:tcW w:w="1073"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363069</w:t>
            </w:r>
          </w:p>
        </w:tc>
        <w:tc>
          <w:tcPr>
            <w:tcW w:w="1097"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314452</w:t>
            </w:r>
          </w:p>
        </w:tc>
        <w:tc>
          <w:tcPr>
            <w:tcW w:w="1073"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2768603</w:t>
            </w:r>
          </w:p>
        </w:tc>
        <w:tc>
          <w:tcPr>
            <w:tcW w:w="1097"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3058296</w:t>
            </w:r>
          </w:p>
        </w:tc>
      </w:tr>
      <w:tr w:rsidR="00C1490A" w:rsidRPr="00B8293F" w:rsidTr="00B8293F">
        <w:trPr>
          <w:trHeight w:val="302"/>
        </w:trPr>
        <w:tc>
          <w:tcPr>
            <w:tcW w:w="1620" w:type="dxa"/>
            <w:vMerge/>
            <w:vAlign w:val="center"/>
            <w:hideMark/>
          </w:tcPr>
          <w:p w:rsidR="00C1490A" w:rsidRPr="00B8293F" w:rsidRDefault="00C1490A" w:rsidP="00B8293F">
            <w:pPr>
              <w:jc w:val="center"/>
              <w:rPr>
                <w:rFonts w:ascii="Arial" w:eastAsia="Times New Roman" w:hAnsi="Arial" w:cs="Arial"/>
                <w:sz w:val="24"/>
                <w:szCs w:val="24"/>
                <w:lang w:eastAsia="ro-RO"/>
              </w:rPr>
            </w:pPr>
          </w:p>
        </w:tc>
        <w:tc>
          <w:tcPr>
            <w:tcW w:w="1080"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67599</w:t>
            </w:r>
          </w:p>
        </w:tc>
        <w:tc>
          <w:tcPr>
            <w:tcW w:w="1097"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60042</w:t>
            </w:r>
          </w:p>
        </w:tc>
        <w:tc>
          <w:tcPr>
            <w:tcW w:w="1073"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2595753</w:t>
            </w:r>
          </w:p>
        </w:tc>
        <w:tc>
          <w:tcPr>
            <w:tcW w:w="1097"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2725887</w:t>
            </w:r>
          </w:p>
        </w:tc>
        <w:tc>
          <w:tcPr>
            <w:tcW w:w="1073"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387068</w:t>
            </w:r>
          </w:p>
        </w:tc>
        <w:tc>
          <w:tcPr>
            <w:tcW w:w="1097"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408583</w:t>
            </w:r>
          </w:p>
        </w:tc>
        <w:tc>
          <w:tcPr>
            <w:tcW w:w="1073"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3050420</w:t>
            </w:r>
          </w:p>
        </w:tc>
        <w:tc>
          <w:tcPr>
            <w:tcW w:w="1097"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3194512</w:t>
            </w:r>
          </w:p>
        </w:tc>
      </w:tr>
      <w:tr w:rsidR="00C1490A" w:rsidRPr="00B8293F" w:rsidTr="00B8293F">
        <w:trPr>
          <w:trHeight w:val="302"/>
        </w:trPr>
        <w:tc>
          <w:tcPr>
            <w:tcW w:w="1620" w:type="dxa"/>
            <w:vMerge/>
            <w:vAlign w:val="center"/>
            <w:hideMark/>
          </w:tcPr>
          <w:p w:rsidR="00C1490A" w:rsidRPr="00B8293F" w:rsidRDefault="00C1490A" w:rsidP="00B8293F">
            <w:pPr>
              <w:jc w:val="center"/>
              <w:rPr>
                <w:rFonts w:ascii="Arial" w:eastAsia="Times New Roman" w:hAnsi="Arial" w:cs="Arial"/>
                <w:sz w:val="24"/>
                <w:szCs w:val="24"/>
                <w:lang w:eastAsia="ro-RO"/>
              </w:rPr>
            </w:pP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68575</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59876</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2593468</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2479875</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502860</w:t>
            </w:r>
          </w:p>
        </w:tc>
        <w:tc>
          <w:tcPr>
            <w:tcW w:w="1097" w:type="dxa"/>
            <w:tcBorders>
              <w:top w:val="single" w:sz="4" w:space="0" w:color="auto"/>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423146</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3164903</w:t>
            </w:r>
          </w:p>
        </w:tc>
        <w:tc>
          <w:tcPr>
            <w:tcW w:w="1097" w:type="dxa"/>
            <w:tcBorders>
              <w:top w:val="single" w:sz="4" w:space="0" w:color="auto"/>
              <w:left w:val="nil"/>
              <w:bottom w:val="single" w:sz="4" w:space="0" w:color="auto"/>
              <w:right w:val="single" w:sz="8"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2962897</w:t>
            </w:r>
          </w:p>
        </w:tc>
      </w:tr>
      <w:tr w:rsidR="00C1490A" w:rsidRPr="00B8293F" w:rsidTr="00B8293F">
        <w:trPr>
          <w:trHeight w:val="302"/>
        </w:trPr>
        <w:tc>
          <w:tcPr>
            <w:tcW w:w="1620" w:type="dxa"/>
            <w:vMerge/>
            <w:vAlign w:val="center"/>
            <w:hideMark/>
          </w:tcPr>
          <w:p w:rsidR="00C1490A" w:rsidRPr="00B8293F" w:rsidRDefault="00C1490A" w:rsidP="00B8293F">
            <w:pPr>
              <w:jc w:val="center"/>
              <w:rPr>
                <w:rFonts w:ascii="Arial" w:eastAsia="Times New Roman" w:hAnsi="Arial" w:cs="Arial"/>
                <w:sz w:val="24"/>
                <w:szCs w:val="24"/>
                <w:lang w:eastAsia="ro-RO"/>
              </w:rPr>
            </w:pPr>
          </w:p>
        </w:tc>
        <w:tc>
          <w:tcPr>
            <w:tcW w:w="1080" w:type="dxa"/>
            <w:tcBorders>
              <w:top w:val="nil"/>
              <w:left w:val="single" w:sz="4" w:space="0" w:color="auto"/>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67222</w:t>
            </w:r>
          </w:p>
        </w:tc>
        <w:tc>
          <w:tcPr>
            <w:tcW w:w="1097"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71904</w:t>
            </w:r>
          </w:p>
        </w:tc>
        <w:tc>
          <w:tcPr>
            <w:tcW w:w="1073"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2592137</w:t>
            </w:r>
          </w:p>
        </w:tc>
        <w:tc>
          <w:tcPr>
            <w:tcW w:w="1097"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2719039</w:t>
            </w:r>
          </w:p>
        </w:tc>
        <w:tc>
          <w:tcPr>
            <w:tcW w:w="1073"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467507</w:t>
            </w:r>
          </w:p>
        </w:tc>
        <w:tc>
          <w:tcPr>
            <w:tcW w:w="1097"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508740</w:t>
            </w:r>
          </w:p>
        </w:tc>
        <w:tc>
          <w:tcPr>
            <w:tcW w:w="1073"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3126866</w:t>
            </w:r>
          </w:p>
        </w:tc>
        <w:tc>
          <w:tcPr>
            <w:tcW w:w="1097" w:type="dxa"/>
            <w:tcBorders>
              <w:top w:val="nil"/>
              <w:left w:val="nil"/>
              <w:bottom w:val="single" w:sz="8" w:space="0" w:color="auto"/>
              <w:right w:val="single" w:sz="8"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3299683</w:t>
            </w:r>
          </w:p>
        </w:tc>
      </w:tr>
      <w:tr w:rsidR="00C1490A" w:rsidRPr="00B8293F" w:rsidTr="00B8293F">
        <w:trPr>
          <w:trHeight w:val="302"/>
        </w:trPr>
        <w:tc>
          <w:tcPr>
            <w:tcW w:w="1620" w:type="dxa"/>
            <w:vMerge/>
            <w:vAlign w:val="center"/>
            <w:hideMark/>
          </w:tcPr>
          <w:p w:rsidR="00C1490A" w:rsidRPr="00B8293F" w:rsidRDefault="00C1490A" w:rsidP="00B8293F">
            <w:pPr>
              <w:jc w:val="center"/>
              <w:rPr>
                <w:rFonts w:ascii="Arial" w:eastAsia="Times New Roman" w:hAnsi="Arial" w:cs="Arial"/>
                <w:sz w:val="24"/>
                <w:szCs w:val="24"/>
                <w:lang w:eastAsia="ro-RO"/>
              </w:rPr>
            </w:pPr>
          </w:p>
        </w:tc>
        <w:tc>
          <w:tcPr>
            <w:tcW w:w="1080"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68523</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73362</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2720136</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2676840</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599604</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958882</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3388263</w:t>
            </w:r>
          </w:p>
        </w:tc>
        <w:tc>
          <w:tcPr>
            <w:tcW w:w="1097" w:type="dxa"/>
            <w:tcBorders>
              <w:top w:val="single" w:sz="4" w:space="0" w:color="auto"/>
              <w:left w:val="nil"/>
              <w:bottom w:val="single" w:sz="8" w:space="0" w:color="auto"/>
              <w:right w:val="single" w:sz="8"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3709084</w:t>
            </w:r>
          </w:p>
        </w:tc>
      </w:tr>
      <w:tr w:rsidR="00C1490A" w:rsidRPr="00B8293F" w:rsidTr="00B8293F">
        <w:trPr>
          <w:trHeight w:val="302"/>
        </w:trPr>
        <w:tc>
          <w:tcPr>
            <w:tcW w:w="1620" w:type="dxa"/>
            <w:vMerge/>
            <w:vAlign w:val="center"/>
            <w:hideMark/>
          </w:tcPr>
          <w:p w:rsidR="00C1490A" w:rsidRPr="00B8293F" w:rsidRDefault="00C1490A" w:rsidP="00B8293F">
            <w:pPr>
              <w:jc w:val="center"/>
              <w:rPr>
                <w:rFonts w:ascii="Arial" w:eastAsia="Times New Roman" w:hAnsi="Arial" w:cs="Arial"/>
                <w:sz w:val="24"/>
                <w:szCs w:val="24"/>
                <w:lang w:eastAsia="ro-RO"/>
              </w:rPr>
            </w:pPr>
          </w:p>
        </w:tc>
        <w:tc>
          <w:tcPr>
            <w:tcW w:w="1080" w:type="dxa"/>
            <w:tcBorders>
              <w:top w:val="single" w:sz="4" w:space="0" w:color="auto"/>
              <w:left w:val="single" w:sz="4" w:space="0" w:color="auto"/>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80274</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70729</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2742255</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2691300</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801420</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1007633</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3623949</w:t>
            </w:r>
          </w:p>
        </w:tc>
        <w:tc>
          <w:tcPr>
            <w:tcW w:w="1097" w:type="dxa"/>
            <w:tcBorders>
              <w:top w:val="single" w:sz="4" w:space="0" w:color="auto"/>
              <w:left w:val="nil"/>
              <w:bottom w:val="single" w:sz="8" w:space="0" w:color="auto"/>
              <w:right w:val="single" w:sz="8"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3769662</w:t>
            </w:r>
          </w:p>
        </w:tc>
      </w:tr>
      <w:tr w:rsidR="00C1490A" w:rsidRPr="00B8293F" w:rsidTr="00B8293F">
        <w:trPr>
          <w:trHeight w:val="302"/>
        </w:trPr>
        <w:tc>
          <w:tcPr>
            <w:tcW w:w="1620" w:type="dxa"/>
            <w:vMerge w:val="restart"/>
            <w:noWrap/>
            <w:vAlign w:val="center"/>
            <w:hideMark/>
          </w:tcPr>
          <w:p w:rsidR="00C1490A" w:rsidRPr="00B8293F" w:rsidRDefault="00C1490A" w:rsidP="00B8293F">
            <w:pPr>
              <w:jc w:val="center"/>
              <w:rPr>
                <w:rFonts w:ascii="Arial" w:eastAsia="Times New Roman" w:hAnsi="Arial" w:cs="Arial"/>
                <w:sz w:val="24"/>
                <w:szCs w:val="24"/>
                <w:lang w:eastAsia="ro-RO"/>
              </w:rPr>
            </w:pPr>
            <w:r w:rsidRPr="00B8293F">
              <w:rPr>
                <w:rFonts w:ascii="Arial" w:eastAsia="Times New Roman" w:hAnsi="Arial" w:cs="Arial"/>
                <w:sz w:val="24"/>
                <w:szCs w:val="24"/>
                <w:lang w:eastAsia="ro-RO"/>
              </w:rPr>
              <w:t>Marea Neagră</w:t>
            </w:r>
          </w:p>
        </w:tc>
        <w:tc>
          <w:tcPr>
            <w:tcW w:w="1080"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60</w:t>
            </w:r>
          </w:p>
        </w:tc>
        <w:tc>
          <w:tcPr>
            <w:tcW w:w="1097"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65</w:t>
            </w:r>
          </w:p>
        </w:tc>
        <w:tc>
          <w:tcPr>
            <w:tcW w:w="1073"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9503</w:t>
            </w:r>
          </w:p>
        </w:tc>
        <w:tc>
          <w:tcPr>
            <w:tcW w:w="1097"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9533</w:t>
            </w:r>
          </w:p>
        </w:tc>
        <w:tc>
          <w:tcPr>
            <w:tcW w:w="1073"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 </w:t>
            </w:r>
          </w:p>
        </w:tc>
        <w:tc>
          <w:tcPr>
            <w:tcW w:w="1097"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 </w:t>
            </w:r>
          </w:p>
        </w:tc>
        <w:tc>
          <w:tcPr>
            <w:tcW w:w="1073"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9563</w:t>
            </w:r>
          </w:p>
        </w:tc>
        <w:tc>
          <w:tcPr>
            <w:tcW w:w="1097" w:type="dxa"/>
            <w:noWrap/>
            <w:vAlign w:val="center"/>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9598</w:t>
            </w:r>
          </w:p>
        </w:tc>
      </w:tr>
      <w:tr w:rsidR="00C1490A" w:rsidRPr="00B8293F" w:rsidTr="00B8293F">
        <w:trPr>
          <w:trHeight w:val="302"/>
        </w:trPr>
        <w:tc>
          <w:tcPr>
            <w:tcW w:w="1620" w:type="dxa"/>
            <w:vMerge/>
            <w:vAlign w:val="center"/>
            <w:hideMark/>
          </w:tcPr>
          <w:p w:rsidR="00C1490A" w:rsidRPr="00B8293F" w:rsidRDefault="00C1490A" w:rsidP="00B8293F">
            <w:pPr>
              <w:rPr>
                <w:rFonts w:ascii="Arial" w:eastAsia="Times New Roman" w:hAnsi="Arial" w:cs="Arial"/>
                <w:sz w:val="24"/>
                <w:szCs w:val="24"/>
                <w:lang w:eastAsia="ro-RO"/>
              </w:rPr>
            </w:pPr>
          </w:p>
        </w:tc>
        <w:tc>
          <w:tcPr>
            <w:tcW w:w="1080"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58</w:t>
            </w:r>
          </w:p>
        </w:tc>
        <w:tc>
          <w:tcPr>
            <w:tcW w:w="1097"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52</w:t>
            </w:r>
          </w:p>
        </w:tc>
        <w:tc>
          <w:tcPr>
            <w:tcW w:w="1073"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10287</w:t>
            </w:r>
          </w:p>
        </w:tc>
        <w:tc>
          <w:tcPr>
            <w:tcW w:w="1097"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10253</w:t>
            </w:r>
          </w:p>
        </w:tc>
        <w:tc>
          <w:tcPr>
            <w:tcW w:w="1073"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 </w:t>
            </w:r>
          </w:p>
        </w:tc>
        <w:tc>
          <w:tcPr>
            <w:tcW w:w="1097"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 </w:t>
            </w:r>
          </w:p>
        </w:tc>
        <w:tc>
          <w:tcPr>
            <w:tcW w:w="1073"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10345</w:t>
            </w:r>
          </w:p>
        </w:tc>
        <w:tc>
          <w:tcPr>
            <w:tcW w:w="1097" w:type="dxa"/>
            <w:noWrap/>
            <w:vAlign w:val="center"/>
            <w:hideMark/>
          </w:tcPr>
          <w:p w:rsidR="00C1490A" w:rsidRPr="00B8293F" w:rsidRDefault="00C1490A" w:rsidP="00B8293F">
            <w:pPr>
              <w:jc w:val="right"/>
              <w:rPr>
                <w:rFonts w:ascii="Arial" w:eastAsia="Times New Roman" w:hAnsi="Arial" w:cs="Arial"/>
                <w:sz w:val="24"/>
                <w:szCs w:val="24"/>
                <w:lang w:eastAsia="ro-RO"/>
              </w:rPr>
            </w:pPr>
            <w:r w:rsidRPr="00B8293F">
              <w:rPr>
                <w:rFonts w:ascii="Arial" w:eastAsia="Times New Roman" w:hAnsi="Arial" w:cs="Arial"/>
                <w:sz w:val="24"/>
                <w:szCs w:val="24"/>
                <w:lang w:eastAsia="ro-RO"/>
              </w:rPr>
              <w:t>10305</w:t>
            </w:r>
          </w:p>
        </w:tc>
      </w:tr>
      <w:tr w:rsidR="00C1490A" w:rsidRPr="00B8293F" w:rsidTr="00B8293F">
        <w:trPr>
          <w:trHeight w:val="302"/>
        </w:trPr>
        <w:tc>
          <w:tcPr>
            <w:tcW w:w="1620" w:type="dxa"/>
            <w:vMerge/>
            <w:vAlign w:val="center"/>
            <w:hideMark/>
          </w:tcPr>
          <w:p w:rsidR="00C1490A" w:rsidRPr="00B8293F" w:rsidRDefault="00C1490A" w:rsidP="00B8293F">
            <w:pPr>
              <w:rPr>
                <w:rFonts w:ascii="Arial" w:eastAsia="Times New Roman" w:hAnsi="Arial" w:cs="Arial"/>
                <w:sz w:val="24"/>
                <w:szCs w:val="24"/>
                <w:lang w:eastAsia="ro-RO"/>
              </w:rPr>
            </w:pPr>
          </w:p>
        </w:tc>
        <w:tc>
          <w:tcPr>
            <w:tcW w:w="1080" w:type="dxa"/>
            <w:tcBorders>
              <w:top w:val="single" w:sz="4" w:space="0" w:color="auto"/>
              <w:left w:val="single" w:sz="8" w:space="0" w:color="auto"/>
              <w:bottom w:val="nil"/>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65</w:t>
            </w:r>
          </w:p>
        </w:tc>
        <w:tc>
          <w:tcPr>
            <w:tcW w:w="1097" w:type="dxa"/>
            <w:tcBorders>
              <w:top w:val="single" w:sz="4" w:space="0" w:color="auto"/>
              <w:left w:val="nil"/>
              <w:bottom w:val="nil"/>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46</w:t>
            </w:r>
          </w:p>
        </w:tc>
        <w:tc>
          <w:tcPr>
            <w:tcW w:w="1073" w:type="dxa"/>
            <w:tcBorders>
              <w:top w:val="single" w:sz="4" w:space="0" w:color="auto"/>
              <w:left w:val="nil"/>
              <w:bottom w:val="nil"/>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10179</w:t>
            </w:r>
          </w:p>
        </w:tc>
        <w:tc>
          <w:tcPr>
            <w:tcW w:w="1097" w:type="dxa"/>
            <w:tcBorders>
              <w:top w:val="single" w:sz="4" w:space="0" w:color="auto"/>
              <w:left w:val="nil"/>
              <w:bottom w:val="nil"/>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9238</w:t>
            </w:r>
          </w:p>
        </w:tc>
        <w:tc>
          <w:tcPr>
            <w:tcW w:w="1073" w:type="dxa"/>
            <w:tcBorders>
              <w:top w:val="single" w:sz="4" w:space="0" w:color="auto"/>
              <w:left w:val="nil"/>
              <w:bottom w:val="nil"/>
              <w:right w:val="single" w:sz="4" w:space="0" w:color="auto"/>
            </w:tcBorders>
            <w:shd w:val="clear" w:color="auto" w:fill="auto"/>
            <w:noWrap/>
            <w:vAlign w:val="bottom"/>
            <w:hideMark/>
          </w:tcPr>
          <w:p w:rsidR="00C1490A" w:rsidRPr="00B8293F" w:rsidRDefault="00C1490A" w:rsidP="00B8293F">
            <w:pPr>
              <w:rPr>
                <w:rFonts w:ascii="Arial" w:hAnsi="Arial" w:cs="Arial"/>
                <w:color w:val="000000"/>
                <w:sz w:val="24"/>
                <w:szCs w:val="24"/>
              </w:rPr>
            </w:pPr>
            <w:r w:rsidRPr="00B8293F">
              <w:rPr>
                <w:rFonts w:ascii="Arial" w:hAnsi="Arial" w:cs="Arial"/>
                <w:color w:val="000000"/>
                <w:sz w:val="24"/>
                <w:szCs w:val="24"/>
              </w:rPr>
              <w:t> </w:t>
            </w:r>
          </w:p>
        </w:tc>
        <w:tc>
          <w:tcPr>
            <w:tcW w:w="1097" w:type="dxa"/>
            <w:tcBorders>
              <w:top w:val="single" w:sz="4" w:space="0" w:color="auto"/>
              <w:left w:val="nil"/>
              <w:bottom w:val="nil"/>
              <w:right w:val="single" w:sz="4" w:space="0" w:color="auto"/>
            </w:tcBorders>
            <w:shd w:val="clear" w:color="auto" w:fill="auto"/>
            <w:noWrap/>
            <w:vAlign w:val="bottom"/>
            <w:hideMark/>
          </w:tcPr>
          <w:p w:rsidR="00C1490A" w:rsidRPr="00B8293F" w:rsidRDefault="00C1490A" w:rsidP="00B8293F">
            <w:pPr>
              <w:rPr>
                <w:rFonts w:ascii="Arial" w:hAnsi="Arial" w:cs="Arial"/>
                <w:color w:val="000000"/>
                <w:sz w:val="24"/>
                <w:szCs w:val="24"/>
              </w:rPr>
            </w:pPr>
            <w:r w:rsidRPr="00B8293F">
              <w:rPr>
                <w:rFonts w:ascii="Arial" w:hAnsi="Arial" w:cs="Arial"/>
                <w:color w:val="000000"/>
                <w:sz w:val="24"/>
                <w:szCs w:val="24"/>
              </w:rPr>
              <w:t> </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10244</w:t>
            </w:r>
          </w:p>
        </w:tc>
        <w:tc>
          <w:tcPr>
            <w:tcW w:w="1097" w:type="dxa"/>
            <w:tcBorders>
              <w:top w:val="single" w:sz="4" w:space="0" w:color="auto"/>
              <w:left w:val="nil"/>
              <w:bottom w:val="single" w:sz="4" w:space="0" w:color="auto"/>
              <w:right w:val="single" w:sz="8"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9284</w:t>
            </w:r>
          </w:p>
        </w:tc>
      </w:tr>
      <w:tr w:rsidR="00C1490A" w:rsidRPr="00B8293F" w:rsidTr="00B8293F">
        <w:trPr>
          <w:trHeight w:val="302"/>
        </w:trPr>
        <w:tc>
          <w:tcPr>
            <w:tcW w:w="1620" w:type="dxa"/>
            <w:vMerge/>
            <w:vAlign w:val="center"/>
            <w:hideMark/>
          </w:tcPr>
          <w:p w:rsidR="00C1490A" w:rsidRPr="00B8293F" w:rsidRDefault="00C1490A" w:rsidP="00B8293F">
            <w:pPr>
              <w:rPr>
                <w:rFonts w:ascii="Arial" w:eastAsia="Times New Roman" w:hAnsi="Arial" w:cs="Arial"/>
                <w:sz w:val="24"/>
                <w:szCs w:val="24"/>
                <w:lang w:eastAsia="ro-RO"/>
              </w:rPr>
            </w:pPr>
          </w:p>
        </w:tc>
        <w:tc>
          <w:tcPr>
            <w:tcW w:w="108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74</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47</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10339</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6405</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rPr>
                <w:rFonts w:ascii="Arial" w:hAnsi="Arial" w:cs="Arial"/>
                <w:color w:val="000000"/>
                <w:sz w:val="24"/>
                <w:szCs w:val="24"/>
              </w:rPr>
            </w:pPr>
            <w:r w:rsidRPr="00B8293F">
              <w:rPr>
                <w:rFonts w:ascii="Arial" w:hAnsi="Arial" w:cs="Arial"/>
                <w:color w:val="000000"/>
                <w:sz w:val="24"/>
                <w:szCs w:val="24"/>
              </w:rPr>
              <w:t> </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rPr>
                <w:rFonts w:ascii="Arial" w:hAnsi="Arial" w:cs="Arial"/>
                <w:color w:val="000000"/>
                <w:sz w:val="24"/>
                <w:szCs w:val="24"/>
              </w:rPr>
            </w:pPr>
            <w:r w:rsidRPr="00B8293F">
              <w:rPr>
                <w:rFonts w:ascii="Arial" w:hAnsi="Arial" w:cs="Arial"/>
                <w:color w:val="000000"/>
                <w:sz w:val="24"/>
                <w:szCs w:val="24"/>
              </w:rPr>
              <w:t> </w:t>
            </w:r>
          </w:p>
        </w:tc>
        <w:tc>
          <w:tcPr>
            <w:tcW w:w="1073"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10413</w:t>
            </w:r>
          </w:p>
        </w:tc>
        <w:tc>
          <w:tcPr>
            <w:tcW w:w="1097" w:type="dxa"/>
            <w:tcBorders>
              <w:top w:val="nil"/>
              <w:left w:val="nil"/>
              <w:bottom w:val="single" w:sz="8" w:space="0" w:color="auto"/>
              <w:right w:val="single" w:sz="8"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6452</w:t>
            </w:r>
          </w:p>
        </w:tc>
      </w:tr>
      <w:tr w:rsidR="00C1490A" w:rsidRPr="00B8293F" w:rsidTr="00B8293F">
        <w:trPr>
          <w:trHeight w:val="302"/>
        </w:trPr>
        <w:tc>
          <w:tcPr>
            <w:tcW w:w="1620" w:type="dxa"/>
            <w:vMerge/>
            <w:vAlign w:val="center"/>
            <w:hideMark/>
          </w:tcPr>
          <w:p w:rsidR="00C1490A" w:rsidRPr="00B8293F" w:rsidRDefault="00C1490A" w:rsidP="00B8293F">
            <w:pPr>
              <w:rPr>
                <w:rFonts w:ascii="Arial" w:eastAsia="Times New Roman" w:hAnsi="Arial" w:cs="Arial"/>
                <w:sz w:val="24"/>
                <w:szCs w:val="24"/>
                <w:lang w:eastAsia="ro-RO"/>
              </w:rPr>
            </w:pPr>
          </w:p>
        </w:tc>
        <w:tc>
          <w:tcPr>
            <w:tcW w:w="108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74</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27</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9602</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7320</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rPr>
                <w:rFonts w:ascii="Arial" w:hAnsi="Arial" w:cs="Arial"/>
                <w:color w:val="000000"/>
                <w:sz w:val="24"/>
                <w:szCs w:val="24"/>
              </w:rPr>
            </w:pPr>
            <w:r w:rsidRPr="00B8293F">
              <w:rPr>
                <w:rFonts w:ascii="Arial" w:hAnsi="Arial" w:cs="Arial"/>
                <w:color w:val="000000"/>
                <w:sz w:val="24"/>
                <w:szCs w:val="24"/>
              </w:rPr>
              <w:t> </w:t>
            </w:r>
          </w:p>
        </w:tc>
        <w:tc>
          <w:tcPr>
            <w:tcW w:w="1097"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rPr>
                <w:rFonts w:ascii="Arial" w:hAnsi="Arial" w:cs="Arial"/>
                <w:color w:val="000000"/>
                <w:sz w:val="24"/>
                <w:szCs w:val="24"/>
              </w:rPr>
            </w:pPr>
            <w:r w:rsidRPr="00B8293F">
              <w:rPr>
                <w:rFonts w:ascii="Arial" w:hAnsi="Arial" w:cs="Arial"/>
                <w:color w:val="000000"/>
                <w:sz w:val="24"/>
                <w:szCs w:val="24"/>
              </w:rPr>
              <w:t> </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9676</w:t>
            </w:r>
          </w:p>
        </w:tc>
        <w:tc>
          <w:tcPr>
            <w:tcW w:w="1097" w:type="dxa"/>
            <w:tcBorders>
              <w:top w:val="single" w:sz="4" w:space="0" w:color="auto"/>
              <w:left w:val="nil"/>
              <w:bottom w:val="single" w:sz="8" w:space="0" w:color="auto"/>
              <w:right w:val="single" w:sz="8" w:space="0" w:color="auto"/>
            </w:tcBorders>
            <w:shd w:val="clear" w:color="auto" w:fill="auto"/>
            <w:noWrap/>
            <w:vAlign w:val="bottom"/>
            <w:hideMark/>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7347</w:t>
            </w:r>
          </w:p>
        </w:tc>
      </w:tr>
      <w:tr w:rsidR="00C1490A" w:rsidRPr="00B8293F" w:rsidTr="00B8293F">
        <w:trPr>
          <w:trHeight w:val="302"/>
        </w:trPr>
        <w:tc>
          <w:tcPr>
            <w:tcW w:w="1620" w:type="dxa"/>
            <w:vMerge/>
            <w:vAlign w:val="center"/>
            <w:hideMark/>
          </w:tcPr>
          <w:p w:rsidR="00C1490A" w:rsidRPr="00B8293F" w:rsidRDefault="00C1490A" w:rsidP="00B8293F">
            <w:pPr>
              <w:rPr>
                <w:rFonts w:ascii="Arial" w:eastAsia="Times New Roman" w:hAnsi="Arial" w:cs="Arial"/>
                <w:sz w:val="24"/>
                <w:szCs w:val="24"/>
                <w:lang w:eastAsia="ro-RO"/>
              </w:rPr>
            </w:pPr>
          </w:p>
        </w:tc>
        <w:tc>
          <w:tcPr>
            <w:tcW w:w="1080" w:type="dxa"/>
            <w:tcBorders>
              <w:top w:val="single" w:sz="4" w:space="0" w:color="auto"/>
              <w:left w:val="single" w:sz="8" w:space="0" w:color="auto"/>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117</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40</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17297</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7928</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rPr>
                <w:rFonts w:ascii="Arial" w:hAnsi="Arial" w:cs="Arial"/>
                <w:color w:val="000000"/>
                <w:sz w:val="24"/>
                <w:szCs w:val="24"/>
              </w:rPr>
            </w:pPr>
            <w:r w:rsidRPr="00B8293F">
              <w:rPr>
                <w:rFonts w:ascii="Arial" w:hAnsi="Arial" w:cs="Arial"/>
                <w:color w:val="000000"/>
                <w:sz w:val="24"/>
                <w:szCs w:val="24"/>
              </w:rPr>
              <w:t> </w:t>
            </w:r>
          </w:p>
        </w:tc>
        <w:tc>
          <w:tcPr>
            <w:tcW w:w="1097"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rPr>
                <w:rFonts w:ascii="Arial" w:hAnsi="Arial" w:cs="Arial"/>
                <w:color w:val="000000"/>
                <w:sz w:val="24"/>
                <w:szCs w:val="24"/>
              </w:rPr>
            </w:pPr>
            <w:r w:rsidRPr="00B8293F">
              <w:rPr>
                <w:rFonts w:ascii="Arial" w:hAnsi="Arial" w:cs="Arial"/>
                <w:color w:val="000000"/>
                <w:sz w:val="24"/>
                <w:szCs w:val="24"/>
              </w:rPr>
              <w:t> </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17414</w:t>
            </w:r>
          </w:p>
        </w:tc>
        <w:tc>
          <w:tcPr>
            <w:tcW w:w="1097" w:type="dxa"/>
            <w:tcBorders>
              <w:top w:val="single" w:sz="4" w:space="0" w:color="auto"/>
              <w:left w:val="nil"/>
              <w:bottom w:val="single" w:sz="8" w:space="0" w:color="auto"/>
              <w:right w:val="single" w:sz="8" w:space="0" w:color="auto"/>
            </w:tcBorders>
            <w:shd w:val="clear" w:color="auto" w:fill="auto"/>
            <w:noWrap/>
            <w:vAlign w:val="bottom"/>
          </w:tcPr>
          <w:p w:rsidR="00C1490A" w:rsidRPr="00B8293F" w:rsidRDefault="00C1490A" w:rsidP="00B8293F">
            <w:pPr>
              <w:jc w:val="right"/>
              <w:rPr>
                <w:rFonts w:ascii="Arial" w:hAnsi="Arial" w:cs="Arial"/>
                <w:color w:val="000000"/>
                <w:sz w:val="24"/>
                <w:szCs w:val="24"/>
              </w:rPr>
            </w:pPr>
            <w:r w:rsidRPr="00B8293F">
              <w:rPr>
                <w:rFonts w:ascii="Arial" w:hAnsi="Arial" w:cs="Arial"/>
                <w:color w:val="000000"/>
                <w:sz w:val="24"/>
                <w:szCs w:val="24"/>
              </w:rPr>
              <w:t>7968</w:t>
            </w:r>
          </w:p>
        </w:tc>
      </w:tr>
      <w:tr w:rsidR="00C1490A" w:rsidRPr="00B8293F" w:rsidTr="00B8293F">
        <w:trPr>
          <w:trHeight w:val="302"/>
        </w:trPr>
        <w:tc>
          <w:tcPr>
            <w:tcW w:w="1620" w:type="dxa"/>
            <w:noWrap/>
            <w:vAlign w:val="center"/>
            <w:hideMark/>
          </w:tcPr>
          <w:p w:rsidR="00C1490A" w:rsidRPr="00B8293F" w:rsidRDefault="00C1490A" w:rsidP="00B8293F">
            <w:pPr>
              <w:rPr>
                <w:rFonts w:ascii="Arial" w:eastAsia="Times New Roman" w:hAnsi="Arial" w:cs="Arial"/>
                <w:sz w:val="24"/>
                <w:szCs w:val="24"/>
                <w:lang w:eastAsia="ro-RO"/>
              </w:rPr>
            </w:pPr>
            <w:r w:rsidRPr="00B8293F">
              <w:rPr>
                <w:rFonts w:ascii="Arial" w:eastAsia="Times New Roman" w:hAnsi="Arial" w:cs="Arial"/>
                <w:sz w:val="24"/>
                <w:szCs w:val="24"/>
                <w:lang w:eastAsia="ro-RO"/>
              </w:rPr>
              <w:t>TOTAL 2016</w:t>
            </w:r>
          </w:p>
        </w:tc>
        <w:tc>
          <w:tcPr>
            <w:tcW w:w="1080" w:type="dxa"/>
            <w:noWrap/>
            <w:vAlign w:val="center"/>
          </w:tcPr>
          <w:p w:rsidR="00C1490A" w:rsidRPr="00B8293F" w:rsidRDefault="00C1490A" w:rsidP="00B8293F">
            <w:pPr>
              <w:jc w:val="right"/>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1121647</w:t>
            </w:r>
          </w:p>
        </w:tc>
        <w:tc>
          <w:tcPr>
            <w:tcW w:w="1097" w:type="dxa"/>
            <w:noWrap/>
            <w:vAlign w:val="center"/>
          </w:tcPr>
          <w:p w:rsidR="00C1490A" w:rsidRPr="00B8293F" w:rsidRDefault="00C1490A" w:rsidP="00B8293F">
            <w:pPr>
              <w:jc w:val="right"/>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1051198</w:t>
            </w:r>
          </w:p>
        </w:tc>
        <w:tc>
          <w:tcPr>
            <w:tcW w:w="1073" w:type="dxa"/>
            <w:noWrap/>
            <w:vAlign w:val="center"/>
          </w:tcPr>
          <w:p w:rsidR="00C1490A" w:rsidRPr="00B8293F" w:rsidRDefault="00C1490A" w:rsidP="00B8293F">
            <w:pPr>
              <w:jc w:val="right"/>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4202928</w:t>
            </w:r>
          </w:p>
        </w:tc>
        <w:tc>
          <w:tcPr>
            <w:tcW w:w="1097" w:type="dxa"/>
            <w:noWrap/>
            <w:vAlign w:val="center"/>
          </w:tcPr>
          <w:p w:rsidR="00C1490A" w:rsidRPr="00B8293F" w:rsidRDefault="00C1490A" w:rsidP="00B8293F">
            <w:pPr>
              <w:jc w:val="right"/>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4079698</w:t>
            </w:r>
          </w:p>
        </w:tc>
        <w:tc>
          <w:tcPr>
            <w:tcW w:w="1073" w:type="dxa"/>
            <w:noWrap/>
            <w:vAlign w:val="center"/>
          </w:tcPr>
          <w:p w:rsidR="00C1490A" w:rsidRPr="00B8293F" w:rsidRDefault="00C1490A" w:rsidP="00B8293F">
            <w:pPr>
              <w:jc w:val="right"/>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1402001</w:t>
            </w:r>
          </w:p>
        </w:tc>
        <w:tc>
          <w:tcPr>
            <w:tcW w:w="1097" w:type="dxa"/>
            <w:noWrap/>
            <w:vAlign w:val="center"/>
          </w:tcPr>
          <w:p w:rsidR="00C1490A" w:rsidRPr="00B8293F" w:rsidRDefault="00C1490A" w:rsidP="00B8293F">
            <w:pPr>
              <w:jc w:val="right"/>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1242629</w:t>
            </w:r>
          </w:p>
        </w:tc>
        <w:tc>
          <w:tcPr>
            <w:tcW w:w="1073" w:type="dxa"/>
            <w:noWrap/>
            <w:vAlign w:val="center"/>
          </w:tcPr>
          <w:p w:rsidR="00C1490A" w:rsidRPr="00B8293F" w:rsidRDefault="00C1490A" w:rsidP="00B8293F">
            <w:pPr>
              <w:jc w:val="right"/>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6726576</w:t>
            </w:r>
          </w:p>
        </w:tc>
        <w:tc>
          <w:tcPr>
            <w:tcW w:w="1097" w:type="dxa"/>
            <w:noWrap/>
            <w:vAlign w:val="center"/>
          </w:tcPr>
          <w:p w:rsidR="00C1490A" w:rsidRPr="00B8293F" w:rsidRDefault="00C1490A" w:rsidP="00B8293F">
            <w:pPr>
              <w:jc w:val="right"/>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6373525</w:t>
            </w:r>
          </w:p>
        </w:tc>
      </w:tr>
      <w:tr w:rsidR="00C1490A" w:rsidRPr="00B8293F" w:rsidTr="00B8293F">
        <w:trPr>
          <w:trHeight w:val="302"/>
        </w:trPr>
        <w:tc>
          <w:tcPr>
            <w:tcW w:w="1620" w:type="dxa"/>
            <w:noWrap/>
            <w:vAlign w:val="center"/>
            <w:hideMark/>
          </w:tcPr>
          <w:p w:rsidR="00C1490A" w:rsidRPr="00B8293F" w:rsidRDefault="00C1490A" w:rsidP="00B8293F">
            <w:pPr>
              <w:rPr>
                <w:rFonts w:ascii="Arial" w:eastAsia="Times New Roman" w:hAnsi="Arial" w:cs="Arial"/>
                <w:sz w:val="24"/>
                <w:szCs w:val="24"/>
                <w:lang w:eastAsia="ro-RO"/>
              </w:rPr>
            </w:pPr>
            <w:r w:rsidRPr="00B8293F">
              <w:rPr>
                <w:rFonts w:ascii="Arial" w:eastAsia="Times New Roman" w:hAnsi="Arial" w:cs="Arial"/>
                <w:sz w:val="24"/>
                <w:szCs w:val="24"/>
                <w:lang w:eastAsia="ro-RO"/>
              </w:rPr>
              <w:t>TOTAL 2017</w:t>
            </w:r>
          </w:p>
        </w:tc>
        <w:tc>
          <w:tcPr>
            <w:tcW w:w="1080" w:type="dxa"/>
            <w:noWrap/>
            <w:vAlign w:val="center"/>
            <w:hideMark/>
          </w:tcPr>
          <w:p w:rsidR="00C1490A" w:rsidRPr="00B8293F" w:rsidRDefault="00C1490A" w:rsidP="00B8293F">
            <w:pPr>
              <w:jc w:val="right"/>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1144860</w:t>
            </w:r>
          </w:p>
        </w:tc>
        <w:tc>
          <w:tcPr>
            <w:tcW w:w="1097" w:type="dxa"/>
            <w:noWrap/>
            <w:vAlign w:val="center"/>
            <w:hideMark/>
          </w:tcPr>
          <w:p w:rsidR="00C1490A" w:rsidRPr="00B8293F" w:rsidRDefault="00C1490A" w:rsidP="00B8293F">
            <w:pPr>
              <w:jc w:val="right"/>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1048212</w:t>
            </w:r>
          </w:p>
        </w:tc>
        <w:tc>
          <w:tcPr>
            <w:tcW w:w="1073" w:type="dxa"/>
            <w:noWrap/>
            <w:vAlign w:val="center"/>
            <w:hideMark/>
          </w:tcPr>
          <w:p w:rsidR="00C1490A" w:rsidRPr="00B8293F" w:rsidRDefault="00C1490A" w:rsidP="00B8293F">
            <w:pPr>
              <w:jc w:val="right"/>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4476586</w:t>
            </w:r>
          </w:p>
        </w:tc>
        <w:tc>
          <w:tcPr>
            <w:tcW w:w="1097" w:type="dxa"/>
            <w:noWrap/>
            <w:vAlign w:val="center"/>
            <w:hideMark/>
          </w:tcPr>
          <w:p w:rsidR="00C1490A" w:rsidRPr="00B8293F" w:rsidRDefault="00C1490A" w:rsidP="00B8293F">
            <w:pPr>
              <w:jc w:val="right"/>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4233686</w:t>
            </w:r>
          </w:p>
        </w:tc>
        <w:tc>
          <w:tcPr>
            <w:tcW w:w="1073" w:type="dxa"/>
            <w:noWrap/>
            <w:vAlign w:val="center"/>
            <w:hideMark/>
          </w:tcPr>
          <w:p w:rsidR="00C1490A" w:rsidRPr="00B8293F" w:rsidRDefault="00C1490A" w:rsidP="00B8293F">
            <w:pPr>
              <w:jc w:val="right"/>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1374173</w:t>
            </w:r>
          </w:p>
        </w:tc>
        <w:tc>
          <w:tcPr>
            <w:tcW w:w="1097" w:type="dxa"/>
            <w:noWrap/>
            <w:vAlign w:val="center"/>
            <w:hideMark/>
          </w:tcPr>
          <w:p w:rsidR="00C1490A" w:rsidRPr="00B8293F" w:rsidRDefault="00C1490A" w:rsidP="00B8293F">
            <w:pPr>
              <w:jc w:val="right"/>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1490750</w:t>
            </w:r>
          </w:p>
        </w:tc>
        <w:tc>
          <w:tcPr>
            <w:tcW w:w="1073" w:type="dxa"/>
            <w:noWrap/>
            <w:vAlign w:val="center"/>
            <w:hideMark/>
          </w:tcPr>
          <w:p w:rsidR="00C1490A" w:rsidRPr="00B8293F" w:rsidRDefault="00C1490A" w:rsidP="00B8293F">
            <w:pPr>
              <w:jc w:val="right"/>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6995619</w:t>
            </w:r>
          </w:p>
        </w:tc>
        <w:tc>
          <w:tcPr>
            <w:tcW w:w="1097" w:type="dxa"/>
            <w:noWrap/>
            <w:vAlign w:val="center"/>
            <w:hideMark/>
          </w:tcPr>
          <w:p w:rsidR="00C1490A" w:rsidRPr="00B8293F" w:rsidRDefault="00C1490A" w:rsidP="00B8293F">
            <w:pPr>
              <w:jc w:val="right"/>
              <w:rPr>
                <w:rFonts w:ascii="Arial" w:eastAsia="Times New Roman" w:hAnsi="Arial" w:cs="Arial"/>
                <w:i/>
                <w:iCs/>
                <w:sz w:val="24"/>
                <w:szCs w:val="24"/>
                <w:lang w:eastAsia="ro-RO"/>
              </w:rPr>
            </w:pPr>
            <w:r w:rsidRPr="00B8293F">
              <w:rPr>
                <w:rFonts w:ascii="Arial" w:eastAsia="Times New Roman" w:hAnsi="Arial" w:cs="Arial"/>
                <w:i/>
                <w:iCs/>
                <w:sz w:val="24"/>
                <w:szCs w:val="24"/>
                <w:lang w:eastAsia="ro-RO"/>
              </w:rPr>
              <w:t>6772648</w:t>
            </w:r>
          </w:p>
        </w:tc>
      </w:tr>
      <w:tr w:rsidR="00C1490A" w:rsidRPr="00B8293F" w:rsidTr="00B8293F">
        <w:trPr>
          <w:trHeight w:val="302"/>
        </w:trPr>
        <w:tc>
          <w:tcPr>
            <w:tcW w:w="1620" w:type="dxa"/>
            <w:noWrap/>
            <w:vAlign w:val="center"/>
            <w:hideMark/>
          </w:tcPr>
          <w:p w:rsidR="00C1490A" w:rsidRPr="00B8293F" w:rsidRDefault="00C1490A" w:rsidP="00B8293F">
            <w:pPr>
              <w:rPr>
                <w:rFonts w:ascii="Arial" w:eastAsia="Times New Roman" w:hAnsi="Arial" w:cs="Arial"/>
                <w:sz w:val="24"/>
                <w:szCs w:val="24"/>
                <w:lang w:eastAsia="ro-RO"/>
              </w:rPr>
            </w:pPr>
            <w:r w:rsidRPr="00B8293F">
              <w:rPr>
                <w:rFonts w:ascii="Arial" w:eastAsia="Times New Roman" w:hAnsi="Arial" w:cs="Arial"/>
                <w:sz w:val="24"/>
                <w:szCs w:val="24"/>
                <w:lang w:eastAsia="ro-RO"/>
              </w:rPr>
              <w:t>TOTAL 2018</w:t>
            </w:r>
          </w:p>
        </w:tc>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1160613</w:t>
            </w:r>
          </w:p>
        </w:tc>
        <w:tc>
          <w:tcPr>
            <w:tcW w:w="1097" w:type="dxa"/>
            <w:tcBorders>
              <w:top w:val="nil"/>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1084996</w:t>
            </w:r>
          </w:p>
        </w:tc>
        <w:tc>
          <w:tcPr>
            <w:tcW w:w="1073" w:type="dxa"/>
            <w:tcBorders>
              <w:top w:val="nil"/>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4078172</w:t>
            </w:r>
          </w:p>
        </w:tc>
        <w:tc>
          <w:tcPr>
            <w:tcW w:w="1097" w:type="dxa"/>
            <w:tcBorders>
              <w:top w:val="nil"/>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3904334</w:t>
            </w:r>
          </w:p>
        </w:tc>
        <w:tc>
          <w:tcPr>
            <w:tcW w:w="1073" w:type="dxa"/>
            <w:tcBorders>
              <w:top w:val="nil"/>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1657977</w:t>
            </w:r>
          </w:p>
        </w:tc>
        <w:tc>
          <w:tcPr>
            <w:tcW w:w="1097" w:type="dxa"/>
            <w:tcBorders>
              <w:top w:val="nil"/>
              <w:left w:val="nil"/>
              <w:bottom w:val="single" w:sz="4"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1426835</w:t>
            </w:r>
          </w:p>
        </w:tc>
        <w:tc>
          <w:tcPr>
            <w:tcW w:w="1073" w:type="dxa"/>
            <w:tcBorders>
              <w:top w:val="single" w:sz="4" w:space="0" w:color="auto"/>
              <w:left w:val="nil"/>
              <w:bottom w:val="nil"/>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6896762</w:t>
            </w:r>
          </w:p>
        </w:tc>
        <w:tc>
          <w:tcPr>
            <w:tcW w:w="1097" w:type="dxa"/>
            <w:tcBorders>
              <w:top w:val="single" w:sz="4" w:space="0" w:color="auto"/>
              <w:left w:val="nil"/>
              <w:bottom w:val="nil"/>
              <w:right w:val="single" w:sz="8"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6416165</w:t>
            </w:r>
          </w:p>
        </w:tc>
      </w:tr>
      <w:tr w:rsidR="00C1490A" w:rsidRPr="00B8293F" w:rsidTr="00B8293F">
        <w:trPr>
          <w:trHeight w:val="302"/>
        </w:trPr>
        <w:tc>
          <w:tcPr>
            <w:tcW w:w="1620" w:type="dxa"/>
            <w:noWrap/>
            <w:vAlign w:val="center"/>
            <w:hideMark/>
          </w:tcPr>
          <w:p w:rsidR="00C1490A" w:rsidRPr="00B8293F" w:rsidRDefault="00C1490A" w:rsidP="00B8293F">
            <w:pPr>
              <w:rPr>
                <w:rFonts w:ascii="Arial" w:eastAsia="Times New Roman" w:hAnsi="Arial" w:cs="Arial"/>
                <w:sz w:val="24"/>
                <w:szCs w:val="24"/>
                <w:lang w:eastAsia="ro-RO"/>
              </w:rPr>
            </w:pPr>
            <w:r w:rsidRPr="00B8293F">
              <w:rPr>
                <w:rFonts w:ascii="Arial" w:eastAsia="Times New Roman" w:hAnsi="Arial" w:cs="Arial"/>
                <w:sz w:val="24"/>
                <w:szCs w:val="24"/>
                <w:lang w:eastAsia="ro-RO"/>
              </w:rPr>
              <w:t>TOTAL 2019</w:t>
            </w:r>
          </w:p>
        </w:tc>
        <w:tc>
          <w:tcPr>
            <w:tcW w:w="1080" w:type="dxa"/>
            <w:tcBorders>
              <w:top w:val="nil"/>
              <w:left w:val="single" w:sz="4" w:space="0" w:color="auto"/>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1204288</w:t>
            </w:r>
          </w:p>
        </w:tc>
        <w:tc>
          <w:tcPr>
            <w:tcW w:w="1097"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1176540</w:t>
            </w:r>
          </w:p>
        </w:tc>
        <w:tc>
          <w:tcPr>
            <w:tcW w:w="1073"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4516858</w:t>
            </w:r>
          </w:p>
        </w:tc>
        <w:tc>
          <w:tcPr>
            <w:tcW w:w="1097"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4207395</w:t>
            </w:r>
          </w:p>
        </w:tc>
        <w:tc>
          <w:tcPr>
            <w:tcW w:w="1073"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1649114</w:t>
            </w:r>
          </w:p>
        </w:tc>
        <w:tc>
          <w:tcPr>
            <w:tcW w:w="1097"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1590922</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7370260</w:t>
            </w:r>
          </w:p>
        </w:tc>
        <w:tc>
          <w:tcPr>
            <w:tcW w:w="1097" w:type="dxa"/>
            <w:tcBorders>
              <w:top w:val="single" w:sz="4" w:space="0" w:color="auto"/>
              <w:left w:val="nil"/>
              <w:bottom w:val="single" w:sz="8" w:space="0" w:color="auto"/>
              <w:right w:val="single" w:sz="8"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6974857</w:t>
            </w:r>
          </w:p>
        </w:tc>
      </w:tr>
      <w:tr w:rsidR="00C1490A" w:rsidRPr="00B8293F" w:rsidTr="00B8293F">
        <w:trPr>
          <w:trHeight w:val="302"/>
        </w:trPr>
        <w:tc>
          <w:tcPr>
            <w:tcW w:w="1620" w:type="dxa"/>
            <w:noWrap/>
            <w:vAlign w:val="center"/>
            <w:hideMark/>
          </w:tcPr>
          <w:p w:rsidR="00C1490A" w:rsidRPr="00B8293F" w:rsidRDefault="00C1490A" w:rsidP="00B8293F">
            <w:pPr>
              <w:rPr>
                <w:rFonts w:ascii="Arial" w:eastAsia="Times New Roman" w:hAnsi="Arial" w:cs="Arial"/>
                <w:sz w:val="24"/>
                <w:szCs w:val="24"/>
                <w:lang w:eastAsia="ro-RO"/>
              </w:rPr>
            </w:pPr>
            <w:r w:rsidRPr="00B8293F">
              <w:rPr>
                <w:rFonts w:ascii="Arial" w:eastAsia="Times New Roman" w:hAnsi="Arial" w:cs="Arial"/>
                <w:sz w:val="24"/>
                <w:szCs w:val="24"/>
                <w:lang w:eastAsia="ro-RO"/>
              </w:rPr>
              <w:t>TOTAL 2020</w:t>
            </w:r>
          </w:p>
        </w:tc>
        <w:tc>
          <w:tcPr>
            <w:tcW w:w="1080" w:type="dxa"/>
            <w:tcBorders>
              <w:top w:val="nil"/>
              <w:left w:val="single" w:sz="4" w:space="0" w:color="auto"/>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1234833</w:t>
            </w:r>
          </w:p>
        </w:tc>
        <w:tc>
          <w:tcPr>
            <w:tcW w:w="1097"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1077779</w:t>
            </w:r>
          </w:p>
        </w:tc>
        <w:tc>
          <w:tcPr>
            <w:tcW w:w="1073"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4835196</w:t>
            </w:r>
          </w:p>
        </w:tc>
        <w:tc>
          <w:tcPr>
            <w:tcW w:w="1097"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4038315</w:t>
            </w:r>
          </w:p>
        </w:tc>
        <w:tc>
          <w:tcPr>
            <w:tcW w:w="1073"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1838464</w:t>
            </w:r>
          </w:p>
        </w:tc>
        <w:tc>
          <w:tcPr>
            <w:tcW w:w="1097" w:type="dxa"/>
            <w:tcBorders>
              <w:top w:val="nil"/>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2280089</w:t>
            </w:r>
          </w:p>
        </w:tc>
        <w:tc>
          <w:tcPr>
            <w:tcW w:w="1073" w:type="dxa"/>
            <w:tcBorders>
              <w:top w:val="single" w:sz="4" w:space="0" w:color="auto"/>
              <w:left w:val="nil"/>
              <w:bottom w:val="single" w:sz="8" w:space="0" w:color="auto"/>
              <w:right w:val="single" w:sz="4"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7908493</w:t>
            </w:r>
          </w:p>
        </w:tc>
        <w:tc>
          <w:tcPr>
            <w:tcW w:w="1097" w:type="dxa"/>
            <w:tcBorders>
              <w:top w:val="single" w:sz="4" w:space="0" w:color="auto"/>
              <w:left w:val="nil"/>
              <w:bottom w:val="single" w:sz="8" w:space="0" w:color="auto"/>
              <w:right w:val="single" w:sz="8" w:space="0" w:color="auto"/>
            </w:tcBorders>
            <w:shd w:val="clear" w:color="auto" w:fill="auto"/>
            <w:noWrap/>
            <w:vAlign w:val="bottom"/>
            <w:hideMark/>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7396183</w:t>
            </w:r>
          </w:p>
        </w:tc>
      </w:tr>
      <w:tr w:rsidR="00C1490A" w:rsidRPr="00B8293F" w:rsidTr="00B8293F">
        <w:trPr>
          <w:trHeight w:val="302"/>
        </w:trPr>
        <w:tc>
          <w:tcPr>
            <w:tcW w:w="1620" w:type="dxa"/>
            <w:noWrap/>
            <w:vAlign w:val="center"/>
            <w:hideMark/>
          </w:tcPr>
          <w:p w:rsidR="00C1490A" w:rsidRPr="00B8293F" w:rsidRDefault="00C1490A" w:rsidP="00B8293F">
            <w:pPr>
              <w:rPr>
                <w:rFonts w:ascii="Arial" w:eastAsia="Times New Roman" w:hAnsi="Arial" w:cs="Arial"/>
                <w:sz w:val="24"/>
                <w:szCs w:val="24"/>
                <w:lang w:eastAsia="ro-RO"/>
              </w:rPr>
            </w:pPr>
            <w:r w:rsidRPr="00B8293F">
              <w:rPr>
                <w:rFonts w:ascii="Arial" w:eastAsia="Times New Roman" w:hAnsi="Arial" w:cs="Arial"/>
                <w:sz w:val="24"/>
                <w:szCs w:val="24"/>
                <w:lang w:eastAsia="ro-RO"/>
              </w:rPr>
              <w:t>TOTAL 2021</w:t>
            </w:r>
          </w:p>
        </w:tc>
        <w:tc>
          <w:tcPr>
            <w:tcW w:w="1080" w:type="dxa"/>
            <w:tcBorders>
              <w:top w:val="nil"/>
              <w:left w:val="single" w:sz="4" w:space="0" w:color="auto"/>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1286171</w:t>
            </w:r>
          </w:p>
        </w:tc>
        <w:tc>
          <w:tcPr>
            <w:tcW w:w="1097" w:type="dxa"/>
            <w:tcBorders>
              <w:top w:val="nil"/>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1269490</w:t>
            </w:r>
          </w:p>
        </w:tc>
        <w:tc>
          <w:tcPr>
            <w:tcW w:w="1073" w:type="dxa"/>
            <w:tcBorders>
              <w:top w:val="nil"/>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4696917</w:t>
            </w:r>
          </w:p>
        </w:tc>
        <w:tc>
          <w:tcPr>
            <w:tcW w:w="1097" w:type="dxa"/>
            <w:tcBorders>
              <w:top w:val="nil"/>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4113729</w:t>
            </w:r>
          </w:p>
        </w:tc>
        <w:tc>
          <w:tcPr>
            <w:tcW w:w="1073" w:type="dxa"/>
            <w:tcBorders>
              <w:top w:val="nil"/>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2160930</w:t>
            </w:r>
          </w:p>
        </w:tc>
        <w:tc>
          <w:tcPr>
            <w:tcW w:w="1097" w:type="dxa"/>
            <w:tcBorders>
              <w:top w:val="nil"/>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2480378</w:t>
            </w:r>
          </w:p>
        </w:tc>
        <w:tc>
          <w:tcPr>
            <w:tcW w:w="1073" w:type="dxa"/>
            <w:tcBorders>
              <w:top w:val="single" w:sz="4" w:space="0" w:color="auto"/>
              <w:left w:val="nil"/>
              <w:bottom w:val="single" w:sz="8" w:space="0" w:color="auto"/>
              <w:right w:val="single" w:sz="4" w:space="0" w:color="auto"/>
            </w:tcBorders>
            <w:shd w:val="clear" w:color="auto" w:fill="auto"/>
            <w:noWrap/>
            <w:vAlign w:val="bottom"/>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8144018</w:t>
            </w:r>
          </w:p>
        </w:tc>
        <w:tc>
          <w:tcPr>
            <w:tcW w:w="1097" w:type="dxa"/>
            <w:tcBorders>
              <w:top w:val="single" w:sz="4" w:space="0" w:color="auto"/>
              <w:left w:val="nil"/>
              <w:bottom w:val="single" w:sz="8" w:space="0" w:color="auto"/>
              <w:right w:val="single" w:sz="8" w:space="0" w:color="auto"/>
            </w:tcBorders>
            <w:shd w:val="clear" w:color="auto" w:fill="auto"/>
            <w:noWrap/>
            <w:vAlign w:val="bottom"/>
          </w:tcPr>
          <w:p w:rsidR="00C1490A" w:rsidRPr="00B8293F" w:rsidRDefault="00C1490A" w:rsidP="00B8293F">
            <w:pPr>
              <w:jc w:val="right"/>
              <w:rPr>
                <w:rFonts w:ascii="Arial" w:hAnsi="Arial" w:cs="Arial"/>
                <w:i/>
                <w:iCs/>
                <w:color w:val="000000"/>
                <w:sz w:val="24"/>
                <w:szCs w:val="24"/>
              </w:rPr>
            </w:pPr>
            <w:r w:rsidRPr="00B8293F">
              <w:rPr>
                <w:rFonts w:ascii="Arial" w:hAnsi="Arial" w:cs="Arial"/>
                <w:i/>
                <w:iCs/>
                <w:color w:val="000000"/>
                <w:sz w:val="24"/>
                <w:szCs w:val="24"/>
              </w:rPr>
              <w:t>7863597</w:t>
            </w:r>
          </w:p>
        </w:tc>
      </w:tr>
    </w:tbl>
    <w:p w:rsidR="00C1490A" w:rsidRPr="00B8293F" w:rsidRDefault="00C1490A" w:rsidP="00C1490A">
      <w:pPr>
        <w:rPr>
          <w:rFonts w:ascii="Arial" w:hAnsi="Arial" w:cs="Arial"/>
          <w:b/>
          <w:sz w:val="24"/>
          <w:szCs w:val="24"/>
          <w:u w:val="single"/>
          <w:lang w:val="en-US"/>
        </w:rPr>
      </w:pPr>
    </w:p>
    <w:p w:rsidR="00C1490A" w:rsidRPr="00B8293F" w:rsidRDefault="00C1490A" w:rsidP="00C1490A">
      <w:pPr>
        <w:jc w:val="center"/>
        <w:rPr>
          <w:rFonts w:ascii="Arial" w:hAnsi="Arial" w:cs="Arial"/>
          <w:b/>
          <w:sz w:val="24"/>
          <w:szCs w:val="24"/>
          <w:u w:val="single"/>
          <w:lang w:val="en-US"/>
        </w:rPr>
      </w:pPr>
      <w:r w:rsidRPr="00B8293F">
        <w:rPr>
          <w:rFonts w:ascii="Arial" w:hAnsi="Arial" w:cs="Arial"/>
          <w:b/>
          <w:noProof/>
          <w:sz w:val="24"/>
          <w:szCs w:val="24"/>
          <w:u w:val="single"/>
          <w:lang w:eastAsia="ro-RO"/>
        </w:rPr>
        <w:lastRenderedPageBreak/>
        <w:drawing>
          <wp:inline distT="0" distB="0" distL="0" distR="0" wp14:anchorId="14CCB91B" wp14:editId="0CE60BBE">
            <wp:extent cx="6135624" cy="3611880"/>
            <wp:effectExtent l="0" t="0" r="0" b="7620"/>
            <wp:docPr id="8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35624" cy="3611880"/>
                    </a:xfrm>
                    <a:prstGeom prst="rect">
                      <a:avLst/>
                    </a:prstGeom>
                    <a:noFill/>
                  </pic:spPr>
                </pic:pic>
              </a:graphicData>
            </a:graphic>
          </wp:inline>
        </w:drawing>
      </w: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b/>
          <w:bCs/>
          <w:i/>
          <w:iCs/>
          <w:sz w:val="24"/>
          <w:szCs w:val="24"/>
          <w:lang w:eastAsia="ro-RO"/>
        </w:rPr>
      </w:pPr>
    </w:p>
    <w:p w:rsidR="00FD3D76" w:rsidRDefault="00FD3D76" w:rsidP="00C1490A">
      <w:pPr>
        <w:rPr>
          <w:rFonts w:ascii="Arial" w:eastAsia="Times New Roman" w:hAnsi="Arial" w:cs="Arial"/>
          <w:b/>
          <w:bCs/>
          <w:i/>
          <w:iCs/>
          <w:sz w:val="24"/>
          <w:szCs w:val="24"/>
          <w:lang w:eastAsia="ro-RO"/>
        </w:rPr>
      </w:pPr>
    </w:p>
    <w:p w:rsidR="00FD3D76" w:rsidRDefault="00FD3D76" w:rsidP="00C1490A">
      <w:pPr>
        <w:rPr>
          <w:rFonts w:ascii="Arial" w:eastAsia="Times New Roman" w:hAnsi="Arial" w:cs="Arial"/>
          <w:b/>
          <w:bCs/>
          <w:i/>
          <w:iCs/>
          <w:sz w:val="24"/>
          <w:szCs w:val="24"/>
          <w:lang w:eastAsia="ro-RO"/>
        </w:rPr>
      </w:pPr>
    </w:p>
    <w:p w:rsidR="00C1490A" w:rsidRPr="00B8293F" w:rsidRDefault="00C1490A" w:rsidP="00C1490A">
      <w:pPr>
        <w:rPr>
          <w:rFonts w:ascii="Arial" w:eastAsia="Times New Roman" w:hAnsi="Arial" w:cs="Arial"/>
          <w:sz w:val="24"/>
          <w:szCs w:val="24"/>
          <w:lang w:eastAsia="ro-RO"/>
        </w:rPr>
      </w:pPr>
      <w:r w:rsidRPr="00B8293F">
        <w:rPr>
          <w:rFonts w:ascii="Arial" w:eastAsia="Times New Roman" w:hAnsi="Arial" w:cs="Arial"/>
          <w:b/>
          <w:bCs/>
          <w:i/>
          <w:iCs/>
          <w:sz w:val="24"/>
          <w:szCs w:val="24"/>
          <w:lang w:eastAsia="ro-RO"/>
        </w:rPr>
        <w:t xml:space="preserve">Tabelul II.1.1.2. </w:t>
      </w:r>
      <w:r w:rsidRPr="00B8293F">
        <w:rPr>
          <w:rFonts w:ascii="Arial" w:eastAsia="Times New Roman" w:hAnsi="Arial" w:cs="Arial"/>
          <w:sz w:val="24"/>
          <w:szCs w:val="24"/>
          <w:lang w:eastAsia="ro-RO"/>
        </w:rPr>
        <w:t>Evoluția cerinței de apă comparativ cu prelevarea volumelor de apă (%)</w:t>
      </w:r>
    </w:p>
    <w:p w:rsidR="00C1490A" w:rsidRPr="00B8293F" w:rsidRDefault="00C1490A" w:rsidP="00C1490A">
      <w:pPr>
        <w:rPr>
          <w:rFonts w:ascii="Arial" w:eastAsia="Times New Roman" w:hAnsi="Arial" w:cs="Arial"/>
          <w:color w:val="FFFFFF" w:themeColor="background1"/>
          <w:sz w:val="24"/>
          <w:szCs w:val="24"/>
          <w:lang w:eastAsia="ro-RO"/>
          <w14:textFill>
            <w14:noFill/>
          </w14:textFill>
        </w:rPr>
      </w:pPr>
      <w:r w:rsidRPr="00B8293F">
        <w:rPr>
          <w:rFonts w:ascii="Arial" w:hAnsi="Arial" w:cs="Arial"/>
          <w:noProof/>
          <w:sz w:val="24"/>
          <w:szCs w:val="24"/>
          <w:lang w:eastAsia="ro-RO"/>
        </w:rPr>
        <w:drawing>
          <wp:inline distT="0" distB="0" distL="0" distR="0" wp14:anchorId="705D1DB6" wp14:editId="3F49B6F8">
            <wp:extent cx="5939790" cy="4764232"/>
            <wp:effectExtent l="0" t="0" r="3810" b="0"/>
            <wp:docPr id="8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9790" cy="4764232"/>
                    </a:xfrm>
                    <a:prstGeom prst="rect">
                      <a:avLst/>
                    </a:prstGeom>
                    <a:noFill/>
                    <a:ln>
                      <a:noFill/>
                    </a:ln>
                  </pic:spPr>
                </pic:pic>
              </a:graphicData>
            </a:graphic>
          </wp:inline>
        </w:drawing>
      </w:r>
    </w:p>
    <w:p w:rsidR="00C1490A" w:rsidRPr="00B8293F" w:rsidRDefault="00C1490A" w:rsidP="00C1490A">
      <w:pPr>
        <w:rPr>
          <w:rFonts w:ascii="Arial" w:eastAsia="Times New Roman" w:hAnsi="Arial" w:cs="Arial"/>
          <w:color w:val="FF0000"/>
          <w:sz w:val="24"/>
          <w:szCs w:val="24"/>
          <w:lang w:eastAsia="ro-RO"/>
        </w:rPr>
      </w:pPr>
    </w:p>
    <w:p w:rsidR="00C1490A" w:rsidRPr="00B8293F" w:rsidRDefault="00C1490A" w:rsidP="00C1490A">
      <w:pPr>
        <w:rPr>
          <w:rFonts w:ascii="Arial" w:eastAsia="Times New Roman" w:hAnsi="Arial" w:cs="Arial"/>
          <w:color w:val="FF0000"/>
          <w:sz w:val="24"/>
          <w:szCs w:val="24"/>
          <w:lang w:eastAsia="ro-RO"/>
        </w:rPr>
      </w:pPr>
    </w:p>
    <w:p w:rsidR="00C1490A" w:rsidRPr="00B8293F" w:rsidRDefault="00C1490A" w:rsidP="00C1490A">
      <w:pPr>
        <w:rPr>
          <w:rFonts w:ascii="Arial" w:eastAsia="Times New Roman" w:hAnsi="Arial" w:cs="Arial"/>
          <w:color w:val="FF0000"/>
          <w:sz w:val="24"/>
          <w:szCs w:val="24"/>
          <w:lang w:eastAsia="ro-RO"/>
        </w:rPr>
      </w:pPr>
    </w:p>
    <w:p w:rsidR="00C1490A" w:rsidRPr="00B8293F" w:rsidRDefault="00C1490A" w:rsidP="00C1490A">
      <w:pPr>
        <w:jc w:val="center"/>
        <w:rPr>
          <w:rFonts w:ascii="Arial" w:hAnsi="Arial" w:cs="Arial"/>
          <w:b/>
          <w:color w:val="FF0000"/>
          <w:sz w:val="24"/>
          <w:szCs w:val="24"/>
          <w:u w:val="single"/>
        </w:rPr>
      </w:pPr>
    </w:p>
    <w:p w:rsidR="00C1490A" w:rsidRPr="00B8293F" w:rsidRDefault="00C1490A" w:rsidP="00C1490A">
      <w:pPr>
        <w:rPr>
          <w:rFonts w:ascii="Arial" w:hAnsi="Arial" w:cs="Arial"/>
          <w:b/>
          <w:color w:val="FF0000"/>
          <w:sz w:val="24"/>
          <w:szCs w:val="24"/>
          <w:u w:val="single"/>
        </w:rPr>
      </w:pPr>
    </w:p>
    <w:p w:rsidR="00C1490A" w:rsidRPr="00B8293F" w:rsidRDefault="00C1490A" w:rsidP="000B4FCA">
      <w:pPr>
        <w:ind w:firstLine="720"/>
        <w:jc w:val="both"/>
        <w:rPr>
          <w:rFonts w:ascii="Arial" w:hAnsi="Arial" w:cs="Arial"/>
          <w:i/>
          <w:sz w:val="24"/>
          <w:szCs w:val="24"/>
          <w:lang w:val="it-IT"/>
        </w:rPr>
      </w:pPr>
    </w:p>
    <w:p w:rsidR="00C1490A" w:rsidRPr="00B8293F" w:rsidRDefault="00C1490A" w:rsidP="000B4FCA">
      <w:pPr>
        <w:ind w:firstLine="720"/>
        <w:jc w:val="both"/>
        <w:rPr>
          <w:rFonts w:ascii="Arial" w:hAnsi="Arial" w:cs="Arial"/>
          <w:i/>
          <w:sz w:val="24"/>
          <w:szCs w:val="24"/>
          <w:lang w:val="it-IT"/>
        </w:rPr>
      </w:pPr>
    </w:p>
    <w:p w:rsidR="00C1490A" w:rsidRPr="00B8293F" w:rsidRDefault="00C1490A" w:rsidP="000B4FCA">
      <w:pPr>
        <w:ind w:firstLine="720"/>
        <w:jc w:val="both"/>
        <w:rPr>
          <w:rFonts w:ascii="Arial" w:hAnsi="Arial" w:cs="Arial"/>
          <w:i/>
          <w:sz w:val="24"/>
          <w:szCs w:val="24"/>
          <w:lang w:val="it-IT"/>
        </w:rPr>
      </w:pPr>
    </w:p>
    <w:p w:rsidR="00C1490A" w:rsidRPr="00B8293F" w:rsidRDefault="00C1490A" w:rsidP="000B4FCA">
      <w:pPr>
        <w:ind w:firstLine="720"/>
        <w:jc w:val="both"/>
        <w:rPr>
          <w:rFonts w:ascii="Arial" w:hAnsi="Arial" w:cs="Arial"/>
          <w:i/>
          <w:sz w:val="24"/>
          <w:szCs w:val="24"/>
        </w:rPr>
      </w:pPr>
    </w:p>
    <w:p w:rsidR="000B4FCA" w:rsidRPr="00B8293F" w:rsidRDefault="000B4FCA" w:rsidP="000B4FCA">
      <w:pPr>
        <w:spacing w:after="0"/>
        <w:rPr>
          <w:rFonts w:ascii="Arial" w:hAnsi="Arial" w:cs="Arial"/>
          <w:b/>
          <w:sz w:val="24"/>
          <w:szCs w:val="24"/>
          <w:lang w:val="fr-FR"/>
        </w:rPr>
      </w:pPr>
    </w:p>
    <w:p w:rsidR="000B4FCA" w:rsidRPr="00242122" w:rsidRDefault="000B4FCA" w:rsidP="000B4FCA">
      <w:pPr>
        <w:jc w:val="center"/>
        <w:rPr>
          <w:rFonts w:ascii="Arial" w:hAnsi="Arial" w:cs="Arial"/>
          <w:b/>
          <w:sz w:val="24"/>
          <w:szCs w:val="24"/>
          <w:u w:val="single"/>
          <w:lang w:val="en-US"/>
        </w:rPr>
      </w:pPr>
      <w:r w:rsidRPr="00242122">
        <w:rPr>
          <w:rFonts w:ascii="Arial" w:hAnsi="Arial" w:cs="Arial"/>
          <w:b/>
          <w:noProof/>
          <w:sz w:val="24"/>
          <w:szCs w:val="24"/>
          <w:u w:val="single"/>
          <w:lang w:eastAsia="ro-RO"/>
        </w:rPr>
        <w:lastRenderedPageBreak/>
        <w:drawing>
          <wp:inline distT="0" distB="0" distL="0" distR="0" wp14:anchorId="76797A3B" wp14:editId="2D531029">
            <wp:extent cx="6135624" cy="3611880"/>
            <wp:effectExtent l="0" t="0" r="0" b="762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35624" cy="3611880"/>
                    </a:xfrm>
                    <a:prstGeom prst="rect">
                      <a:avLst/>
                    </a:prstGeom>
                    <a:noFill/>
                  </pic:spPr>
                </pic:pic>
              </a:graphicData>
            </a:graphic>
          </wp:inline>
        </w:drawing>
      </w:r>
    </w:p>
    <w:p w:rsidR="000B4FCA" w:rsidRPr="00242122" w:rsidRDefault="000B4FCA" w:rsidP="000B4FCA">
      <w:pPr>
        <w:rPr>
          <w:rFonts w:ascii="Arial" w:eastAsia="Times New Roman" w:hAnsi="Arial" w:cs="Arial"/>
          <w:sz w:val="24"/>
          <w:szCs w:val="24"/>
          <w:lang w:eastAsia="ro-RO"/>
        </w:rPr>
      </w:pPr>
      <w:r w:rsidRPr="00242122">
        <w:rPr>
          <w:rFonts w:ascii="Arial" w:eastAsia="Times New Roman" w:hAnsi="Arial" w:cs="Arial"/>
          <w:b/>
          <w:bCs/>
          <w:i/>
          <w:iCs/>
          <w:sz w:val="24"/>
          <w:szCs w:val="24"/>
          <w:lang w:eastAsia="ro-RO"/>
        </w:rPr>
        <w:t xml:space="preserve">Tabelul II.1.1.2. </w:t>
      </w:r>
      <w:r w:rsidRPr="00242122">
        <w:rPr>
          <w:rFonts w:ascii="Arial" w:eastAsia="Times New Roman" w:hAnsi="Arial" w:cs="Arial"/>
          <w:sz w:val="24"/>
          <w:szCs w:val="24"/>
          <w:lang w:eastAsia="ro-RO"/>
        </w:rPr>
        <w:t>Evoluția cerinței de apă comparativ cu prelevarea volumelor de apă (%)</w:t>
      </w:r>
    </w:p>
    <w:p w:rsidR="000B4FCA" w:rsidRPr="00242122" w:rsidRDefault="000B4FCA" w:rsidP="000B4FCA">
      <w:pPr>
        <w:rPr>
          <w:rFonts w:ascii="Arial" w:eastAsia="Times New Roman" w:hAnsi="Arial" w:cs="Arial"/>
          <w:color w:val="FFFFFF" w:themeColor="background1"/>
          <w:sz w:val="24"/>
          <w:szCs w:val="24"/>
          <w:lang w:eastAsia="ro-RO"/>
          <w14:textFill>
            <w14:noFill/>
          </w14:textFill>
        </w:rPr>
      </w:pPr>
      <w:r w:rsidRPr="00242122">
        <w:rPr>
          <w:rFonts w:ascii="Arial" w:hAnsi="Arial" w:cs="Arial"/>
          <w:noProof/>
          <w:sz w:val="24"/>
          <w:szCs w:val="24"/>
          <w:lang w:eastAsia="ro-RO"/>
        </w:rPr>
        <w:drawing>
          <wp:inline distT="0" distB="0" distL="0" distR="0" wp14:anchorId="669FCFEE" wp14:editId="1BF8D1E7">
            <wp:extent cx="5939790" cy="4764232"/>
            <wp:effectExtent l="0" t="0" r="3810"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9790" cy="4764232"/>
                    </a:xfrm>
                    <a:prstGeom prst="rect">
                      <a:avLst/>
                    </a:prstGeom>
                    <a:noFill/>
                    <a:ln>
                      <a:noFill/>
                    </a:ln>
                  </pic:spPr>
                </pic:pic>
              </a:graphicData>
            </a:graphic>
          </wp:inline>
        </w:drawing>
      </w:r>
    </w:p>
    <w:p w:rsidR="000B4FCA" w:rsidRPr="00242122" w:rsidRDefault="000B4FCA" w:rsidP="000B4FCA">
      <w:pPr>
        <w:rPr>
          <w:rFonts w:ascii="Arial" w:eastAsia="Times New Roman" w:hAnsi="Arial" w:cs="Arial"/>
          <w:color w:val="FF0000"/>
          <w:sz w:val="24"/>
          <w:szCs w:val="24"/>
          <w:lang w:eastAsia="ro-RO"/>
        </w:rPr>
      </w:pPr>
    </w:p>
    <w:p w:rsidR="00FD3D76" w:rsidRDefault="00FD3D76" w:rsidP="00924A0A">
      <w:pPr>
        <w:pStyle w:val="BodyTextIndent2"/>
        <w:spacing w:line="240" w:lineRule="auto"/>
        <w:ind w:left="0"/>
        <w:rPr>
          <w:rFonts w:ascii="Arial" w:hAnsi="Arial" w:cs="Arial"/>
          <w:b/>
          <w:szCs w:val="24"/>
          <w:lang w:val="ro-RO"/>
        </w:rPr>
      </w:pPr>
      <w:bookmarkStart w:id="1" w:name="_Hlk11745223"/>
    </w:p>
    <w:p w:rsidR="00924A0A" w:rsidRPr="00242122" w:rsidRDefault="00924A0A" w:rsidP="00924A0A">
      <w:pPr>
        <w:pStyle w:val="BodyTextIndent2"/>
        <w:spacing w:line="240" w:lineRule="auto"/>
        <w:ind w:left="0"/>
        <w:rPr>
          <w:rFonts w:ascii="Arial" w:hAnsi="Arial" w:cs="Arial"/>
          <w:b/>
          <w:spacing w:val="-20"/>
          <w:szCs w:val="24"/>
          <w:lang w:val="ro-RO"/>
        </w:rPr>
      </w:pPr>
      <w:r w:rsidRPr="00242122">
        <w:rPr>
          <w:rFonts w:ascii="Arial" w:hAnsi="Arial" w:cs="Arial"/>
          <w:b/>
          <w:szCs w:val="24"/>
          <w:lang w:val="ro-RO"/>
        </w:rPr>
        <w:lastRenderedPageBreak/>
        <w:t xml:space="preserve">II.1.1.3. Evenimente extreme produse de debitele </w:t>
      </w:r>
      <w:r w:rsidRPr="00242122">
        <w:rPr>
          <w:rFonts w:ascii="Arial" w:hAnsi="Arial" w:cs="Arial"/>
          <w:b/>
          <w:spacing w:val="-20"/>
          <w:szCs w:val="24"/>
          <w:lang w:val="ro-RO"/>
        </w:rPr>
        <w:t>cursurilor de apă</w:t>
      </w:r>
    </w:p>
    <w:p w:rsidR="00924A0A" w:rsidRPr="00242122" w:rsidRDefault="00924A0A" w:rsidP="00924A0A">
      <w:pPr>
        <w:pStyle w:val="BodyTextIndent2"/>
        <w:spacing w:after="0" w:line="240" w:lineRule="auto"/>
        <w:ind w:left="0"/>
        <w:rPr>
          <w:rFonts w:ascii="Arial" w:hAnsi="Arial" w:cs="Arial"/>
          <w:b/>
          <w:spacing w:val="-20"/>
          <w:szCs w:val="24"/>
          <w:lang w:val="ro-RO"/>
        </w:rPr>
      </w:pPr>
    </w:p>
    <w:p w:rsidR="00924A0A" w:rsidRPr="00242122" w:rsidRDefault="00924A0A" w:rsidP="00924A0A">
      <w:pPr>
        <w:pStyle w:val="BodyTextIndent2"/>
        <w:spacing w:line="240" w:lineRule="auto"/>
        <w:ind w:left="0"/>
        <w:jc w:val="center"/>
        <w:rPr>
          <w:rFonts w:ascii="Arial" w:hAnsi="Arial" w:cs="Arial"/>
          <w:b/>
          <w:spacing w:val="-20"/>
          <w:szCs w:val="24"/>
          <w:lang w:val="ro-RO"/>
        </w:rPr>
      </w:pPr>
      <w:r w:rsidRPr="00606B14">
        <w:rPr>
          <w:rFonts w:ascii="Arial" w:hAnsi="Arial" w:cs="Arial"/>
          <w:b/>
          <w:spacing w:val="-20"/>
          <w:szCs w:val="24"/>
          <w:lang w:val="ro-RO"/>
        </w:rPr>
        <w:t>INDICATOR  CLIM16.  DEBITELE CURSURILOR DE APĂ (RO52)</w:t>
      </w:r>
    </w:p>
    <w:bookmarkEnd w:id="1"/>
    <w:p w:rsidR="00924A0A" w:rsidRPr="00242122" w:rsidRDefault="00924A0A" w:rsidP="00924A0A">
      <w:pPr>
        <w:spacing w:after="0" w:line="240" w:lineRule="auto"/>
        <w:ind w:firstLine="720"/>
        <w:rPr>
          <w:rFonts w:ascii="Arial" w:hAnsi="Arial" w:cs="Arial"/>
          <w:b/>
          <w:sz w:val="24"/>
          <w:szCs w:val="24"/>
        </w:rPr>
      </w:pPr>
    </w:p>
    <w:p w:rsidR="00924A0A" w:rsidRPr="00242122" w:rsidRDefault="00924A0A" w:rsidP="00924A0A">
      <w:pPr>
        <w:spacing w:after="0" w:line="240" w:lineRule="auto"/>
        <w:ind w:firstLine="720"/>
        <w:rPr>
          <w:rFonts w:ascii="Arial" w:hAnsi="Arial" w:cs="Arial"/>
          <w:b/>
          <w:sz w:val="24"/>
          <w:szCs w:val="24"/>
        </w:rPr>
      </w:pPr>
      <w:r w:rsidRPr="00242122">
        <w:rPr>
          <w:rFonts w:ascii="Arial" w:hAnsi="Arial" w:cs="Arial"/>
          <w:b/>
          <w:sz w:val="24"/>
          <w:szCs w:val="24"/>
        </w:rPr>
        <w:t>CARACTERIZAREA HIDROLOGICĂ A ANULUI 2021</w:t>
      </w:r>
    </w:p>
    <w:p w:rsidR="00924A0A" w:rsidRPr="00242122" w:rsidRDefault="00924A0A" w:rsidP="00924A0A">
      <w:pPr>
        <w:spacing w:after="0" w:line="240" w:lineRule="auto"/>
        <w:ind w:firstLine="720"/>
        <w:rPr>
          <w:rFonts w:ascii="Arial" w:hAnsi="Arial" w:cs="Arial"/>
          <w:b/>
          <w:sz w:val="24"/>
          <w:szCs w:val="24"/>
          <w:u w:val="single"/>
        </w:rPr>
      </w:pPr>
    </w:p>
    <w:p w:rsidR="00924A0A" w:rsidRPr="00242122" w:rsidRDefault="00924A0A" w:rsidP="00924A0A">
      <w:pPr>
        <w:spacing w:after="0" w:line="240" w:lineRule="auto"/>
        <w:ind w:firstLine="720"/>
        <w:jc w:val="both"/>
        <w:rPr>
          <w:rFonts w:ascii="Arial" w:hAnsi="Arial" w:cs="Arial"/>
          <w:b/>
          <w:sz w:val="24"/>
          <w:szCs w:val="24"/>
        </w:rPr>
      </w:pPr>
      <w:r w:rsidRPr="00242122">
        <w:rPr>
          <w:rFonts w:ascii="Arial" w:hAnsi="Arial" w:cs="Arial"/>
          <w:b/>
          <w:sz w:val="24"/>
          <w:szCs w:val="24"/>
        </w:rPr>
        <w:t xml:space="preserve">I) RÂURI </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În anul 2021 regimul hidrologic s-a situat la valori cuprinse între 80 – 100 % din mediile multianuale, mai mari (peste mediile multianuale) pe râurile din bazinele hidrografice: Vişeu, Iza, Tur, Someş, Crasna, Barcău, Crişul Repede, Crişul Negru, Crişul Alb, în bazinul superior al Arieşului şi în bazinul superior şi mijlociu al Ialomiţei şi mai mici (50-80%) pe râurile din bazinele hidrografice: Cerna, Motru, Desnăţui, Olt inferior, Vedea, Argeş superior, Rm. Sărat, pe cursurile mijlocii şi inferioare ale Moldovei şi Trotuşului, pe cursul Siretului şi pe cursul Prutului, pe sectorul aval acumularea Stânca Costeşti. Cele mai mici valori ale debitelor medii s-au ȋnregistrat pe râurile din bazinele Jijiei (între 50 – 80% din mediile multianuale) şi Bârladului (sub 30%) (</w:t>
      </w:r>
      <w:r w:rsidRPr="00242122">
        <w:rPr>
          <w:rFonts w:ascii="Arial" w:hAnsi="Arial" w:cs="Arial"/>
          <w:b/>
          <w:i/>
          <w:iCs/>
          <w:sz w:val="24"/>
          <w:szCs w:val="24"/>
        </w:rPr>
        <w:t>Figura II.1.1.3.1</w:t>
      </w:r>
      <w:r w:rsidRPr="00242122">
        <w:rPr>
          <w:rFonts w:ascii="Arial" w:hAnsi="Arial" w:cs="Arial"/>
          <w:sz w:val="24"/>
          <w:szCs w:val="24"/>
        </w:rPr>
        <w:t>).</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color w:val="000000"/>
          <w:kern w:val="24"/>
          <w:sz w:val="24"/>
          <w:szCs w:val="24"/>
          <w:lang w:eastAsia="zh-CN"/>
        </w:rPr>
        <w:t>În cursul anului</w:t>
      </w:r>
      <w:r w:rsidRPr="00242122">
        <w:rPr>
          <w:rFonts w:ascii="Arial" w:hAnsi="Arial" w:cs="Arial"/>
          <w:sz w:val="24"/>
          <w:szCs w:val="24"/>
          <w:lang w:eastAsia="x-none"/>
        </w:rPr>
        <w:t xml:space="preserve"> 2021 </w:t>
      </w:r>
      <w:r w:rsidRPr="00242122">
        <w:rPr>
          <w:rFonts w:ascii="Arial" w:hAnsi="Arial" w:cs="Arial"/>
          <w:color w:val="000000"/>
          <w:kern w:val="24"/>
          <w:sz w:val="24"/>
          <w:szCs w:val="24"/>
          <w:lang w:eastAsia="zh-CN"/>
        </w:rPr>
        <w:t>cele mai importante evenimente meteorologice şi hidrologice periculoase s-au înregistrat în lunile ianuarie, februarie, mai, iunie şi iulie 2021. Cele mai afectate bazine hidrografice au fost: Vişeu, Iza, Tur, Someş, Crasna, Crişuri, Mureş, Bega, Timiş, Bârzava, Moraviţa, Caraş, Nera, Jiu mijlociu şi inferior, Olt superior, Trotuş, Putna, Bârlad superior şi râurile din Dobrogea.</w:t>
      </w:r>
      <w:r w:rsidRPr="00242122">
        <w:rPr>
          <w:rFonts w:ascii="Arial" w:hAnsi="Arial" w:cs="Arial"/>
          <w:sz w:val="24"/>
          <w:szCs w:val="24"/>
          <w:lang w:eastAsia="x-none"/>
        </w:rPr>
        <w:t xml:space="preserve"> </w:t>
      </w:r>
    </w:p>
    <w:p w:rsidR="00924A0A" w:rsidRPr="00242122" w:rsidRDefault="00924A0A" w:rsidP="00924A0A">
      <w:pPr>
        <w:spacing w:after="0" w:line="240" w:lineRule="auto"/>
        <w:ind w:firstLine="720"/>
        <w:jc w:val="both"/>
        <w:rPr>
          <w:rFonts w:ascii="Arial" w:hAnsi="Arial" w:cs="Arial"/>
          <w:sz w:val="24"/>
          <w:szCs w:val="24"/>
          <w:lang w:eastAsia="zh-CN"/>
        </w:rPr>
      </w:pPr>
      <w:r w:rsidRPr="00242122">
        <w:rPr>
          <w:rFonts w:ascii="Arial" w:hAnsi="Arial" w:cs="Arial"/>
          <w:sz w:val="24"/>
          <w:szCs w:val="24"/>
          <w:lang w:eastAsia="zh-CN"/>
        </w:rPr>
        <w:t>Ȋn cursul lunilor mai, iunie şi iulie 2021, datorită caracterului torenţial şi cantităţilor importante de precipitaţii ȋnregistrate în intervale scurte de timp, fenomenele hidrologice periculoase cu efecte de inundaţii locale au fost generate mai ales de scurgeri importante pe versanţi, torenţi, pâraie şi creşteri rapide de niveluri şi debite cu efect de inundaţii locale.</w:t>
      </w:r>
    </w:p>
    <w:p w:rsidR="00924A0A" w:rsidRPr="00242122" w:rsidRDefault="00924A0A" w:rsidP="00924A0A">
      <w:pPr>
        <w:spacing w:after="0" w:line="240" w:lineRule="auto"/>
        <w:ind w:firstLine="720"/>
        <w:jc w:val="both"/>
        <w:rPr>
          <w:rFonts w:ascii="Arial" w:hAnsi="Arial" w:cs="Arial"/>
          <w:b/>
          <w:sz w:val="24"/>
          <w:szCs w:val="24"/>
        </w:rPr>
      </w:pPr>
      <w:r w:rsidRPr="00242122">
        <w:rPr>
          <w:rFonts w:ascii="Arial" w:hAnsi="Arial" w:cs="Arial"/>
          <w:sz w:val="24"/>
          <w:szCs w:val="24"/>
        </w:rPr>
        <w:t xml:space="preserve">În anul 2021, pe baza situaţiei hidrologice şi a prognozelor meteorologice, înaintea declanşării fenomenelor periculoase, au fost emise la nivel naţional </w:t>
      </w:r>
      <w:r w:rsidRPr="00242122">
        <w:rPr>
          <w:rFonts w:ascii="Arial" w:hAnsi="Arial" w:cs="Arial"/>
          <w:b/>
          <w:sz w:val="24"/>
          <w:szCs w:val="24"/>
        </w:rPr>
        <w:t>63 AVERTIZĂRI HIDROLOGICE (61 COD PORTOCALIU şi 2 COD ROŞU)</w:t>
      </w:r>
      <w:r w:rsidRPr="00242122">
        <w:rPr>
          <w:rFonts w:ascii="Arial" w:hAnsi="Arial" w:cs="Arial"/>
          <w:sz w:val="24"/>
          <w:szCs w:val="24"/>
        </w:rPr>
        <w:t>,</w:t>
      </w:r>
      <w:r w:rsidRPr="00242122">
        <w:rPr>
          <w:rFonts w:ascii="Arial" w:hAnsi="Arial" w:cs="Arial"/>
          <w:b/>
          <w:sz w:val="24"/>
          <w:szCs w:val="24"/>
        </w:rPr>
        <w:t xml:space="preserve"> 47 ATENŢIONĂRI - COD GALBEN</w:t>
      </w:r>
      <w:r w:rsidRPr="00242122">
        <w:rPr>
          <w:rFonts w:ascii="Arial" w:hAnsi="Arial" w:cs="Arial"/>
          <w:sz w:val="24"/>
          <w:szCs w:val="24"/>
        </w:rPr>
        <w:t xml:space="preserve">, </w:t>
      </w:r>
      <w:r w:rsidRPr="00242122">
        <w:rPr>
          <w:rFonts w:ascii="Arial" w:hAnsi="Arial" w:cs="Arial"/>
          <w:b/>
          <w:sz w:val="24"/>
          <w:szCs w:val="24"/>
        </w:rPr>
        <w:t xml:space="preserve">159 avertizări pentru fenomene imediate (din care 39 COD ROŞU) şi 296 atenţionări pentru fenomene imediate. </w:t>
      </w:r>
    </w:p>
    <w:p w:rsidR="00924A0A" w:rsidRPr="00242122" w:rsidRDefault="00924A0A" w:rsidP="00924A0A">
      <w:pPr>
        <w:spacing w:line="240" w:lineRule="auto"/>
        <w:jc w:val="center"/>
        <w:rPr>
          <w:rFonts w:ascii="Arial" w:hAnsi="Arial" w:cs="Arial"/>
          <w:b/>
          <w:sz w:val="24"/>
          <w:szCs w:val="24"/>
        </w:rPr>
      </w:pPr>
      <w:r w:rsidRPr="00242122">
        <w:rPr>
          <w:rFonts w:ascii="Arial" w:hAnsi="Arial" w:cs="Arial"/>
          <w:noProof/>
          <w:sz w:val="24"/>
          <w:szCs w:val="24"/>
          <w:lang w:eastAsia="ro-RO"/>
        </w:rPr>
        <w:drawing>
          <wp:inline distT="0" distB="0" distL="0" distR="0" wp14:anchorId="210ABF40" wp14:editId="3457C494">
            <wp:extent cx="3816985" cy="379158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16985" cy="3791585"/>
                    </a:xfrm>
                    <a:prstGeom prst="rect">
                      <a:avLst/>
                    </a:prstGeom>
                    <a:noFill/>
                    <a:ln>
                      <a:noFill/>
                    </a:ln>
                  </pic:spPr>
                </pic:pic>
              </a:graphicData>
            </a:graphic>
          </wp:inline>
        </w:drawing>
      </w:r>
    </w:p>
    <w:p w:rsidR="00924A0A" w:rsidRPr="00242122" w:rsidRDefault="00924A0A" w:rsidP="00924A0A">
      <w:pPr>
        <w:spacing w:after="0" w:line="240" w:lineRule="auto"/>
        <w:jc w:val="both"/>
        <w:rPr>
          <w:rFonts w:ascii="Arial" w:hAnsi="Arial" w:cs="Arial"/>
          <w:bCs/>
          <w:sz w:val="24"/>
          <w:szCs w:val="24"/>
        </w:rPr>
      </w:pPr>
      <w:r w:rsidRPr="00242122">
        <w:rPr>
          <w:rFonts w:ascii="Arial" w:hAnsi="Arial" w:cs="Arial"/>
          <w:b/>
          <w:i/>
          <w:iCs/>
          <w:noProof/>
          <w:sz w:val="24"/>
          <w:szCs w:val="24"/>
          <w:lang w:eastAsia="ro-RO"/>
        </w:rPr>
        <w:lastRenderedPageBreak/>
        <mc:AlternateContent>
          <mc:Choice Requires="wps">
            <w:drawing>
              <wp:anchor distT="0" distB="0" distL="114300" distR="114300" simplePos="0" relativeHeight="251659264" behindDoc="0" locked="0" layoutInCell="0" allowOverlap="1" wp14:anchorId="261D42CD" wp14:editId="4B986E91">
                <wp:simplePos x="0" y="0"/>
                <wp:positionH relativeFrom="column">
                  <wp:posOffset>5797944</wp:posOffset>
                </wp:positionH>
                <wp:positionV relativeFrom="paragraph">
                  <wp:posOffset>216250</wp:posOffset>
                </wp:positionV>
                <wp:extent cx="365760" cy="91440"/>
                <wp:effectExtent l="10795" t="13335" r="13970" b="9525"/>
                <wp:wrapNone/>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91440"/>
                        </a:xfrm>
                        <a:prstGeom prst="rect">
                          <a:avLst/>
                        </a:prstGeom>
                        <a:pattFill prst="wdDnDiag">
                          <a:fgClr>
                            <a:srgbClr val="0000FF"/>
                          </a:fgClr>
                          <a:bgClr>
                            <a:srgbClr val="FFFFFF"/>
                          </a:bgClr>
                        </a:pattFill>
                        <a:ln w="9525">
                          <a:solidFill>
                            <a:srgbClr val="0000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49660F" id="Rectangle 66" o:spid="_x0000_s1026" style="position:absolute;margin-left:456.55pt;margin-top:17.05pt;width:28.8pt;height:7.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" o:allowincell="f" fillcolor="blue" strokecolor="blue">
                <v:fill r:id="rId18" o:title="" type="pattern"/>
              </v:rect>
            </w:pict>
          </mc:Fallback>
        </mc:AlternateContent>
      </w:r>
      <w:r w:rsidRPr="00242122">
        <w:rPr>
          <w:rFonts w:ascii="Arial" w:hAnsi="Arial" w:cs="Arial"/>
          <w:b/>
          <w:i/>
          <w:iCs/>
          <w:noProof/>
          <w:sz w:val="24"/>
          <w:szCs w:val="24"/>
          <w:lang w:eastAsia="ro-RO"/>
        </w:rPr>
        <mc:AlternateContent>
          <mc:Choice Requires="wps">
            <w:drawing>
              <wp:anchor distT="0" distB="0" distL="114300" distR="114300" simplePos="0" relativeHeight="251661312" behindDoc="0" locked="0" layoutInCell="1" allowOverlap="1" wp14:anchorId="31D67E14" wp14:editId="0CAF9119">
                <wp:simplePos x="0" y="0"/>
                <wp:positionH relativeFrom="page">
                  <wp:posOffset>6032938</wp:posOffset>
                </wp:positionH>
                <wp:positionV relativeFrom="paragraph">
                  <wp:posOffset>440296</wp:posOffset>
                </wp:positionV>
                <wp:extent cx="388423" cy="10510"/>
                <wp:effectExtent l="0" t="0" r="12065" b="27940"/>
                <wp:wrapNone/>
                <wp:docPr id="64" name="Straight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423" cy="10510"/>
                        </a:xfrm>
                        <a:prstGeom prst="line">
                          <a:avLst/>
                        </a:prstGeom>
                        <a:noFill/>
                        <a:ln w="19050">
                          <a:solidFill>
                            <a:srgbClr val="0000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65CBFA" id="Straight Connector 64" o:spid="_x0000_s1026" style="position:absolute;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5.05pt,34.65pt" to="505.6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" strokecolor="blue" strokeweight="1.5pt">
                <v:stroke dashstyle="dash"/>
                <w10:wrap anchorx="page"/>
              </v:line>
            </w:pict>
          </mc:Fallback>
        </mc:AlternateContent>
      </w:r>
      <w:r w:rsidRPr="00242122">
        <w:rPr>
          <w:rFonts w:ascii="Arial" w:hAnsi="Arial" w:cs="Arial"/>
          <w:b/>
          <w:i/>
          <w:iCs/>
          <w:noProof/>
          <w:sz w:val="24"/>
          <w:szCs w:val="24"/>
          <w:lang w:eastAsia="ro-RO"/>
        </w:rPr>
        <mc:AlternateContent>
          <mc:Choice Requires="wps">
            <w:drawing>
              <wp:anchor distT="0" distB="0" distL="114300" distR="114300" simplePos="0" relativeHeight="251662336" behindDoc="0" locked="0" layoutInCell="0" allowOverlap="1" wp14:anchorId="465E18AA" wp14:editId="22E50E85">
                <wp:simplePos x="0" y="0"/>
                <wp:positionH relativeFrom="column">
                  <wp:posOffset>1364506</wp:posOffset>
                </wp:positionH>
                <wp:positionV relativeFrom="paragraph">
                  <wp:posOffset>637628</wp:posOffset>
                </wp:positionV>
                <wp:extent cx="274320" cy="0"/>
                <wp:effectExtent l="12700" t="14605" r="17780" b="13970"/>
                <wp:wrapNone/>
                <wp:docPr id="65"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368A72" id="Straight Connector 6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45pt,50.2pt" to="129.05pt,5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" o:allowincell="f" strokecolor="red" strokeweight="1.5pt"/>
            </w:pict>
          </mc:Fallback>
        </mc:AlternateContent>
      </w:r>
      <w:r w:rsidRPr="00242122">
        <w:rPr>
          <w:rFonts w:ascii="Arial" w:hAnsi="Arial" w:cs="Arial"/>
          <w:b/>
          <w:i/>
          <w:iCs/>
          <w:noProof/>
          <w:sz w:val="24"/>
          <w:szCs w:val="24"/>
          <w:lang w:eastAsia="ro-RO"/>
        </w:rPr>
        <mc:AlternateContent>
          <mc:Choice Requires="wps">
            <w:drawing>
              <wp:anchor distT="0" distB="0" distL="114300" distR="114300" simplePos="0" relativeHeight="251660288" behindDoc="0" locked="0" layoutInCell="0" allowOverlap="1" wp14:anchorId="486AD936" wp14:editId="461BBEBD">
                <wp:simplePos x="0" y="0"/>
                <wp:positionH relativeFrom="column">
                  <wp:posOffset>2777161</wp:posOffset>
                </wp:positionH>
                <wp:positionV relativeFrom="paragraph">
                  <wp:posOffset>390022</wp:posOffset>
                </wp:positionV>
                <wp:extent cx="365760" cy="91440"/>
                <wp:effectExtent l="12700" t="13335" r="12065" b="9525"/>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91440"/>
                        </a:xfrm>
                        <a:prstGeom prst="rect">
                          <a:avLst/>
                        </a:prstGeom>
                        <a:solidFill>
                          <a:srgbClr val="FF0000"/>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CDBF1" id="Rectangle 63" o:spid="_x0000_s1026" style="position:absolute;margin-left:218.65pt;margin-top:30.7pt;width:28.8pt;height:7.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" o:allowincell="f" fillcolor="red" strokecolor="red"/>
            </w:pict>
          </mc:Fallback>
        </mc:AlternateContent>
      </w:r>
      <w:r w:rsidRPr="00242122">
        <w:rPr>
          <w:rFonts w:ascii="Arial" w:hAnsi="Arial" w:cs="Arial"/>
          <w:b/>
          <w:i/>
          <w:iCs/>
          <w:sz w:val="24"/>
          <w:szCs w:val="24"/>
        </w:rPr>
        <w:t>Figura II.1.1.3.1</w:t>
      </w:r>
      <w:r w:rsidRPr="00242122">
        <w:rPr>
          <w:rFonts w:ascii="Arial" w:hAnsi="Arial" w:cs="Arial"/>
          <w:bCs/>
          <w:sz w:val="24"/>
          <w:szCs w:val="24"/>
        </w:rPr>
        <w:t xml:space="preserve"> Harta cu repartiţia coeficienţilor moduli anuali (raportul dintre debitul mediu anual şi debitul mediu multianual) pentru anul 2021, hidrograful debitelor medii lunare (             ) comparativ cu valorile  n</w:t>
      </w:r>
      <w:r w:rsidRPr="00F7182D">
        <w:rPr>
          <w:rFonts w:ascii="Arial" w:hAnsi="Arial" w:cs="Arial"/>
          <w:bCs/>
          <w:color w:val="FFFFFF" w:themeColor="background1"/>
          <w:sz w:val="24"/>
          <w:szCs w:val="24"/>
          <w:shd w:val="clear" w:color="auto" w:fill="FFFFFF" w:themeFill="background1"/>
        </w:rPr>
        <w:t>ormal</w:t>
      </w:r>
      <w:r w:rsidRPr="00242122">
        <w:rPr>
          <w:rFonts w:ascii="Arial" w:hAnsi="Arial" w:cs="Arial"/>
          <w:bCs/>
          <w:sz w:val="24"/>
          <w:szCs w:val="24"/>
        </w:rPr>
        <w:t xml:space="preserve">e  lunare (             ),  debitul mediu  anual  2021 (         </w:t>
      </w:r>
      <w:r w:rsidRPr="00242122">
        <w:rPr>
          <w:rFonts w:ascii="Arial" w:hAnsi="Arial" w:cs="Arial"/>
          <w:bCs/>
          <w:color w:val="000000"/>
          <w:sz w:val="24"/>
          <w:szCs w:val="24"/>
        </w:rPr>
        <w:t xml:space="preserve">),  debitul  mediu  multianual  (         ) </w:t>
      </w:r>
      <w:r w:rsidRPr="00242122">
        <w:rPr>
          <w:rFonts w:ascii="Arial" w:hAnsi="Arial" w:cs="Arial"/>
          <w:bCs/>
          <w:sz w:val="24"/>
          <w:szCs w:val="24"/>
        </w:rPr>
        <w:t xml:space="preserve">la câteva staţii hidrometrice reprezentative pentru principalele zone din ţară. </w:t>
      </w:r>
    </w:p>
    <w:p w:rsidR="00924A0A" w:rsidRPr="00242122" w:rsidRDefault="00924A0A" w:rsidP="00924A0A">
      <w:pPr>
        <w:spacing w:after="0" w:line="240" w:lineRule="auto"/>
        <w:jc w:val="right"/>
        <w:rPr>
          <w:rFonts w:ascii="Arial" w:hAnsi="Arial" w:cs="Arial"/>
          <w:sz w:val="24"/>
          <w:szCs w:val="24"/>
        </w:rPr>
      </w:pPr>
    </w:p>
    <w:p w:rsidR="00924A0A" w:rsidRPr="00242122" w:rsidRDefault="00924A0A" w:rsidP="00924A0A">
      <w:pPr>
        <w:spacing w:after="0" w:line="240" w:lineRule="auto"/>
        <w:ind w:right="-567"/>
        <w:jc w:val="both"/>
        <w:rPr>
          <w:rFonts w:ascii="Arial" w:hAnsi="Arial" w:cs="Arial"/>
          <w:sz w:val="24"/>
          <w:szCs w:val="24"/>
        </w:rPr>
      </w:pPr>
      <w:r w:rsidRPr="00242122">
        <w:rPr>
          <w:rFonts w:ascii="Arial" w:hAnsi="Arial" w:cs="Arial"/>
          <w:b/>
          <w:i/>
          <w:sz w:val="24"/>
          <w:szCs w:val="24"/>
        </w:rPr>
        <w:t>Caracterizarea lunilor de iarnă 2021</w:t>
      </w:r>
    </w:p>
    <w:p w:rsidR="00924A0A" w:rsidRPr="00242122" w:rsidRDefault="00924A0A" w:rsidP="00924A0A">
      <w:pPr>
        <w:spacing w:after="0" w:line="240" w:lineRule="auto"/>
        <w:jc w:val="right"/>
        <w:rPr>
          <w:rFonts w:ascii="Arial" w:hAnsi="Arial" w:cs="Arial"/>
          <w:sz w:val="24"/>
          <w:szCs w:val="24"/>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luna </w:t>
      </w:r>
      <w:r w:rsidRPr="00242122">
        <w:rPr>
          <w:rFonts w:ascii="Arial" w:hAnsi="Arial" w:cs="Arial"/>
          <w:sz w:val="24"/>
          <w:szCs w:val="24"/>
          <w:u w:val="single"/>
          <w:lang w:eastAsia="x-none"/>
        </w:rPr>
        <w:t>ianuarie 2021</w:t>
      </w:r>
      <w:r w:rsidRPr="00242122">
        <w:rPr>
          <w:rFonts w:ascii="Arial" w:hAnsi="Arial" w:cs="Arial"/>
          <w:sz w:val="24"/>
          <w:szCs w:val="24"/>
          <w:lang w:eastAsia="x-none"/>
        </w:rPr>
        <w:t xml:space="preserve">, regimul  hidrologic al  bazinelor hidrografice din România </w:t>
      </w:r>
      <w:r w:rsidRPr="00242122">
        <w:rPr>
          <w:rFonts w:ascii="Arial" w:hAnsi="Arial" w:cs="Arial"/>
          <w:sz w:val="24"/>
          <w:szCs w:val="24"/>
        </w:rPr>
        <w:t xml:space="preserve">(figura 1) </w:t>
      </w:r>
      <w:r w:rsidRPr="00242122">
        <w:rPr>
          <w:rFonts w:ascii="Arial" w:hAnsi="Arial" w:cs="Arial"/>
          <w:sz w:val="24"/>
          <w:szCs w:val="24"/>
          <w:lang w:eastAsia="x-none"/>
        </w:rPr>
        <w:t>s-a situat la valori peste mediile lunare multianuale. Excepţie au făcut râurile din bazinul hidrografic al Bistriţei, cursul superior şi mijlociu al Siretului şi cursul inferior al Moldovei unde regimul hidrologic a avut valori cuprinse între 80</w:t>
      </w:r>
      <w:r w:rsidRPr="00242122">
        <w:rPr>
          <w:rFonts w:ascii="Arial" w:hAnsi="Arial" w:cs="Arial"/>
          <w:sz w:val="24"/>
          <w:szCs w:val="24"/>
          <w:lang w:val="x-none" w:eastAsia="x-none"/>
        </w:rPr>
        <w:t>–</w:t>
      </w:r>
      <w:r w:rsidRPr="00242122">
        <w:rPr>
          <w:rFonts w:ascii="Arial" w:hAnsi="Arial" w:cs="Arial"/>
          <w:sz w:val="24"/>
          <w:szCs w:val="24"/>
          <w:lang w:eastAsia="x-none"/>
        </w:rPr>
        <w:t>100% din normalele lunare, Târnavele cu valori cuprinse între 50-80%, iar cele mai mici valori s-au înregistrat pe râurile din bazinele Bârladului şi pe afluenţii Prutului (30-50%) (</w:t>
      </w:r>
      <w:r w:rsidRPr="00242122">
        <w:rPr>
          <w:rFonts w:ascii="Arial" w:hAnsi="Arial" w:cs="Arial"/>
          <w:b/>
          <w:i/>
          <w:iCs/>
          <w:sz w:val="24"/>
          <w:szCs w:val="24"/>
        </w:rPr>
        <w:t>Figura II.1.1.3.2</w:t>
      </w:r>
      <w:r w:rsidRPr="00242122">
        <w:rPr>
          <w:rFonts w:ascii="Arial" w:hAnsi="Arial" w:cs="Arial"/>
          <w:sz w:val="24"/>
          <w:szCs w:val="24"/>
          <w:lang w:eastAsia="x-none"/>
        </w:rPr>
        <w:t>).</w:t>
      </w:r>
    </w:p>
    <w:p w:rsidR="00924A0A" w:rsidRPr="00242122" w:rsidRDefault="00924A0A" w:rsidP="00924A0A">
      <w:pPr>
        <w:spacing w:line="240" w:lineRule="auto"/>
        <w:jc w:val="center"/>
        <w:rPr>
          <w:rFonts w:ascii="Arial" w:hAnsi="Arial" w:cs="Arial"/>
          <w:sz w:val="24"/>
          <w:szCs w:val="24"/>
          <w:lang w:eastAsia="x-none"/>
        </w:rPr>
      </w:pPr>
      <w:r w:rsidRPr="00242122">
        <w:rPr>
          <w:rFonts w:ascii="Arial" w:hAnsi="Arial" w:cs="Arial"/>
          <w:noProof/>
          <w:sz w:val="24"/>
          <w:szCs w:val="24"/>
          <w:lang w:eastAsia="ro-RO"/>
        </w:rPr>
        <w:drawing>
          <wp:inline distT="0" distB="0" distL="0" distR="0" wp14:anchorId="3171357F" wp14:editId="5F1E24FF">
            <wp:extent cx="4077335" cy="2910840"/>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77335" cy="2910840"/>
                    </a:xfrm>
                    <a:prstGeom prst="rect">
                      <a:avLst/>
                    </a:prstGeom>
                    <a:noFill/>
                    <a:ln>
                      <a:noFill/>
                    </a:ln>
                  </pic:spPr>
                </pic:pic>
              </a:graphicData>
            </a:graphic>
          </wp:inline>
        </w:drawing>
      </w:r>
    </w:p>
    <w:p w:rsidR="00924A0A" w:rsidRPr="00242122" w:rsidRDefault="00924A0A" w:rsidP="00924A0A">
      <w:pPr>
        <w:spacing w:line="240" w:lineRule="auto"/>
        <w:jc w:val="center"/>
        <w:rPr>
          <w:rFonts w:ascii="Arial" w:hAnsi="Arial" w:cs="Arial"/>
          <w:i/>
          <w:sz w:val="24"/>
          <w:szCs w:val="24"/>
        </w:rPr>
      </w:pPr>
      <w:r w:rsidRPr="00242122">
        <w:rPr>
          <w:rFonts w:ascii="Arial" w:hAnsi="Arial" w:cs="Arial"/>
          <w:b/>
          <w:i/>
          <w:iCs/>
          <w:sz w:val="24"/>
          <w:szCs w:val="24"/>
        </w:rPr>
        <w:t>Figura II.1.1.3.2:</w:t>
      </w:r>
      <w:r w:rsidRPr="00242122">
        <w:rPr>
          <w:rFonts w:ascii="Arial" w:hAnsi="Arial" w:cs="Arial"/>
          <w:i/>
          <w:sz w:val="24"/>
          <w:szCs w:val="24"/>
        </w:rPr>
        <w:t xml:space="preserve"> Regimul debitelor medii lunare în luna ianuarie 2021</w:t>
      </w:r>
    </w:p>
    <w:p w:rsidR="00924A0A" w:rsidRPr="00242122" w:rsidRDefault="00924A0A" w:rsidP="00924A0A">
      <w:pPr>
        <w:spacing w:line="240" w:lineRule="auto"/>
        <w:ind w:firstLine="720"/>
        <w:jc w:val="both"/>
        <w:rPr>
          <w:rFonts w:ascii="Arial" w:hAnsi="Arial" w:cs="Arial"/>
          <w:sz w:val="24"/>
          <w:szCs w:val="24"/>
          <w:highlight w:val="yellow"/>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primele două zile ale lunii ianuarie 2021 debitele au fost în creştere, datorită precipitațiilor căzute şi propagării, pe râurile din bazinele hidrografice: Vișeu, Iza, Tur, Someș, Crasna, Barcău, Crișuri, Arieș, Bega, Timiș, Bârzava, Moravița, Caraș, Nera, Cerna, Jiu superior şi Mureş inferior. Pe celelalte râuri debitele au fost în scădere, exceptând cele din bazinul superior şi mijlociu al Mureșului și din Dobrogea unde au fost relativ staționare.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S-a situat peste COTA DE ATENȚIE râul Bistra la stația hidrometrică Pădurea Neagră, iar pe râul Tur, ca urmare a deversărilor controlate pe sectorul îndiguit, nivelurile s-au situat peste COTA DE INUNDAȚIE la stația hidrometrică Micula şi peste COTELE DE ATENȚIE la stațiile hidrometrice Călinești Oaș și Turulung.</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intervalul 3 – 4 ianuarie debitele au fost în scădere pe râurile din Maramureş, Crişana, Banat şi vestul Transilvaniei şi relativ staţionare pe celelalte râuri.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5 – 6 ianuarie debitele au fost în creştere, ca efect combinat al precipitaţiilor lichide căzute în acest interval, cedării apei din stratul de zăpadă şi propagării. Creşteri mai însemnate, cu depăşiri ale COTELOR DE APᾸRARE, s-au înregistrat îndeosebi în bazinele hidrografice ale Jiului şi Oltului inferior.</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acest inteval s-au situat peste: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 COTELE DE PERICOL râurile la stațiile hidrometrice: Motru–Tirmingani, Lotru–Valea lui Stan şi Jiu–Răcari;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lastRenderedPageBreak/>
        <w:t>- COTELE DE INUNDAȚIE râurile la stațiile hidrometrice: Pogăniș–Valea Pai, Bârzava–Gătaia, Bulba–Baia de Aramă, Brebina–Brebina, Motru–Broşteni, Bistrița-–Teleşti, Orlea–Celei, Olteț–Nistoreşti, Sălătrucel–Berislăveşti, Olăneşti–Olăneşti Băi şi Olăneşti–Rm Vâlcea;</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COTELE DE ATENȚIE râurile la stațiile hidrometrice: Talna–Pășunea Mare, Crasna–Domănești, Ier–Ghilești, Briheni–Şuştiu, Crișul Negru–Tinca, Cigher–Chier, Chizdia–Ghizela, Timiş–Teregova, Timiș–Lugoj, Sebeș–Turnu Ruieni, Tău–Soceni, Bârzava–Partoș, Caraș–Carașova, Gîrliște–Gîrliște, Ciclova–Vrăniuț, Bela Reca–Mehadia, Desnățui–Călugărei, Jiu–Iscroni, Jiu–Sadu, Jiu–Rovinari, Jiu–Filiași, Jiu-–Podari, Jaleş–Runcu, Jaleş–Stolojani, Jilţ–Turceni, Motruşor–Motruşor, Motru Sec–Motru Sec, Motru–Broşteni, Coşuştea–Corcova, Husnița–Strehaia, Gilort–Turburea, Lotru–Gura Latoriței, Cheia–Valea Cheii, Bistrița–Genuneni, Bistriţa–Băbeni, Topolog–Sălătruc, Pârâul Ursanilor–Horezu, Cerna–Măciuca, Olteț–Oteteliș şi Teleajen–Moara Domnească.</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 În intervalul 7 – 8 ianuarie debitele au fost în general în scădere, exceptând cursurile mijlocii şi inferioare ale râurilor mari din vestul ţării unde au fost în creştere prin propagare. Precipitaţiile lichide căzute în acest interval au mai determinat creşteri de niveluri şi debite în prima zi pe râurile din bazinele hidrografice: Crișul Alb, Bârzava, Suceava şi Bârlad şi în cea de-a doua zi pe râurile din bazinul superior al Argeşului şi pe cele din bazinul Ialomiței.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Prin propagarea viiturilor formate anterior, s-au situat peste cotele de COTELE DE INUNDAȚIE râurile la staţiile hidrometrice: Tur–Micula, Crasna–Domănești şi Bârzava–Partoș şi peste COTELE DE ATENȚIE: Tur-Călinești Oaș, Tur-Turulung,  Crasna–Berveni, Crișul Alb–Vața de Jos, Crișul Alb–Chișineu Criș, Bega–Balinț, Bega–Chizătău, Gladna–Firdea, Timiș–Grăniceri, Pogăniș–Brebu, Moravița–Moravița și Caraș–Vărădia.</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intervalul 9 – 15 ianuarie debitele au fost în general în scădere, exceptând râurile din bazinul Vedea, cele din bazinele mijlocii şi inferioare ale Argeşului şi Ialomiţei şi râurile din Dobrogea unde au fost în creştere, ca efect combinat al precipitaţiilor lichide şi propagării. Creşteri izolate de niveluri şi debite, s-au mai înregistrat în prima zi a acestui interval pe Motru, Gilort, Putna, Bârlad şi Tazlău şi în intervalul 12 –13 ianuarie pe Bârzava, Moraviţa, Jiu şi pe unii afluenţi ai Oltului inferior.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9 – 12 ianuarie, ca urmare a propagării viiturii formată anterior pe râul Tur şi a deversărilor controlate din acumularea Călineşti Oaş, s-au menţinut peste COTELE DE APᾸRARE nivelurile la staţiile hidrometrice Călinești Oaș, Turulung şi Micula şi numai prin propagare, s-au menţinut, în general, peste COTELE DE ATENȚIE, cursurile inferioare ale râurilor: Crasna, Timiș, Bârzava, Moravița şi Jiu, iar în intervalul 13 – 15 s-au situat peste COTELE DE ATENȚIE râul Urlui la staţia hidrometrică Furculeşti şi râul Lotru la stația hidrometrică Valea lui Stan.</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16 – 20 ianuarie debitele au fost în scădere, exceptând ultima zi, când au fost staţionare pe râurile din Oltenia, Muntenia, sudul Transilvaniei şi Dobrogea. În primele două zile ale acestui interval, s-a mentinut peste COTELE DE ATENȚIE râul Urlui  la staţia hidrometrică Furculeşti.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21 – 26 ianuarie debitele au fost în general în creştere, ca urmare a efectului combinat al precipitațiilor lichide, cedării apei din stratul de zăpadă și propagării, pe râurile din Maramureş, Crişana şi Banat, iar în ultimele trei zile s-au înregistrat creşteri şi pe unele râuri din Oltenia, Transilvania, nordul Munteniei şi sudul Moldovei. Pe celelalte râuri debitele au fost relativ staţionare.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25 – 26 ianuarie au fost depăşite COTELE DE ATENȚIE  pe râurile la stațiile hidrometrice: Crișul Alb–Vața de Jos, Cigher–Tauţ, Cigher–Chier, Timercea–Tauţ, Valea Mare–Târnova, Chijic–Copăcel,  Orlea–Celei, Crasna–Domăneşti şi Jiu–Răcari.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27 – 31 ianuarie debitele au fost în general în scădere uşoară, exceptând râurile din Dobrogea unde, în primele două zile, au fost în creştere ca efect combinat al precipitaţiilor lichide şi propagării. Prin propagare, s-a situat peste COTA DE ATENŢIE râul Crişul Alb la staţia hidrometrica Chişineu Criş.</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lastRenderedPageBreak/>
        <w:t>Începând din data de 25 ianuarie şi până la sfârşitul lunii, ca urmare a deversărilor controlate din acumularea Călineşti Oaş, s-au situat peste COTELE DE APᾸRARE nivelurile la staţiile hidrometrice aflate aval de această acumulare.</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Situaţia depăşirii COTELOR DE APĂRARE în luna ianuarie 2021 (valori maxime preliminare determinate pe baza datelor din fluxul operativ) este prezentată în </w:t>
      </w:r>
      <w:r w:rsidRPr="00242122">
        <w:rPr>
          <w:rFonts w:ascii="Arial" w:hAnsi="Arial" w:cs="Arial"/>
          <w:b/>
          <w:i/>
          <w:iCs/>
          <w:sz w:val="24"/>
          <w:szCs w:val="24"/>
        </w:rPr>
        <w:t>Figura II.1.1.3.3</w:t>
      </w:r>
      <w:r w:rsidRPr="00242122">
        <w:rPr>
          <w:rFonts w:ascii="Arial" w:hAnsi="Arial" w:cs="Arial"/>
          <w:sz w:val="24"/>
          <w:szCs w:val="24"/>
        </w:rPr>
        <w:t>.</w:t>
      </w:r>
    </w:p>
    <w:p w:rsidR="00924A0A" w:rsidRPr="00242122" w:rsidRDefault="00924A0A" w:rsidP="00924A0A">
      <w:pPr>
        <w:spacing w:line="240" w:lineRule="auto"/>
        <w:ind w:firstLine="720"/>
        <w:jc w:val="both"/>
        <w:rPr>
          <w:rFonts w:ascii="Arial" w:hAnsi="Arial" w:cs="Arial"/>
          <w:sz w:val="24"/>
          <w:szCs w:val="24"/>
        </w:rPr>
      </w:pPr>
    </w:p>
    <w:p w:rsidR="00924A0A" w:rsidRPr="00242122" w:rsidRDefault="00924A0A" w:rsidP="00924A0A">
      <w:pPr>
        <w:spacing w:line="240" w:lineRule="auto"/>
        <w:jc w:val="center"/>
        <w:rPr>
          <w:rFonts w:ascii="Arial" w:hAnsi="Arial" w:cs="Arial"/>
          <w:sz w:val="24"/>
          <w:szCs w:val="24"/>
        </w:rPr>
      </w:pPr>
      <w:r w:rsidRPr="00242122">
        <w:rPr>
          <w:rFonts w:ascii="Arial" w:hAnsi="Arial" w:cs="Arial"/>
          <w:noProof/>
          <w:sz w:val="24"/>
          <w:szCs w:val="24"/>
          <w:lang w:eastAsia="ro-RO"/>
        </w:rPr>
        <w:drawing>
          <wp:inline distT="0" distB="0" distL="0" distR="0" wp14:anchorId="227E3F01" wp14:editId="6043C036">
            <wp:extent cx="4471035" cy="3137535"/>
            <wp:effectExtent l="0" t="0" r="5715"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71035" cy="3137535"/>
                    </a:xfrm>
                    <a:prstGeom prst="rect">
                      <a:avLst/>
                    </a:prstGeom>
                    <a:noFill/>
                    <a:ln>
                      <a:noFill/>
                    </a:ln>
                  </pic:spPr>
                </pic:pic>
              </a:graphicData>
            </a:graphic>
          </wp:inline>
        </w:drawing>
      </w:r>
    </w:p>
    <w:p w:rsidR="00924A0A" w:rsidRPr="00242122" w:rsidRDefault="00924A0A" w:rsidP="00924A0A">
      <w:pPr>
        <w:spacing w:line="240" w:lineRule="auto"/>
        <w:jc w:val="center"/>
        <w:rPr>
          <w:rFonts w:ascii="Arial" w:hAnsi="Arial" w:cs="Arial"/>
          <w:i/>
          <w:sz w:val="24"/>
          <w:szCs w:val="24"/>
        </w:rPr>
      </w:pPr>
      <w:r w:rsidRPr="00242122">
        <w:rPr>
          <w:rFonts w:ascii="Arial" w:hAnsi="Arial" w:cs="Arial"/>
          <w:b/>
          <w:i/>
          <w:iCs/>
          <w:sz w:val="24"/>
          <w:szCs w:val="24"/>
        </w:rPr>
        <w:t>Figura II.1.1.3.3:</w:t>
      </w:r>
      <w:r w:rsidRPr="00242122">
        <w:rPr>
          <w:rFonts w:ascii="Arial" w:hAnsi="Arial" w:cs="Arial"/>
          <w:i/>
          <w:sz w:val="24"/>
          <w:szCs w:val="24"/>
        </w:rPr>
        <w:t xml:space="preserve"> </w:t>
      </w:r>
      <w:r w:rsidRPr="00242122">
        <w:rPr>
          <w:rFonts w:ascii="Arial" w:hAnsi="Arial" w:cs="Arial"/>
          <w:i/>
          <w:iCs/>
          <w:sz w:val="24"/>
          <w:szCs w:val="24"/>
        </w:rPr>
        <w:t xml:space="preserve">Situaţia depăşirilor de COTE DE APĂRARE pentru luna ianuarie 2021 </w:t>
      </w:r>
    </w:p>
    <w:p w:rsidR="00924A0A" w:rsidRPr="00242122" w:rsidRDefault="00924A0A" w:rsidP="00924A0A">
      <w:pPr>
        <w:spacing w:line="240" w:lineRule="auto"/>
        <w:ind w:firstLine="720"/>
        <w:jc w:val="both"/>
        <w:rPr>
          <w:rFonts w:ascii="Arial" w:hAnsi="Arial" w:cs="Arial"/>
          <w:sz w:val="24"/>
          <w:szCs w:val="24"/>
          <w:lang w:eastAsia="x-none"/>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Formaţiunile de gheaţă (gheaţă la maluri, năboi, pod de gheaţă) prezente în prima zi a lunii ianuarie 2021 numai în bazinele superioare ale Bistriței și Moldovei au fost în extindere şi intensificare în intervalul 9-20 ianuarie, când erau prezente în majoritatea bazinelor hidrografice, apoi în intervalul 21-27 ianuarie au intrat într-un proces de diminuare, restrângere şi chiar eliminare pe râurile din vestul şi sudul ţării, apoi în ultimele zile ale lunii au fost în uşoară extindere şi intensificare pe râurile mici din nordul, centrul şi estul ţării.</w:t>
      </w:r>
    </w:p>
    <w:p w:rsidR="00924A0A" w:rsidRPr="00242122" w:rsidRDefault="00924A0A" w:rsidP="00924A0A">
      <w:pPr>
        <w:spacing w:after="0" w:line="240" w:lineRule="auto"/>
        <w:ind w:firstLine="720"/>
        <w:jc w:val="both"/>
        <w:rPr>
          <w:rFonts w:ascii="Arial" w:hAnsi="Arial" w:cs="Arial"/>
          <w:sz w:val="24"/>
          <w:szCs w:val="24"/>
          <w:lang w:eastAsia="x-none"/>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luna </w:t>
      </w:r>
      <w:r w:rsidRPr="00242122">
        <w:rPr>
          <w:rFonts w:ascii="Arial" w:hAnsi="Arial" w:cs="Arial"/>
          <w:sz w:val="24"/>
          <w:szCs w:val="24"/>
          <w:u w:val="single"/>
          <w:lang w:eastAsia="x-none"/>
        </w:rPr>
        <w:t>februarie 2021</w:t>
      </w:r>
      <w:r w:rsidRPr="00242122">
        <w:rPr>
          <w:rFonts w:ascii="Arial" w:hAnsi="Arial" w:cs="Arial"/>
          <w:sz w:val="24"/>
          <w:szCs w:val="24"/>
          <w:lang w:eastAsia="x-none"/>
        </w:rPr>
        <w:t xml:space="preserve">, regimul hidrologic al bazinelor hidrografice din România </w:t>
      </w:r>
      <w:r w:rsidRPr="00242122">
        <w:rPr>
          <w:rFonts w:ascii="Arial" w:hAnsi="Arial" w:cs="Arial"/>
          <w:sz w:val="24"/>
          <w:szCs w:val="24"/>
        </w:rPr>
        <w:t>(</w:t>
      </w:r>
      <w:r w:rsidRPr="00242122">
        <w:rPr>
          <w:rFonts w:ascii="Arial" w:hAnsi="Arial" w:cs="Arial"/>
          <w:b/>
          <w:i/>
          <w:iCs/>
          <w:sz w:val="24"/>
          <w:szCs w:val="24"/>
        </w:rPr>
        <w:t>Figura II.1.1.3.4</w:t>
      </w:r>
      <w:r w:rsidRPr="00242122">
        <w:rPr>
          <w:rFonts w:ascii="Arial" w:hAnsi="Arial" w:cs="Arial"/>
          <w:sz w:val="24"/>
          <w:szCs w:val="24"/>
        </w:rPr>
        <w:t xml:space="preserve">) </w:t>
      </w:r>
      <w:r w:rsidRPr="00242122">
        <w:rPr>
          <w:rFonts w:ascii="Arial" w:hAnsi="Arial" w:cs="Arial"/>
          <w:sz w:val="24"/>
          <w:szCs w:val="24"/>
          <w:lang w:eastAsia="x-none"/>
        </w:rPr>
        <w:t>s-a situat la valori peste mediile lunare multianuale. Excepţie au făcut cursurile Siretului şi ale Prutului, Suceava, cursul mijlociu şi inferior al Moldovei şi cursurile inferioare ale Trotuşului şi Putnei, unde regimul hidrologic a avut valori cuprinse între 80</w:t>
      </w:r>
      <w:r w:rsidRPr="00242122">
        <w:rPr>
          <w:rFonts w:ascii="Arial" w:hAnsi="Arial" w:cs="Arial"/>
          <w:sz w:val="24"/>
          <w:szCs w:val="24"/>
          <w:lang w:val="x-none" w:eastAsia="x-none"/>
        </w:rPr>
        <w:t>–</w:t>
      </w:r>
      <w:r w:rsidRPr="00242122">
        <w:rPr>
          <w:rFonts w:ascii="Arial" w:hAnsi="Arial" w:cs="Arial"/>
          <w:sz w:val="24"/>
          <w:szCs w:val="24"/>
          <w:lang w:eastAsia="x-none"/>
        </w:rPr>
        <w:t>100% din normalele lunare, unii afluenţi ai Oltului inferior şi râurile din bazinul Vedea, cu valori cuprinse între 50-80%, iar cele mai mici valori s-au înregistrat pe râurile din bazinele hidrografice ale Rm. Sărat şi Bârladului şi pe afluenţii Prutului (sub 30%).</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primele două zile ale lunii februarie 2021 debitele au fost în creştere pe râurile din bazinele hidrografice: Vișeu, Iza, Tur, Someș, Crasna, Barcău, Crișuri, Mureș, Bega, Timiș, Bârzava, Moravița, Caraș, Nera, Cerna, Jiu, Olt şi pe cele din bazinele superioare ale râurilor: Vedea, Argeş, Ialomița, Buzău şi Prut, datorită precipitațiilor lichide şi propagării. Pe celelalte râuri debitele au fost în general staționare.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Creșteri semnificative de niveluri și debite s-au produs pe râurile din Banat, datorită efectului combinat al precipitațiilor lichide, mai însemnate cantitativ, cedării apei din stratul de zăpadă şi propagării.</w:t>
      </w:r>
    </w:p>
    <w:p w:rsidR="00924A0A" w:rsidRPr="00242122" w:rsidRDefault="00924A0A" w:rsidP="00924A0A">
      <w:pPr>
        <w:spacing w:line="240" w:lineRule="auto"/>
        <w:ind w:firstLine="720"/>
        <w:jc w:val="both"/>
        <w:rPr>
          <w:rFonts w:ascii="Arial" w:hAnsi="Arial" w:cs="Arial"/>
          <w:sz w:val="24"/>
          <w:szCs w:val="24"/>
          <w:lang w:eastAsia="x-none"/>
        </w:rPr>
      </w:pPr>
    </w:p>
    <w:p w:rsidR="00924A0A" w:rsidRPr="00242122" w:rsidRDefault="00924A0A" w:rsidP="00924A0A">
      <w:pPr>
        <w:spacing w:line="240" w:lineRule="auto"/>
        <w:jc w:val="center"/>
        <w:rPr>
          <w:rFonts w:ascii="Arial" w:hAnsi="Arial" w:cs="Arial"/>
          <w:sz w:val="24"/>
          <w:szCs w:val="24"/>
          <w:lang w:eastAsia="x-none"/>
        </w:rPr>
      </w:pPr>
      <w:r w:rsidRPr="00242122">
        <w:rPr>
          <w:rFonts w:ascii="Arial" w:hAnsi="Arial" w:cs="Arial"/>
          <w:noProof/>
          <w:sz w:val="24"/>
          <w:szCs w:val="24"/>
          <w:lang w:eastAsia="ro-RO"/>
        </w:rPr>
        <w:lastRenderedPageBreak/>
        <w:drawing>
          <wp:inline distT="0" distB="0" distL="0" distR="0" wp14:anchorId="2231AFF6" wp14:editId="673829C3">
            <wp:extent cx="4546600" cy="3237865"/>
            <wp:effectExtent l="0" t="0" r="635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46600" cy="3237865"/>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rPr>
      </w:pPr>
      <w:r w:rsidRPr="00242122">
        <w:rPr>
          <w:rFonts w:ascii="Arial" w:hAnsi="Arial" w:cs="Arial"/>
          <w:b/>
          <w:i/>
          <w:iCs/>
          <w:sz w:val="24"/>
          <w:szCs w:val="24"/>
        </w:rPr>
        <w:t>Figura II.1.1.3.4:</w:t>
      </w:r>
      <w:r w:rsidRPr="00242122">
        <w:rPr>
          <w:rFonts w:ascii="Arial" w:hAnsi="Arial" w:cs="Arial"/>
          <w:i/>
          <w:sz w:val="24"/>
          <w:szCs w:val="24"/>
        </w:rPr>
        <w:t xml:space="preserve">  Regimul debitelor medii lunare în luna februarie 2021 </w:t>
      </w:r>
    </w:p>
    <w:p w:rsidR="00924A0A" w:rsidRPr="00242122" w:rsidRDefault="00924A0A" w:rsidP="00924A0A">
      <w:pPr>
        <w:spacing w:line="240" w:lineRule="auto"/>
        <w:ind w:firstLine="720"/>
        <w:jc w:val="both"/>
        <w:rPr>
          <w:rFonts w:ascii="Arial" w:hAnsi="Arial" w:cs="Arial"/>
          <w:sz w:val="24"/>
          <w:szCs w:val="24"/>
          <w:highlight w:val="yellow"/>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acest interval s-au situat peste: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COTELE DE INUNDAȚIE, râurile la stațiile hidrometrice: Tur–Micula, Pogăniş–Valea Pai, Bârzava–Gătaia, Bârzava–Partoş şi Moravița–Moravița;</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COTELE DE ATENȚIE râurile la stațiile hidrometrice: Crasna–Domănești, Crasna–Berveni, Crişul Alb–Vața de Jos, Crişul Alb–Gurahonț, Cigher–Chier, Bega Veche–Pischia, Bega–Balinț, Bega–Chizătău, Chizdia–Ghizela, Ciclova–Vrăniuț, Gârlişte–Gârlişte, Vornic–Râmna, Tău–Soceni, Sebeş–Turnu Ruieni, Bistra–Obreja, Timiş–Lugoj, Timiș–Șag, Moravița–Şemlacul Mare, Caraș–Carașova, Caraş–Vărădia şi Nera–Sasca Montană.</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data de 3 februarie debitele au fost în scădere pe râurile din jumătatea vestică a ţării şi relativ staţionare pe celelalte râuri. Datorită propagării viiturilor formate anterior, s-au situat peste COTELE DE INUNDAȚIE: Tur–Micula şi Crasna–Domănești şi peste COTELE DE ATENȚIE: Crișul Alb–Chișineu Criș şi Timiș–Grăniceri.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intervalul 4–8 februarie debitele au fost în creștere datorită efectului combinat al precipitațiilor lichide, </w:t>
      </w:r>
      <w:bookmarkStart w:id="2" w:name="_Hlk65582855"/>
      <w:r w:rsidRPr="00242122">
        <w:rPr>
          <w:rFonts w:ascii="Arial" w:hAnsi="Arial" w:cs="Arial"/>
          <w:sz w:val="24"/>
          <w:szCs w:val="24"/>
          <w:lang w:eastAsia="x-none"/>
        </w:rPr>
        <w:t xml:space="preserve">cedării apei din stratul de zăpadă </w:t>
      </w:r>
      <w:bookmarkEnd w:id="2"/>
      <w:r w:rsidRPr="00242122">
        <w:rPr>
          <w:rFonts w:ascii="Arial" w:hAnsi="Arial" w:cs="Arial"/>
          <w:sz w:val="24"/>
          <w:szCs w:val="24"/>
          <w:lang w:eastAsia="x-none"/>
        </w:rPr>
        <w:t>și propagării pe râurile din bazinele hidrografice: Vișeu, Iza, Tur, Someș, Crișuri, Mureş, Bega Veche, Bega, Timiş, Bârzava, Moravița, Caraş, Nera, Cerna, iar în ultimele zile ale acestui interval s-au mai înregistrat creşteri şi pe râurile din bazinele superioare ale Jiului şi Oltului, pe afluenţii de dreapta ai Siretului, pe Jijia şi pe cursul superior al Prutului. Pe celelalte râuri debitele au fost relativ staționare.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Creșteri importante de debite și niveluri, cu depășiri ale COTELOR DE APᾸRARE, datorită precipitațiilor lichide însemnate cantitativ și cedării apei din stratul de zăpadă, s-au produs pe râurile din bazinele Tur și Lăpuș, iar prin propagarea viiturilor formate anterior pe cursurile inferioare ale râurilor Crasna, Crişul Alb, Timiş şi Moraviţa.</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acest interval s-au situat peste: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COTELE DE INUNDAȚIE: Tur–Micula, Tur–Turulung, Crasna–Domăneşti şi Lăpuș–Lăpușel;</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 COTELE DE ATENȚIE: Iza–Vadu Izei, Ilva–Poiana Ilvei, Valea Rea–Huta Certeze, Firiza–Firiza, Lăpuș–Răzoare, Crasna–Berveni, Crișul Alb–Vața de Jos, Crișul Alb–Chișineu Criș, Bega Veche–Pischia, Timiş–Grăniceri, Bârzava–Partoş, Moravița–Moravița, Tur–Călinești Oaș, Someș–Beclean, Bistra–Obreja, Bistra– Voislova Gară, Sașa–Poieni şi Sebeș–Turnu Ruieni.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lastRenderedPageBreak/>
        <w:t>În intervalul 9–12 februarie debitele au fost în general în creştere datorită efectului combinat al precipitaţiilor lichide căzute în tot acest interval, cedării apei din stratul de zăpadă şi propagării, pe râurile din Maramureş, Crişana, Banat, nordul Transilvaniei şi al Moldovei, vestul Olteniei, iar în ultima zi şi pe râurile din Dobrogea. Pe celelalte râuri debitele au fost relativ staționare.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Creșteri mai importante de niveluri și debite cu atingerea și depășirea COTELOR DE APĂRARE, datorită precipitațiilor mai însemnate cantitativ, cedării apei din stratul de zăpadă şi propagării, pe fondul unor niveluri și debite cu valori mari, s-au înregistrat pe unele râuri din Maramureș, Crișana și Banat.</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acest interval s-au situat peste: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COTA DE PERICOL: Crasna–Domănești;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COTELE DE INUNDAȚIE: Tur–Călinești Oaș, Tur–Turulung, Tur–Micula, Crasna–Berveni şi Someșul Mare–Valea Mare;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COTELE DE ATENȚIE: Iza–Săcel, Iza–Strâmtura, Iza–Vadu Izei, Mara–Vadu Izei, Tur–Negrești Oaș, Valea Rea–Huta Certeze, Talna–Pășunea Mare, Someșul Mare–Rodna, Someșul Mare–Beclean, Cormaia–Sângeorz Băi, Ilva–Poiana Ilvei, Sălăuța–Romuli, Șieu–Șintereag, Bistrița–Bistrița, Firiza–Firiza, Chechet–Ghilești, Crasna–Craidorolț, Barcău–Marghita, Barcău–Sălard, Fânețelor–Sărsig, Chijic– Copăcel, Crişul Negru–Tinca, Crişul Negru–Talpoş, Crişul Negru–Zerind, Briheni–Şustiu, Valea Roșie–Pocola, Holod–Holod, Topa–Hidișel, Crișul Alb–Vața de Jos, Crișul Alb–Gurahonț, Moneasa–Moneasa, Cigher–Chier, Arieș–Scărișoara, Arieș–Câmpeni, Neagra–Vadu Moţilor, Mureș–Ocna Mureș, Bistra–Voislova Gară, Bistra–Obreja, Bega Veche–Pischia, Bega–Chizătău, Gladna–Firdea, Chizdia–Ghizela şi Jiu–Răcari.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intervalul 13–23 februarie debitele au fost în general în scădere pe râurile din jumătatea de vest a ţării şi relativ staţionare pe cele din jumătatea estică. Creşteri izolate de niveluri şi debite, datorită precipitațiilor lichide, cedării apei din stratul de zăpadă și propagării, s-au înregistrat în zilele de 20 şi 21 februarie pe Someşul Mic, Crasna, Barcău, Crişul Negru, Tazlău, pe cursul superior al Mureşului şi pe unele râuri mici din bazinul superior şi mijlociu al Oltului.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13–15 februarie, ca urmare a propagării viiturii formate anterior, s-au situat peste COTELE DE APᾸRARE nivelurile pe cursurile inferioare ale râurilor: Tur, Crasna, Barcău, Crişul Negru, Crişul Alb, Bega Veche şi Bârzava, iar în intervalul 16–23 februarie s-au menţinut peste aceste cote nivelurile pe cursurile inferioare ale râurilor Tur şi Crasna.</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Începând din data de 24 februarie şi până la sfârşitul lunii, debitele au fost relativ staţionare, exceptând râurile din bazinele Oltului superior şi mijlociu, din bazinul Siretului şi din bazinul superior al Prutului, unde au fost în creştere ca efect combinat al cedării apei din stratul de zăpadă, diminuării şi eliminării formaţiunilor de gheaţă şi propagării. În tot acest interval s-au menţinut peste COTELE DE ATENȚIE nivelurile pe cursul inferior al Crasnei.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luna februarie 2021, formaţiunile de gheaţă (gheaţă la maluri, năboi, pod de gheaţă) prezente în prima zi a lunii pe râurile din bazinele superioare ale Mureșului, Jiului, Oltului, Argeșului, Someșului Mic, în bazinele Sucevei, Moldovei, Bistriţei, Trotuşului, pe cursul mijlociu al Siretului şi pe unii afluenţi ai Bârladului şi Jijiei, au fost în diminuare, restrângere şi eliminare în primele 6 zile ale lunii.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7–17 februarie formaţiunile de gheaţă au fost în extindere şi intensificare, apoi în următoarele 4 zile s-au menţinut fără modificări importante, fiind prezente pe majoritatea râurilor, exceptând unele râuri din Crișana, Banat şi vestul Olteniei.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Din data de 22 februarie şi până la sfârşitul lunii, formaţiunile de gheaţă au intrat într-un proces de diminuare şi restrângere, până la eliminare totală.</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Situaţia depăşirii COTELOR DE APĂRARE în luna februarie 2021 (valori maxime preliminare determinate pe baza datelor din fluxul operativ) este prezentată în </w:t>
      </w:r>
      <w:r w:rsidRPr="00242122">
        <w:rPr>
          <w:rFonts w:ascii="Arial" w:hAnsi="Arial" w:cs="Arial"/>
          <w:b/>
          <w:i/>
          <w:iCs/>
          <w:sz w:val="24"/>
          <w:szCs w:val="24"/>
        </w:rPr>
        <w:t>Figura II.1.1.3.5</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lastRenderedPageBreak/>
        <w:t>.</w:t>
      </w:r>
    </w:p>
    <w:p w:rsidR="00924A0A" w:rsidRPr="00242122" w:rsidRDefault="00924A0A" w:rsidP="00924A0A">
      <w:pPr>
        <w:spacing w:line="240" w:lineRule="auto"/>
        <w:jc w:val="center"/>
        <w:rPr>
          <w:rFonts w:ascii="Arial" w:hAnsi="Arial" w:cs="Arial"/>
          <w:sz w:val="24"/>
          <w:szCs w:val="24"/>
        </w:rPr>
      </w:pPr>
      <w:r w:rsidRPr="00242122">
        <w:rPr>
          <w:rFonts w:ascii="Arial" w:hAnsi="Arial" w:cs="Arial"/>
          <w:noProof/>
          <w:sz w:val="24"/>
          <w:szCs w:val="24"/>
          <w:lang w:eastAsia="ro-RO"/>
        </w:rPr>
        <w:drawing>
          <wp:inline distT="0" distB="0" distL="0" distR="0" wp14:anchorId="70A6FCEC" wp14:editId="5141D6D4">
            <wp:extent cx="3565525" cy="2491740"/>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65525" cy="2491740"/>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rPr>
      </w:pPr>
      <w:r w:rsidRPr="00242122">
        <w:rPr>
          <w:rFonts w:ascii="Arial" w:hAnsi="Arial" w:cs="Arial"/>
          <w:b/>
          <w:i/>
          <w:iCs/>
          <w:sz w:val="24"/>
          <w:szCs w:val="24"/>
        </w:rPr>
        <w:t xml:space="preserve">Figura II.1.1.3.5: </w:t>
      </w:r>
      <w:r w:rsidRPr="00242122">
        <w:rPr>
          <w:rFonts w:ascii="Arial" w:hAnsi="Arial" w:cs="Arial"/>
          <w:i/>
          <w:iCs/>
          <w:sz w:val="24"/>
          <w:szCs w:val="24"/>
        </w:rPr>
        <w:t xml:space="preserve">Situaţia depăşirilor de COTE DE APĂRARE pentru luna februarie 2021 </w:t>
      </w:r>
    </w:p>
    <w:p w:rsidR="00924A0A" w:rsidRPr="00242122" w:rsidRDefault="00924A0A" w:rsidP="00924A0A">
      <w:pPr>
        <w:spacing w:after="0" w:line="240" w:lineRule="auto"/>
        <w:jc w:val="both"/>
        <w:rPr>
          <w:rFonts w:ascii="Arial" w:hAnsi="Arial" w:cs="Arial"/>
          <w:b/>
          <w:sz w:val="24"/>
          <w:szCs w:val="24"/>
        </w:rPr>
      </w:pPr>
    </w:p>
    <w:p w:rsidR="00924A0A" w:rsidRPr="00242122" w:rsidRDefault="00924A0A" w:rsidP="00924A0A">
      <w:pPr>
        <w:spacing w:after="0" w:line="240" w:lineRule="auto"/>
        <w:jc w:val="both"/>
        <w:rPr>
          <w:rFonts w:ascii="Arial" w:hAnsi="Arial" w:cs="Arial"/>
          <w:b/>
          <w:sz w:val="24"/>
          <w:szCs w:val="24"/>
        </w:rPr>
      </w:pPr>
      <w:r w:rsidRPr="00242122">
        <w:rPr>
          <w:rFonts w:ascii="Arial" w:hAnsi="Arial" w:cs="Arial"/>
          <w:b/>
          <w:sz w:val="24"/>
          <w:szCs w:val="24"/>
        </w:rPr>
        <w:t>Caracterizarea sezonului de primăvară 2021</w:t>
      </w:r>
    </w:p>
    <w:p w:rsidR="00924A0A" w:rsidRPr="00242122" w:rsidRDefault="00924A0A" w:rsidP="00924A0A">
      <w:pPr>
        <w:spacing w:after="0" w:line="240" w:lineRule="auto"/>
        <w:ind w:firstLine="720"/>
        <w:jc w:val="both"/>
        <w:rPr>
          <w:rFonts w:ascii="Arial" w:hAnsi="Arial" w:cs="Arial"/>
          <w:sz w:val="24"/>
          <w:szCs w:val="24"/>
          <w:lang w:eastAsia="x-none"/>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primăvara anului 2021 regimul hidrologic al râurilor din România </w:t>
      </w:r>
      <w:r w:rsidRPr="00242122">
        <w:rPr>
          <w:rFonts w:ascii="Arial" w:hAnsi="Arial" w:cs="Arial"/>
          <w:sz w:val="24"/>
          <w:szCs w:val="24"/>
        </w:rPr>
        <w:t>(</w:t>
      </w:r>
      <w:r w:rsidRPr="00242122">
        <w:rPr>
          <w:rFonts w:ascii="Arial" w:hAnsi="Arial" w:cs="Arial"/>
          <w:b/>
          <w:i/>
          <w:iCs/>
          <w:sz w:val="24"/>
          <w:szCs w:val="24"/>
        </w:rPr>
        <w:t>Figura II.1.1.3.6</w:t>
      </w:r>
      <w:r w:rsidRPr="00242122">
        <w:rPr>
          <w:rFonts w:ascii="Arial" w:hAnsi="Arial" w:cs="Arial"/>
          <w:sz w:val="24"/>
          <w:szCs w:val="24"/>
        </w:rPr>
        <w:t xml:space="preserve">) </w:t>
      </w:r>
      <w:r w:rsidRPr="00242122">
        <w:rPr>
          <w:rFonts w:ascii="Arial" w:hAnsi="Arial" w:cs="Arial"/>
          <w:sz w:val="24"/>
          <w:szCs w:val="24"/>
          <w:lang w:eastAsia="x-none"/>
        </w:rPr>
        <w:t>s-a situat în general la valori sub mediile multianuale sezoniere, cu coeficienţi moduli cuprinşi între 80-100%, mai mari (peste 100%) pe râurile din bazinele hidrografice: Vişeu şi Crasna, şi mai mici (50-80%) pe râurile din bazinele hidrografice Nera, Cerna, Jiu mijlociu şi inferior, Olt mijlociu şi inferior, Vedea, Argeş, Suceava, Moldova, Trotuş, Putna şi râurile din Dobrogea. Cele mai mici valori ale debitelor medii sezoniere (sub 30%) s-au înregistrat pe râurile din bazinele hidrografice: Rm.Sărat, Bârlad şi pe afluenţii Prutului.</w:t>
      </w:r>
    </w:p>
    <w:p w:rsidR="00924A0A" w:rsidRPr="00242122" w:rsidRDefault="00924A0A" w:rsidP="00924A0A">
      <w:pPr>
        <w:spacing w:line="240" w:lineRule="auto"/>
        <w:jc w:val="center"/>
        <w:rPr>
          <w:rFonts w:ascii="Arial" w:hAnsi="Arial" w:cs="Arial"/>
          <w:sz w:val="24"/>
          <w:szCs w:val="24"/>
          <w:highlight w:val="yellow"/>
          <w:lang w:eastAsia="x-none"/>
        </w:rPr>
      </w:pPr>
      <w:r w:rsidRPr="00242122">
        <w:rPr>
          <w:rFonts w:ascii="Arial" w:hAnsi="Arial" w:cs="Arial"/>
          <w:b/>
          <w:bCs/>
          <w:noProof/>
          <w:sz w:val="24"/>
          <w:szCs w:val="24"/>
          <w:lang w:eastAsia="ro-RO"/>
        </w:rPr>
        <w:drawing>
          <wp:inline distT="0" distB="0" distL="0" distR="0" wp14:anchorId="65DB6ED6" wp14:editId="2E37F032">
            <wp:extent cx="4636677" cy="3328517"/>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39625" cy="3330633"/>
                    </a:xfrm>
                    <a:prstGeom prst="rect">
                      <a:avLst/>
                    </a:prstGeom>
                    <a:noFill/>
                    <a:ln>
                      <a:noFill/>
                    </a:ln>
                  </pic:spPr>
                </pic:pic>
              </a:graphicData>
            </a:graphic>
          </wp:inline>
        </w:drawing>
      </w:r>
    </w:p>
    <w:p w:rsidR="00924A0A" w:rsidRPr="00242122" w:rsidRDefault="00924A0A" w:rsidP="00924A0A">
      <w:pPr>
        <w:spacing w:line="240" w:lineRule="auto"/>
        <w:ind w:firstLine="720"/>
        <w:jc w:val="center"/>
        <w:rPr>
          <w:rFonts w:ascii="Arial" w:hAnsi="Arial" w:cs="Arial"/>
          <w:i/>
          <w:sz w:val="24"/>
          <w:szCs w:val="24"/>
          <w:lang w:eastAsia="x-none"/>
        </w:rPr>
      </w:pPr>
      <w:r w:rsidRPr="00242122">
        <w:rPr>
          <w:rFonts w:ascii="Arial" w:hAnsi="Arial" w:cs="Arial"/>
          <w:b/>
          <w:i/>
          <w:iCs/>
          <w:sz w:val="24"/>
          <w:szCs w:val="24"/>
        </w:rPr>
        <w:t>Figura II.1.1.3.6:</w:t>
      </w:r>
      <w:r w:rsidRPr="00242122">
        <w:rPr>
          <w:rFonts w:ascii="Arial" w:hAnsi="Arial" w:cs="Arial"/>
          <w:i/>
          <w:sz w:val="24"/>
          <w:szCs w:val="24"/>
          <w:lang w:eastAsia="x-none"/>
        </w:rPr>
        <w:t xml:space="preserve">  Regimul debitelor medii în sezonul de primăvară 2021 </w:t>
      </w:r>
    </w:p>
    <w:p w:rsidR="00924A0A" w:rsidRPr="00242122" w:rsidRDefault="00924A0A" w:rsidP="00924A0A">
      <w:pPr>
        <w:spacing w:after="0" w:line="240" w:lineRule="auto"/>
        <w:ind w:firstLine="720"/>
        <w:jc w:val="both"/>
        <w:rPr>
          <w:rFonts w:ascii="Arial" w:hAnsi="Arial" w:cs="Arial"/>
          <w:sz w:val="24"/>
          <w:szCs w:val="24"/>
          <w:lang w:eastAsia="x-none"/>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luna </w:t>
      </w:r>
      <w:r w:rsidRPr="00242122">
        <w:rPr>
          <w:rFonts w:ascii="Arial" w:hAnsi="Arial" w:cs="Arial"/>
          <w:sz w:val="24"/>
          <w:szCs w:val="24"/>
          <w:u w:val="single"/>
          <w:lang w:eastAsia="x-none"/>
        </w:rPr>
        <w:t>martie 2021</w:t>
      </w:r>
      <w:r w:rsidRPr="00242122">
        <w:rPr>
          <w:rFonts w:ascii="Arial" w:hAnsi="Arial" w:cs="Arial"/>
          <w:sz w:val="24"/>
          <w:szCs w:val="24"/>
          <w:lang w:eastAsia="x-none"/>
        </w:rPr>
        <w:t>, regimul hidrologic al  bazinelor  hidrografice  din  România (</w:t>
      </w:r>
      <w:r w:rsidRPr="00242122">
        <w:rPr>
          <w:rFonts w:ascii="Arial" w:hAnsi="Arial" w:cs="Arial"/>
          <w:b/>
          <w:i/>
          <w:iCs/>
          <w:sz w:val="24"/>
          <w:szCs w:val="24"/>
        </w:rPr>
        <w:t>Figura II.1.1.3.7</w:t>
      </w:r>
      <w:r w:rsidRPr="00242122">
        <w:rPr>
          <w:rFonts w:ascii="Arial" w:hAnsi="Arial" w:cs="Arial"/>
          <w:sz w:val="24"/>
          <w:szCs w:val="24"/>
          <w:lang w:eastAsia="x-none"/>
        </w:rPr>
        <w:t>) s-a situat la valori cuprinse între 80</w:t>
      </w:r>
      <w:r w:rsidRPr="00242122">
        <w:rPr>
          <w:rFonts w:ascii="Arial" w:hAnsi="Arial" w:cs="Arial"/>
          <w:sz w:val="24"/>
          <w:szCs w:val="24"/>
          <w:lang w:val="x-none" w:eastAsia="x-none"/>
        </w:rPr>
        <w:t>–</w:t>
      </w:r>
      <w:r w:rsidRPr="00242122">
        <w:rPr>
          <w:rFonts w:ascii="Arial" w:hAnsi="Arial" w:cs="Arial"/>
          <w:sz w:val="24"/>
          <w:szCs w:val="24"/>
          <w:lang w:eastAsia="x-none"/>
        </w:rPr>
        <w:t xml:space="preserve">100% din mediile lunare multianuale pe râurile din bazinele hidrografice: Vişeu, Mureş mijlociu şi inferior, Jiu </w:t>
      </w:r>
      <w:r w:rsidRPr="00242122">
        <w:rPr>
          <w:rFonts w:ascii="Arial" w:hAnsi="Arial" w:cs="Arial"/>
          <w:sz w:val="24"/>
          <w:szCs w:val="24"/>
          <w:lang w:eastAsia="x-none"/>
        </w:rPr>
        <w:lastRenderedPageBreak/>
        <w:t>superior, Olt, Vedea, Argeş, Buzău, Suceava, pe cursul Ialomiţei şi pe cursurile superioare ale râurilor: Putna, Trotuş, Bistriţa, Moldova şi Siret şi râurile din Dobrogea şi între 50</w:t>
      </w:r>
      <w:r w:rsidRPr="00242122">
        <w:rPr>
          <w:rFonts w:ascii="Arial" w:hAnsi="Arial" w:cs="Arial"/>
          <w:sz w:val="24"/>
          <w:szCs w:val="24"/>
          <w:lang w:val="x-none" w:eastAsia="x-none"/>
        </w:rPr>
        <w:t>–</w:t>
      </w:r>
      <w:r w:rsidRPr="00242122">
        <w:rPr>
          <w:rFonts w:ascii="Arial" w:hAnsi="Arial" w:cs="Arial"/>
          <w:sz w:val="24"/>
          <w:szCs w:val="24"/>
          <w:lang w:eastAsia="x-none"/>
        </w:rPr>
        <w:t>80% pe râurile din bazinele hidrografice: Iza, Tur, Someş, Barcău, Crişul Repede, Crişul Negru, Crişul Alb, Nera, Cerna, Jiu mijlociu şi inferior, Rm. Sărat şi pe cursurile mijlocii şi inferioare ale Putnei, Trotuşului, Bistriţei, Moldovei şi Siretului.</w:t>
      </w:r>
      <w:r w:rsidRPr="00242122">
        <w:rPr>
          <w:rFonts w:ascii="Arial" w:hAnsi="Arial" w:cs="Arial"/>
          <w:b/>
          <w:sz w:val="24"/>
          <w:szCs w:val="24"/>
          <w:lang w:eastAsia="x-none"/>
        </w:rPr>
        <w:t xml:space="preserve"> </w:t>
      </w:r>
      <w:r w:rsidRPr="00242122">
        <w:rPr>
          <w:rFonts w:ascii="Arial" w:hAnsi="Arial" w:cs="Arial"/>
          <w:sz w:val="24"/>
          <w:szCs w:val="24"/>
          <w:lang w:eastAsia="x-none"/>
        </w:rPr>
        <w:t>Cele mai mari valori (peste mediile lunare multianuale) s-au înregistrat pe râurile din bazinele hidrografice: Crasna, Bega Veche, Bega, Timiş, Bârzava, Moraviţa, Caraş, Prahova şi pe cursul Prutului, iar cele mai mici pe afluenţii Prutului (30</w:t>
      </w:r>
      <w:r w:rsidRPr="00242122">
        <w:rPr>
          <w:rFonts w:ascii="Arial" w:hAnsi="Arial" w:cs="Arial"/>
          <w:sz w:val="24"/>
          <w:szCs w:val="24"/>
          <w:lang w:val="x-none" w:eastAsia="x-none"/>
        </w:rPr>
        <w:t>–</w:t>
      </w:r>
      <w:r w:rsidRPr="00242122">
        <w:rPr>
          <w:rFonts w:ascii="Arial" w:hAnsi="Arial" w:cs="Arial"/>
          <w:sz w:val="24"/>
          <w:szCs w:val="24"/>
          <w:lang w:eastAsia="x-none"/>
        </w:rPr>
        <w:t>50% din normalele lunare) şi pe râurile din bazinul Bârladului (sub 30%).</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intervalul 1-11 martie 2021 debitele au fost relativ staţionare, exceptând râurile din Maramureş, Crişana, Banat şi nordul Moldovei unde au fost în general în scădere în intervalele 1-4, 7-8 şi 10-11 martie. Creşteri de niveluri şi debite, datorită precipitațiilor lichide, cedării apei din stratul de zăpadă şi propagării, s-au înregistrat în prima zi a lunii pe cursurile superioare ale Mureşului şi Oltului, pe Buzău, Bahlui şi pe cursul superior al Prutului şi în data de 6 martie pe râurile din bazinele hidrografice: Vişeu, Iza şi Tur.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intervalul 12-15 martie 2021 debitele au fost relativ staţionare. În acest interval s-au înregistrat creşteri, datorită efectului combinat al precipitațiilor lichide, cedării apei din stratul de zăpadă şi propagării, pe râurile din bazinele hidrografice: Crasna, Barcău, Crişul Repede, Crişul Negru, Crişul Alb, Arieş, Suceava şi pe cursul superior al Jiului, iar în ultima zi şi pe râurile din bazinele hidrografice: Vişeu, Iza, Tur, Someş, Mureş, Moldova şi Prut superior.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zilele de 16 şi 17 martie debitele râurilor au fost în creştere datorită precipitaţiilor căzute în acest interval, cedării apei din stratul de zăpadă şi propagării. În acest interval, precipitaţiile mai însemnate cantitativ, înregistrate îndeosebi în Banat şi Oltenia şi parţial în nord-vestul ţării, au determinat scurgeri importante pe versanți, torenți, pâraie, formarea de viituri rapide cu efecte de inundații locale și creșteri mai însemnate de niveluri și debite, cu depășirea COTELOR DE APᾸRARE, pe unele râuri din bazinele hidrografice: Crasna, Crișul Alb, Bega Veche, Bega, Timiș, Bârzava, Moraviţa, Olt inferior şi Vedea.</w:t>
      </w:r>
    </w:p>
    <w:p w:rsidR="00924A0A" w:rsidRPr="00242122" w:rsidRDefault="00924A0A" w:rsidP="00924A0A">
      <w:pPr>
        <w:spacing w:line="240" w:lineRule="auto"/>
        <w:jc w:val="center"/>
        <w:rPr>
          <w:rFonts w:ascii="Arial" w:hAnsi="Arial" w:cs="Arial"/>
          <w:sz w:val="24"/>
          <w:szCs w:val="24"/>
          <w:lang w:eastAsia="x-none"/>
        </w:rPr>
      </w:pPr>
      <w:r w:rsidRPr="00242122">
        <w:rPr>
          <w:rFonts w:ascii="Arial" w:hAnsi="Arial" w:cs="Arial"/>
          <w:noProof/>
          <w:sz w:val="24"/>
          <w:szCs w:val="24"/>
          <w:lang w:eastAsia="ro-RO"/>
        </w:rPr>
        <w:drawing>
          <wp:inline distT="0" distB="0" distL="0" distR="0" wp14:anchorId="33066995" wp14:editId="180D548B">
            <wp:extent cx="4563745" cy="3255010"/>
            <wp:effectExtent l="0" t="0" r="8255"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63745" cy="3255010"/>
                    </a:xfrm>
                    <a:prstGeom prst="rect">
                      <a:avLst/>
                    </a:prstGeom>
                    <a:noFill/>
                    <a:ln>
                      <a:noFill/>
                    </a:ln>
                  </pic:spPr>
                </pic:pic>
              </a:graphicData>
            </a:graphic>
          </wp:inline>
        </w:drawing>
      </w:r>
    </w:p>
    <w:p w:rsidR="00924A0A" w:rsidRPr="00242122" w:rsidRDefault="00924A0A" w:rsidP="00924A0A">
      <w:pPr>
        <w:spacing w:line="240" w:lineRule="auto"/>
        <w:jc w:val="center"/>
        <w:rPr>
          <w:rFonts w:ascii="Arial" w:hAnsi="Arial" w:cs="Arial"/>
          <w:i/>
          <w:sz w:val="24"/>
          <w:szCs w:val="24"/>
        </w:rPr>
      </w:pPr>
      <w:r w:rsidRPr="00242122">
        <w:rPr>
          <w:rFonts w:ascii="Arial" w:hAnsi="Arial" w:cs="Arial"/>
          <w:b/>
          <w:i/>
          <w:iCs/>
          <w:sz w:val="24"/>
          <w:szCs w:val="24"/>
        </w:rPr>
        <w:t xml:space="preserve">Figura II.1.1.3.7: </w:t>
      </w:r>
      <w:r w:rsidRPr="00242122">
        <w:rPr>
          <w:rFonts w:ascii="Arial" w:hAnsi="Arial" w:cs="Arial"/>
          <w:i/>
          <w:sz w:val="24"/>
          <w:szCs w:val="24"/>
        </w:rPr>
        <w:t xml:space="preserve">Regimul debitelor medii lunare în luna martie 2021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acest interval s-au situat peste: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  COTELE DE INUNDAȚIE, râurile la stațiile hidrometrice: Pogăniș–Valea Pai şi Bârzava–Gătaia;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COTELE DE ATENȚIE, râurile la stațiile hidrometrice: Crasna–Domănești, Cigher–Chier, Tău–Soceni, Bega Veche–Pischia, Bega–Făget, Bega–Chizătău, Bega–</w:t>
      </w:r>
      <w:r w:rsidRPr="00242122">
        <w:rPr>
          <w:rFonts w:ascii="Arial" w:hAnsi="Arial" w:cs="Arial"/>
          <w:sz w:val="24"/>
          <w:szCs w:val="24"/>
          <w:lang w:eastAsia="x-none"/>
        </w:rPr>
        <w:lastRenderedPageBreak/>
        <w:t>Balinț, Gladna–Firdea, Bârzava–Partoș, Vornic–Râmna, Moravița–Moravița, Sălătrucel–Berislăveşti, Cerna–Măciuca, Teslui–Teslui, Vedea–Buzești, Teleorman–Tătărești şi Urlui–Furculești.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18–22 martie debitele au fost în general în scădere, exceptând primele trei zile, când, pe râurile din Maramureş, Crişana şi Banat debitele au fost în general în creştere, datorită precipitațiilor lichide, cedării apei din stratul de zăpadă și propagării. De asemenea, în prima zi a acestui interval s-au mai înregistrat creşteri pe râurile din Dobrogea, pe cele din bazinul Prutului şi pe unii afluenţi ai Siretului (Buzău, Putna, Rm. Sărat, Suceava) şi Prahovei (Cricovul Sărat), iar în următoarea zi pe Călmăţui, Neajlov şi Bârlad.</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acest interval, ca urmare a creşterilor rezultate din precipitaţii sau din propagarea viiturilor formate anterior, nivelurile s-au situat peste: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 COTELE DE INUNDAȚIE pe râurile la stațiile hidrometrice: Crasna–Domănești, Bârzava–Gătaia şi Bârzava–Partoș;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COTELE DE ATENȚIE pe râurile la stațiile hidrometrice: Crasna–Berveni, Pârâul Cainelui–Vârtoapele, Miletin–Şipote, Cricovul Sărat–Cioranii de Jos, Timiş–Grăniceri, Neajlov–Vadu Lat, Călmăţui–Cireşu, Jijia–Dângeni şi Miletin–Şipote.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23–26 martie debitele au fost în general în scădere, exceptând prima zi a intervalului când au fost în creştere, ca urmare a precipitaţiilor şi propagării, pe Călmățui, în bazinul superior al Vedei, pe unele râuri din bazinul inferior al Argeșului şi pe râurile din Dobrogea şi următoarele două zile când creşterile s-au inregistrat pe Olteţ şi Vedea. În acest interval s-au situat peste COTELE DE ATENȚIE  râul Urlui la stația hidrometrică Furculești şi râul Pârâul Câinelui la stația hidrometrică Vârtoapele şi s-au mentinut peste aceste cote, prin propagarea viiturilor formate anterior: Crasna–Domănești, Crasna–Berveni şi Bârzava–Partoș.</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27–29 martie debitele au fost în creștere ca urmare a cedării apei din stratul de zăpadă și propagării pe afluenţii de dreapta ai Siretului şi în bazinele superioare ale râurilor: Someșul Mare, Barcău, Crișul Repede, Bega, Timiș, Bârzava, Caraș, Nera, Jiu, Argeș, Olt, Prut şi în ultima zi şi pe râurile din bazinele hidrografice: Vişeu, Iza, Tur, Lăpuş, Crasna şi Barcău. Pe celelalte râuri debitele au fost în scădere.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ultimele două zile ale lunii martie debitele au fost relativ staţionare, exceptând Siretul, afluenţii săi de dreapta şi cursul superior al Prutului unde au fost în creștere ca urmare a cedării apei din stratul de zăpadă și propagării.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luna martie 2021, formaţiunile de gheaţă (gheaţă la maluri, năboi) prezente în prima zi a lunii doar în bazinele superioare ale Bistriței, Moldovei și Jijiei au fost în uşoară diminuare și restrângere în primele cinci zile ale lunii.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6-11 martie formaţiunile de gheaţă (predominant gheaţă la maluri) au fost în uşoară extindere şi intensificare, astfel încât la sfârşitul acestui interval, erau prezente în bazinele superioare ale râurilor: Vișeu, Iza, Someș, Crișul Repede, Mureș, Arieș, Olt, Argeș, Ialomița, Buzău, Bistrița şi Moldova.</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Din data de 12 martie, odată cu creşterea temperaturilor, formaţiunile de gheaţă au fost în diminuare, restrângere şi eliminare totală spre sfârşitul lunii. </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Situaţia depăşirii COTELOR DE APĂRARE în luna martie 2021 (valori maxime preliminare determinate pe baza datelor din fluxul operativ) este prezentată în </w:t>
      </w:r>
      <w:r w:rsidRPr="00242122">
        <w:rPr>
          <w:rFonts w:ascii="Arial" w:hAnsi="Arial" w:cs="Arial"/>
          <w:b/>
          <w:i/>
          <w:iCs/>
          <w:sz w:val="24"/>
          <w:szCs w:val="24"/>
        </w:rPr>
        <w:t>Figura II.1.1.3.8</w:t>
      </w:r>
      <w:r w:rsidRPr="00242122">
        <w:rPr>
          <w:rFonts w:ascii="Arial" w:hAnsi="Arial" w:cs="Arial"/>
          <w:sz w:val="24"/>
          <w:szCs w:val="24"/>
        </w:rPr>
        <w:t>.</w:t>
      </w:r>
    </w:p>
    <w:p w:rsidR="00924A0A" w:rsidRPr="00242122" w:rsidRDefault="00924A0A" w:rsidP="00924A0A">
      <w:pPr>
        <w:spacing w:line="240" w:lineRule="auto"/>
        <w:ind w:firstLine="720"/>
        <w:jc w:val="both"/>
        <w:rPr>
          <w:rFonts w:ascii="Arial" w:hAnsi="Arial" w:cs="Arial"/>
          <w:sz w:val="24"/>
          <w:szCs w:val="24"/>
        </w:rPr>
      </w:pPr>
    </w:p>
    <w:p w:rsidR="00924A0A" w:rsidRPr="00242122" w:rsidRDefault="00924A0A" w:rsidP="00924A0A">
      <w:pPr>
        <w:spacing w:line="240" w:lineRule="auto"/>
        <w:jc w:val="center"/>
        <w:rPr>
          <w:rFonts w:ascii="Arial" w:hAnsi="Arial" w:cs="Arial"/>
          <w:sz w:val="24"/>
          <w:szCs w:val="24"/>
        </w:rPr>
      </w:pPr>
      <w:r w:rsidRPr="00242122">
        <w:rPr>
          <w:rFonts w:ascii="Arial" w:hAnsi="Arial" w:cs="Arial"/>
          <w:noProof/>
          <w:sz w:val="24"/>
          <w:szCs w:val="24"/>
          <w:lang w:eastAsia="ro-RO"/>
        </w:rPr>
        <w:lastRenderedPageBreak/>
        <w:drawing>
          <wp:inline distT="0" distB="0" distL="0" distR="0" wp14:anchorId="5271230D" wp14:editId="595A794C">
            <wp:extent cx="4538345" cy="3179445"/>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38345" cy="3179445"/>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rPr>
      </w:pPr>
      <w:r w:rsidRPr="00242122">
        <w:rPr>
          <w:rFonts w:ascii="Arial" w:hAnsi="Arial" w:cs="Arial"/>
          <w:b/>
          <w:i/>
          <w:iCs/>
          <w:sz w:val="24"/>
          <w:szCs w:val="24"/>
        </w:rPr>
        <w:t>Figura II.1.1.3.8:</w:t>
      </w:r>
      <w:r w:rsidRPr="00242122">
        <w:rPr>
          <w:rFonts w:ascii="Arial" w:hAnsi="Arial" w:cs="Arial"/>
          <w:i/>
          <w:sz w:val="24"/>
          <w:szCs w:val="24"/>
        </w:rPr>
        <w:t xml:space="preserve">  </w:t>
      </w:r>
      <w:r w:rsidRPr="00242122">
        <w:rPr>
          <w:rFonts w:ascii="Arial" w:hAnsi="Arial" w:cs="Arial"/>
          <w:i/>
          <w:iCs/>
          <w:sz w:val="24"/>
          <w:szCs w:val="24"/>
        </w:rPr>
        <w:t xml:space="preserve">Situaţia depăşirilor de COTE DE APĂRARE pentru luna martie 2021 </w:t>
      </w:r>
    </w:p>
    <w:p w:rsidR="00924A0A" w:rsidRPr="00242122" w:rsidRDefault="00924A0A" w:rsidP="00924A0A">
      <w:pPr>
        <w:spacing w:after="0" w:line="240" w:lineRule="auto"/>
        <w:jc w:val="both"/>
        <w:rPr>
          <w:rFonts w:ascii="Arial" w:hAnsi="Arial" w:cs="Arial"/>
          <w:sz w:val="24"/>
          <w:szCs w:val="24"/>
          <w:lang w:eastAsia="x-none"/>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luna </w:t>
      </w:r>
      <w:r w:rsidRPr="00242122">
        <w:rPr>
          <w:rFonts w:ascii="Arial" w:hAnsi="Arial" w:cs="Arial"/>
          <w:sz w:val="24"/>
          <w:szCs w:val="24"/>
          <w:u w:val="single"/>
          <w:lang w:eastAsia="x-none"/>
        </w:rPr>
        <w:t>aprilie 2021</w:t>
      </w:r>
      <w:r w:rsidRPr="00242122">
        <w:rPr>
          <w:rFonts w:ascii="Arial" w:hAnsi="Arial" w:cs="Arial"/>
          <w:sz w:val="24"/>
          <w:szCs w:val="24"/>
          <w:lang w:eastAsia="x-none"/>
        </w:rPr>
        <w:t xml:space="preserve">, regimul hidrologic al bazinelor hidrografice din România </w:t>
      </w:r>
      <w:r w:rsidRPr="00242122">
        <w:rPr>
          <w:rFonts w:ascii="Arial" w:hAnsi="Arial" w:cs="Arial"/>
          <w:sz w:val="24"/>
          <w:szCs w:val="24"/>
        </w:rPr>
        <w:t>(</w:t>
      </w:r>
      <w:r w:rsidRPr="00242122">
        <w:rPr>
          <w:rFonts w:ascii="Arial" w:hAnsi="Arial" w:cs="Arial"/>
          <w:b/>
          <w:i/>
          <w:iCs/>
          <w:sz w:val="24"/>
          <w:szCs w:val="24"/>
        </w:rPr>
        <w:t>Figura II.1.1.3.9</w:t>
      </w:r>
      <w:r w:rsidRPr="00242122">
        <w:rPr>
          <w:rFonts w:ascii="Arial" w:hAnsi="Arial" w:cs="Arial"/>
          <w:sz w:val="24"/>
          <w:szCs w:val="24"/>
        </w:rPr>
        <w:t xml:space="preserve">) </w:t>
      </w:r>
      <w:r w:rsidRPr="00242122">
        <w:rPr>
          <w:rFonts w:ascii="Arial" w:hAnsi="Arial" w:cs="Arial"/>
          <w:sz w:val="24"/>
          <w:szCs w:val="24"/>
          <w:lang w:eastAsia="x-none"/>
        </w:rPr>
        <w:t>s-a situat la valori cuprinse între 50-80% din mediile lunare multianuale, mai mari (80</w:t>
      </w:r>
      <w:r w:rsidRPr="00242122">
        <w:rPr>
          <w:rFonts w:ascii="Arial" w:hAnsi="Arial" w:cs="Arial"/>
          <w:sz w:val="24"/>
          <w:szCs w:val="24"/>
          <w:lang w:val="x-none" w:eastAsia="x-none"/>
        </w:rPr>
        <w:t>–</w:t>
      </w:r>
      <w:r w:rsidRPr="00242122">
        <w:rPr>
          <w:rFonts w:ascii="Arial" w:hAnsi="Arial" w:cs="Arial"/>
          <w:sz w:val="24"/>
          <w:szCs w:val="24"/>
          <w:lang w:eastAsia="x-none"/>
        </w:rPr>
        <w:t xml:space="preserve">100%) pe râurile din bazinele hidrografice: Vişeu, Iza, Tur, Someş, Prahova, Bistriţa şi Suceava, în bazinul superior şi mijlociu al Oltului, în bazinele superioare ale Buzăului, Putnei, Trotuşului, Moldovei şi Prutului şi pe râurile din Dobrogea şi mai mici (sub 30%) pe afluenţii Prutului şi pe râurile din bazinul Bârladului. Cele mai mari valori (peste mediile lunare multianuale) s-au înregistrat pe Crasna şi Barcău. </w:t>
      </w:r>
    </w:p>
    <w:p w:rsidR="00924A0A" w:rsidRPr="00242122" w:rsidRDefault="00924A0A" w:rsidP="00924A0A">
      <w:pPr>
        <w:spacing w:after="0" w:line="240" w:lineRule="auto"/>
        <w:ind w:firstLine="720"/>
        <w:jc w:val="both"/>
        <w:rPr>
          <w:rFonts w:ascii="Arial" w:hAnsi="Arial" w:cs="Arial"/>
          <w:sz w:val="24"/>
          <w:szCs w:val="24"/>
          <w:lang w:eastAsia="x-none"/>
        </w:rPr>
      </w:pPr>
    </w:p>
    <w:p w:rsidR="00924A0A" w:rsidRPr="00242122" w:rsidRDefault="00924A0A" w:rsidP="00924A0A">
      <w:pPr>
        <w:spacing w:line="240" w:lineRule="auto"/>
        <w:jc w:val="center"/>
        <w:rPr>
          <w:rFonts w:ascii="Arial" w:hAnsi="Arial" w:cs="Arial"/>
          <w:sz w:val="24"/>
          <w:szCs w:val="24"/>
          <w:lang w:eastAsia="x-none"/>
        </w:rPr>
      </w:pPr>
      <w:r w:rsidRPr="00242122">
        <w:rPr>
          <w:rFonts w:ascii="Arial" w:hAnsi="Arial" w:cs="Arial"/>
          <w:noProof/>
          <w:sz w:val="24"/>
          <w:szCs w:val="24"/>
          <w:lang w:eastAsia="ro-RO"/>
        </w:rPr>
        <w:drawing>
          <wp:inline distT="0" distB="0" distL="0" distR="0" wp14:anchorId="7EEC2EB3" wp14:editId="45C87DEA">
            <wp:extent cx="4271645" cy="3046095"/>
            <wp:effectExtent l="0" t="0" r="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1645" cy="3046095"/>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rPr>
      </w:pPr>
      <w:r w:rsidRPr="00242122">
        <w:rPr>
          <w:rFonts w:ascii="Arial" w:hAnsi="Arial" w:cs="Arial"/>
          <w:b/>
          <w:i/>
          <w:iCs/>
          <w:sz w:val="24"/>
          <w:szCs w:val="24"/>
        </w:rPr>
        <w:t xml:space="preserve">Figura II.1.1.3.9: </w:t>
      </w:r>
      <w:r w:rsidRPr="00242122">
        <w:rPr>
          <w:rFonts w:ascii="Arial" w:hAnsi="Arial" w:cs="Arial"/>
          <w:i/>
          <w:sz w:val="24"/>
          <w:szCs w:val="24"/>
        </w:rPr>
        <w:t xml:space="preserve">Regimul debitelor medii lunare în luna aprilie 2021 </w:t>
      </w:r>
    </w:p>
    <w:p w:rsidR="00924A0A" w:rsidRPr="00242122" w:rsidRDefault="00924A0A" w:rsidP="00924A0A">
      <w:pPr>
        <w:spacing w:after="0" w:line="240" w:lineRule="auto"/>
        <w:ind w:firstLine="720"/>
        <w:jc w:val="both"/>
        <w:rPr>
          <w:rFonts w:ascii="Arial" w:hAnsi="Arial" w:cs="Arial"/>
          <w:sz w:val="24"/>
          <w:szCs w:val="24"/>
          <w:lang w:eastAsia="x-none"/>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primele trei zile ale lunii aprilie 2021 debitele au fost în creştere ca efect combinat al precipitațiilor lichide, cedării apei din stratul de zăpadă şi propagării, pe râurile din bazinele hidrografice: Vişeu, Iza, Tur, Someş, Crasna, Barcău, Crişul Repede, Crişul Negru, Mureş, Bega, Timiş, pe</w:t>
      </w:r>
      <w:r w:rsidRPr="00242122">
        <w:rPr>
          <w:rFonts w:ascii="Arial" w:hAnsi="Arial" w:cs="Arial"/>
          <w:sz w:val="24"/>
          <w:szCs w:val="24"/>
          <w:lang w:val="x-none" w:eastAsia="x-none"/>
        </w:rPr>
        <w:t xml:space="preserve"> cursul Siretului şi </w:t>
      </w:r>
      <w:r w:rsidRPr="00242122">
        <w:rPr>
          <w:rFonts w:ascii="Arial" w:hAnsi="Arial" w:cs="Arial"/>
          <w:sz w:val="24"/>
          <w:szCs w:val="24"/>
          <w:lang w:eastAsia="x-none"/>
        </w:rPr>
        <w:t xml:space="preserve">pe </w:t>
      </w:r>
      <w:r w:rsidRPr="00242122">
        <w:rPr>
          <w:rFonts w:ascii="Arial" w:hAnsi="Arial" w:cs="Arial"/>
          <w:sz w:val="24"/>
          <w:szCs w:val="24"/>
          <w:lang w:val="x-none" w:eastAsia="x-none"/>
        </w:rPr>
        <w:t xml:space="preserve">afluenții săi de dreapta, </w:t>
      </w:r>
      <w:r w:rsidRPr="00242122">
        <w:rPr>
          <w:rFonts w:ascii="Arial" w:hAnsi="Arial" w:cs="Arial"/>
          <w:sz w:val="24"/>
          <w:szCs w:val="24"/>
          <w:lang w:eastAsia="x-none"/>
        </w:rPr>
        <w:t xml:space="preserve">pe cursurile superioare ale </w:t>
      </w:r>
      <w:r w:rsidRPr="00242122">
        <w:rPr>
          <w:rFonts w:ascii="Arial" w:hAnsi="Arial" w:cs="Arial"/>
          <w:sz w:val="24"/>
          <w:szCs w:val="24"/>
          <w:lang w:val="x-none" w:eastAsia="x-none"/>
        </w:rPr>
        <w:t>Oltului şi Prutului</w:t>
      </w:r>
      <w:r w:rsidRPr="00242122">
        <w:rPr>
          <w:rFonts w:ascii="Arial" w:hAnsi="Arial" w:cs="Arial"/>
          <w:sz w:val="24"/>
          <w:szCs w:val="24"/>
          <w:lang w:eastAsia="x-none"/>
        </w:rPr>
        <w:t xml:space="preserve">, iar în ultima zi s-au mai înregistrat creşteri pe râurile din </w:t>
      </w:r>
      <w:r w:rsidRPr="00242122">
        <w:rPr>
          <w:rFonts w:ascii="Arial" w:hAnsi="Arial" w:cs="Arial"/>
          <w:sz w:val="24"/>
          <w:szCs w:val="24"/>
          <w:lang w:eastAsia="x-none"/>
        </w:rPr>
        <w:lastRenderedPageBreak/>
        <w:t>bazinul superior al Jiului şi pe cele din bazinul Ialomiţei. Pe celelalte râuri debitele au fost relativ staţionare.</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În intervalul 4-11 aprilie debitele au fost în general în scădere, exceptând râurile din Oltenia, Muntenia, Dobrogea şi cele din bazinul mijlociu şi inferior al Prutului unde au fost relativ staţionare. În prima zi a acestui interval s-au înregistrat creșteri, ca urmare a precipitațiilor, cedării apei din stratul de zăpadă și propagării, îndeosebi în bazinele superioare ale râurilor: Mureș, Bega, Timiş, Nera, Cerna, Jiu, Olt, Argeș şi Prut, iar datorită precipitaţiilor sub formă de aversă, mai importante cantitativ, înregistrate în bazinele superioare ale Mureșului şi Oltului, nivelurile s-au situat peste COTA DE PERICOL pe râul Nirajul Mic la stația hidrometrică Miercurea Nirajului şi peste COTELE DE ATENȚIE pe râul Niraj la stația hidrometrică Miercurea Nirajului și pe râul Olt la stația hidrometrică Hoghiz.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intervalul 12-13 aprilie 2021 debitele au fost relativ staţionare. În acest interval s-au înregistrat creşteri, datorită efectului combinat al cedării apei din stratul de zăpadă şi propagării, în prima zi pe cursurile superioare ale Moldovei, Bistriţei şi Trotuşului, iar în a doua zi pe râurile din bazinele hidrografice: Vişeu, Iza, Tur, Someşul Mare, în bazinele superioare ale afluenţilor de dreapta ai Siretului şi pe cursul superior al Prutului.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zilele de 14 şi 15 aprilie debitele râurilor au fost în creştere, ca efect combinat al precipitaţiilor căzute, cedării apei din stratul de zăpadă şi propagării, exceptând </w:t>
      </w:r>
      <w:r w:rsidRPr="00242122">
        <w:rPr>
          <w:rFonts w:ascii="Arial" w:hAnsi="Arial" w:cs="Arial"/>
          <w:sz w:val="24"/>
          <w:szCs w:val="24"/>
          <w:lang w:val="x-none" w:eastAsia="x-none"/>
        </w:rPr>
        <w:t xml:space="preserve">râurile din bazinul hidrografic al Bârladului </w:t>
      </w:r>
      <w:r w:rsidRPr="00242122">
        <w:rPr>
          <w:rFonts w:ascii="Arial" w:hAnsi="Arial" w:cs="Arial"/>
          <w:sz w:val="24"/>
          <w:szCs w:val="24"/>
          <w:lang w:eastAsia="x-none"/>
        </w:rPr>
        <w:t xml:space="preserve">unde au fost staţionare.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intervalul 16-20 aprilie 2021 debitele au fost în general în scădere pe râurile din Maramureş, Crişana, Banat, Transilvania şi relativ staţionare pe cele din Oltenia, Muntenia, Dobrogea şi Moldova. În prima zi a acestui interval s-au înregistrat creşteri pe râurile din bazinele hidrografice: </w:t>
      </w:r>
      <w:r w:rsidRPr="00242122">
        <w:rPr>
          <w:rFonts w:ascii="Arial" w:hAnsi="Arial" w:cs="Arial"/>
          <w:sz w:val="24"/>
          <w:szCs w:val="24"/>
          <w:lang w:val="x-none" w:eastAsia="x-none"/>
        </w:rPr>
        <w:t>Tur, Moravița, Caraş</w:t>
      </w:r>
      <w:r w:rsidRPr="00242122">
        <w:rPr>
          <w:rFonts w:ascii="Arial" w:hAnsi="Arial" w:cs="Arial"/>
          <w:sz w:val="24"/>
          <w:szCs w:val="24"/>
          <w:lang w:eastAsia="x-none"/>
        </w:rPr>
        <w:t xml:space="preserve"> şi</w:t>
      </w:r>
      <w:r w:rsidRPr="00242122">
        <w:rPr>
          <w:rFonts w:ascii="Arial" w:hAnsi="Arial" w:cs="Arial"/>
          <w:sz w:val="24"/>
          <w:szCs w:val="24"/>
          <w:lang w:val="x-none" w:eastAsia="x-none"/>
        </w:rPr>
        <w:t xml:space="preserve"> Nera</w:t>
      </w:r>
      <w:r w:rsidRPr="00242122">
        <w:rPr>
          <w:rFonts w:ascii="Arial" w:hAnsi="Arial" w:cs="Arial"/>
          <w:sz w:val="24"/>
          <w:szCs w:val="24"/>
          <w:lang w:eastAsia="x-none"/>
        </w:rPr>
        <w:t>,</w:t>
      </w:r>
      <w:r w:rsidRPr="00242122">
        <w:rPr>
          <w:rFonts w:ascii="Arial" w:hAnsi="Arial" w:cs="Arial"/>
          <w:sz w:val="24"/>
          <w:szCs w:val="24"/>
          <w:lang w:val="x-none" w:eastAsia="x-none"/>
        </w:rPr>
        <w:t xml:space="preserve"> ca urmare a precipitațiilor căzute, cedării apei din stratul de zăpadă şi propagării</w:t>
      </w:r>
      <w:r w:rsidRPr="00242122">
        <w:rPr>
          <w:rFonts w:ascii="Arial" w:hAnsi="Arial" w:cs="Arial"/>
          <w:sz w:val="24"/>
          <w:szCs w:val="24"/>
          <w:lang w:eastAsia="x-none"/>
        </w:rPr>
        <w:t xml:space="preserve"> şi numai prin propagare pe cursurile mijlocii şi inferioare ale râurilor mari şi pe cursul superior al Prutului.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Ȋn intervalul 21-23 aprilie 2021 debitele au fost în general staţionare. În acest  interval s-au înregistrat creşteri datorită precipitațiilor căzute, cedării apei din stratul de zăpadă din zona de munte şi propagării pe unele râuri din Maramureş, Crişana şi Moldova.</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24-27 aprilie 2021 debitele au fost în general în scădere pe râurile din jumătatea de vest a ţării şi relativ staţionare pe cele din jumătatea sudică. Creşteri de niveluri şi debite s-au produs în prima zi pe râurile din bazinele hidrografice: Someşul Mare, Arieş, Suceava, Moldova, Bistriţa, pe cursurile superioare ale Mureşului şi Prutului şi pe râurile din Dobrogea şi în ultima zi pe Someşul Mic, Arieş si pe cursurile superioare ale Jiului, Oltului şi Argeşului.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ultimele zile ale lunii aprilie debitele au fost relativ staţionare, exceptând unele râuri din bazinele hidrografice: </w:t>
      </w:r>
      <w:r w:rsidRPr="00242122">
        <w:rPr>
          <w:rFonts w:ascii="Arial" w:hAnsi="Arial" w:cs="Arial"/>
          <w:sz w:val="24"/>
          <w:szCs w:val="24"/>
          <w:lang w:val="x-none" w:eastAsia="x-none"/>
        </w:rPr>
        <w:t>Nera, Cerna, Timiș, Jiu,</w:t>
      </w:r>
      <w:r w:rsidRPr="00242122">
        <w:rPr>
          <w:rFonts w:ascii="Arial" w:hAnsi="Arial" w:cs="Arial"/>
          <w:sz w:val="24"/>
          <w:szCs w:val="24"/>
          <w:lang w:eastAsia="x-none"/>
        </w:rPr>
        <w:t xml:space="preserve"> Olt superior şi mijlociu, </w:t>
      </w:r>
      <w:r w:rsidRPr="00242122">
        <w:rPr>
          <w:rFonts w:ascii="Arial" w:hAnsi="Arial" w:cs="Arial"/>
          <w:sz w:val="24"/>
          <w:szCs w:val="24"/>
          <w:lang w:val="x-none" w:eastAsia="x-none"/>
        </w:rPr>
        <w:t>Argeș</w:t>
      </w:r>
      <w:r w:rsidRPr="00242122">
        <w:rPr>
          <w:rFonts w:ascii="Arial" w:hAnsi="Arial" w:cs="Arial"/>
          <w:sz w:val="24"/>
          <w:szCs w:val="24"/>
          <w:lang w:eastAsia="x-none"/>
        </w:rPr>
        <w:t xml:space="preserve"> şi</w:t>
      </w:r>
      <w:r w:rsidRPr="00242122">
        <w:rPr>
          <w:rFonts w:ascii="Arial" w:hAnsi="Arial" w:cs="Arial"/>
          <w:sz w:val="24"/>
          <w:szCs w:val="24"/>
          <w:lang w:val="x-none" w:eastAsia="x-none"/>
        </w:rPr>
        <w:t xml:space="preserve"> Ialomiț</w:t>
      </w:r>
      <w:r w:rsidRPr="00242122">
        <w:rPr>
          <w:rFonts w:ascii="Arial" w:hAnsi="Arial" w:cs="Arial"/>
          <w:sz w:val="24"/>
          <w:szCs w:val="24"/>
          <w:lang w:eastAsia="x-none"/>
        </w:rPr>
        <w:t>a</w:t>
      </w:r>
      <w:r w:rsidRPr="00242122">
        <w:rPr>
          <w:rFonts w:ascii="Arial" w:hAnsi="Arial" w:cs="Arial"/>
          <w:sz w:val="24"/>
          <w:szCs w:val="24"/>
          <w:lang w:val="x-none" w:eastAsia="x-none"/>
        </w:rPr>
        <w:t>, unde au fost în creștere ca urmare a precipitațiilor</w:t>
      </w:r>
      <w:r w:rsidRPr="00242122">
        <w:rPr>
          <w:rFonts w:ascii="Arial" w:hAnsi="Arial" w:cs="Arial"/>
          <w:sz w:val="24"/>
          <w:szCs w:val="24"/>
          <w:lang w:eastAsia="x-none"/>
        </w:rPr>
        <w:t>,</w:t>
      </w:r>
      <w:r w:rsidRPr="00242122">
        <w:rPr>
          <w:rFonts w:ascii="Arial" w:hAnsi="Arial" w:cs="Arial"/>
          <w:sz w:val="24"/>
          <w:szCs w:val="24"/>
          <w:lang w:val="x-none" w:eastAsia="x-none"/>
        </w:rPr>
        <w:t xml:space="preserve"> cedării apei din stratul de zăpadă din zona montană înaltă și propagării</w:t>
      </w:r>
      <w:r w:rsidRPr="00242122">
        <w:rPr>
          <w:rFonts w:ascii="Arial" w:hAnsi="Arial" w:cs="Arial"/>
          <w:sz w:val="24"/>
          <w:szCs w:val="24"/>
          <w:lang w:eastAsia="x-none"/>
        </w:rPr>
        <w:t>.</w:t>
      </w:r>
    </w:p>
    <w:p w:rsidR="00924A0A" w:rsidRPr="00242122" w:rsidRDefault="00924A0A" w:rsidP="00924A0A">
      <w:pPr>
        <w:spacing w:after="0" w:line="240" w:lineRule="auto"/>
        <w:ind w:firstLine="720"/>
        <w:jc w:val="both"/>
        <w:rPr>
          <w:rFonts w:ascii="Arial" w:hAnsi="Arial" w:cs="Arial"/>
          <w:sz w:val="24"/>
          <w:szCs w:val="24"/>
          <w:lang w:eastAsia="x-none"/>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luna </w:t>
      </w:r>
      <w:r w:rsidRPr="00242122">
        <w:rPr>
          <w:rFonts w:ascii="Arial" w:hAnsi="Arial" w:cs="Arial"/>
          <w:sz w:val="24"/>
          <w:szCs w:val="24"/>
          <w:u w:val="single"/>
          <w:lang w:eastAsia="x-none"/>
        </w:rPr>
        <w:t>mai 2021</w:t>
      </w:r>
      <w:r w:rsidRPr="00242122">
        <w:rPr>
          <w:rFonts w:ascii="Arial" w:hAnsi="Arial" w:cs="Arial"/>
          <w:sz w:val="24"/>
          <w:szCs w:val="24"/>
          <w:lang w:eastAsia="x-none"/>
        </w:rPr>
        <w:t xml:space="preserve">, regimul hidrologic al bazinelor hidrografice din România </w:t>
      </w:r>
      <w:r w:rsidRPr="00242122">
        <w:rPr>
          <w:rFonts w:ascii="Arial" w:hAnsi="Arial" w:cs="Arial"/>
          <w:sz w:val="24"/>
          <w:szCs w:val="24"/>
        </w:rPr>
        <w:t>(</w:t>
      </w:r>
      <w:r w:rsidRPr="00242122">
        <w:rPr>
          <w:rFonts w:ascii="Arial" w:hAnsi="Arial" w:cs="Arial"/>
          <w:b/>
          <w:i/>
          <w:iCs/>
          <w:sz w:val="24"/>
          <w:szCs w:val="24"/>
        </w:rPr>
        <w:t>Figura II.1.1.3.10</w:t>
      </w:r>
      <w:r w:rsidRPr="00242122">
        <w:rPr>
          <w:rFonts w:ascii="Arial" w:hAnsi="Arial" w:cs="Arial"/>
          <w:sz w:val="24"/>
          <w:szCs w:val="24"/>
        </w:rPr>
        <w:t xml:space="preserve">) </w:t>
      </w:r>
      <w:r w:rsidRPr="00242122">
        <w:rPr>
          <w:rFonts w:ascii="Arial" w:hAnsi="Arial" w:cs="Arial"/>
          <w:sz w:val="24"/>
          <w:szCs w:val="24"/>
          <w:lang w:eastAsia="x-none"/>
        </w:rPr>
        <w:t>s-a situat la următoarele valori: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peste mediile lunare multianuale pe râurile din bazinele hidrografice: Vişeu, Iza, Tur, Someş, Crasna, Barcău, Crişul Repede, Crişul Negru, Crişul Alb, Mureş (exceptând Târnava Mare), Jiu superior, bazinul superior şi mijlociu al Ialomiţei şi bazinul superior al Bistriţei;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între 80</w:t>
      </w:r>
      <w:r w:rsidRPr="00242122">
        <w:rPr>
          <w:rFonts w:ascii="Arial" w:hAnsi="Arial" w:cs="Arial"/>
          <w:sz w:val="24"/>
          <w:szCs w:val="24"/>
          <w:lang w:val="x-none" w:eastAsia="x-none"/>
        </w:rPr>
        <w:t>–</w:t>
      </w:r>
      <w:r w:rsidRPr="00242122">
        <w:rPr>
          <w:rFonts w:ascii="Arial" w:hAnsi="Arial" w:cs="Arial"/>
          <w:sz w:val="24"/>
          <w:szCs w:val="24"/>
          <w:lang w:eastAsia="x-none"/>
        </w:rPr>
        <w:t>100% din mediile lunare multianuale pe râurile din bazinele hidrografice: Târnava Mare, Olt superior şi mijlociu, pe râurile din Dobrogea şi în bazinul mijlociu şi inferior al Bistriţei;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între 50</w:t>
      </w:r>
      <w:r w:rsidRPr="00242122">
        <w:rPr>
          <w:rFonts w:ascii="Arial" w:hAnsi="Arial" w:cs="Arial"/>
          <w:sz w:val="24"/>
          <w:szCs w:val="24"/>
          <w:lang w:val="x-none" w:eastAsia="x-none"/>
        </w:rPr>
        <w:t>–</w:t>
      </w:r>
      <w:r w:rsidRPr="00242122">
        <w:rPr>
          <w:rFonts w:ascii="Arial" w:hAnsi="Arial" w:cs="Arial"/>
          <w:sz w:val="24"/>
          <w:szCs w:val="24"/>
          <w:lang w:eastAsia="x-none"/>
        </w:rPr>
        <w:t>80% din mediile lunare multianuale pe râurile din bazinele hidrografice: Bega, Timiş, Bârzava, Moraviţa, Caraş, Nera, Cerna, Desnăţui, Motru, Jiu inferior, Olt inferior, Vedea, Argeş, Buzău, pe cursul inferior al Ialomiţei şi pe cursul Prutului;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lastRenderedPageBreak/>
        <w:t>- între 30</w:t>
      </w:r>
      <w:r w:rsidRPr="00242122">
        <w:rPr>
          <w:rFonts w:ascii="Arial" w:hAnsi="Arial" w:cs="Arial"/>
          <w:sz w:val="24"/>
          <w:szCs w:val="24"/>
          <w:lang w:val="x-none" w:eastAsia="x-none"/>
        </w:rPr>
        <w:t>–</w:t>
      </w:r>
      <w:r w:rsidRPr="00242122">
        <w:rPr>
          <w:rFonts w:ascii="Arial" w:hAnsi="Arial" w:cs="Arial"/>
          <w:sz w:val="24"/>
          <w:szCs w:val="24"/>
          <w:lang w:eastAsia="x-none"/>
        </w:rPr>
        <w:t>50% din mediile lunare multianuale pe râurile din bazinele hidrografice: Suceava, Moldova, Trotuş, Putna şi pe cursul Siretului;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sub 30% din normalele lunare pe râurile din bazinele hidrografice ale Râmnicului Sărat şi Bârladului şi pe afluenţii Prutului.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primele trei zile ale lunii mai 2021 debitele au fost în general în creştere, ca efect combinat al precipitațiilor lichide, cedării apei din stratul de zăpadă din zona montaană înaltă şi propagării, pe râurile din bazinele hidrografice: Vişeu, Iza, Tur, Someş, Crişul Negru, Crişul Alb, Mureş, Bega, Timiş, Jiu, Olt, Argeş, Prahova, Putna, Trotuş, Bistriţa şi pe cursul superior al Prutului, iar în ultima zi s-au mai înregistrat creşteri şi pe râurile din bazinul Buzăului. Pe celelalte râuri debitele au fost relativ staţionare.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4-7 mai debitele au fost relativ staţionare pe râurile din Oltenia, Muntenia, Dobrogea şi Moldova şi în scădere uşoară pe cele din Maramureş, Crişana, Banat şi Transilvania. Mici creșteri de niveluri și debite, ca urmare a precipitațiilor sub formă de aversă căzute în intervalul 5-6 mai, s-au înregistrat pe unele râuri din bazinele superioare ale râurilor: Someşul Mic, Crișul Negru, Arieş, Bega, Timiș, Bârzava, Nera, Jiu, Olt şi Argeș.</w:t>
      </w:r>
    </w:p>
    <w:p w:rsidR="00924A0A" w:rsidRPr="00242122" w:rsidRDefault="00924A0A" w:rsidP="00924A0A">
      <w:pPr>
        <w:spacing w:line="240" w:lineRule="auto"/>
        <w:jc w:val="center"/>
        <w:rPr>
          <w:rFonts w:ascii="Arial" w:hAnsi="Arial" w:cs="Arial"/>
          <w:sz w:val="24"/>
          <w:szCs w:val="24"/>
          <w:highlight w:val="yellow"/>
          <w:lang w:eastAsia="x-none"/>
        </w:rPr>
      </w:pPr>
      <w:r w:rsidRPr="00242122">
        <w:rPr>
          <w:rFonts w:ascii="Arial" w:hAnsi="Arial" w:cs="Arial"/>
          <w:noProof/>
          <w:sz w:val="24"/>
          <w:szCs w:val="24"/>
          <w:lang w:eastAsia="ro-RO"/>
        </w:rPr>
        <w:drawing>
          <wp:inline distT="0" distB="0" distL="0" distR="0" wp14:anchorId="379361A2" wp14:editId="2C1565B6">
            <wp:extent cx="3775075" cy="267589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75075" cy="2675890"/>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rPr>
      </w:pPr>
      <w:r w:rsidRPr="00242122">
        <w:rPr>
          <w:rFonts w:ascii="Arial" w:hAnsi="Arial" w:cs="Arial"/>
          <w:b/>
          <w:i/>
          <w:iCs/>
          <w:sz w:val="24"/>
          <w:szCs w:val="24"/>
        </w:rPr>
        <w:t>Figura II.1.1.3.10</w:t>
      </w:r>
      <w:r w:rsidRPr="00242122">
        <w:rPr>
          <w:rFonts w:ascii="Arial" w:hAnsi="Arial" w:cs="Arial"/>
          <w:i/>
          <w:sz w:val="24"/>
          <w:szCs w:val="24"/>
        </w:rPr>
        <w:t xml:space="preserve">. Regimul hidrologic al debitelor medii lunare în luna mai 2021 </w:t>
      </w:r>
    </w:p>
    <w:p w:rsidR="00924A0A" w:rsidRPr="00242122" w:rsidRDefault="00924A0A" w:rsidP="00924A0A">
      <w:pPr>
        <w:spacing w:after="0" w:line="240" w:lineRule="auto"/>
        <w:ind w:firstLine="720"/>
        <w:jc w:val="both"/>
        <w:rPr>
          <w:rFonts w:ascii="Arial" w:hAnsi="Arial" w:cs="Arial"/>
          <w:sz w:val="24"/>
          <w:szCs w:val="24"/>
          <w:highlight w:val="yellow"/>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8-12 mai debitele au fost în general în scădere. În prima şi în ultima zi a acestui interval s-au înregistrat creșteri, ca urmare a precipitațiilor, cedării apei din stratul de zăpadă din zona montană înaltă și propagării, pe râurile din bazinele hidrografice: Vişeu, Iza, Tur, Lăpuş şi Someşul Mare.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13-15 mai debitele au fost în creştere pe râurile din jumătatea de vest a ţării şi staţionare pe cele din jumătatea estică. Creşteri mai însemnate, cu depăşiri ale COTELOR DE APᾸRARE, datorită precipitaţiilor, sub formă de aversă, importante cantitativ, cedării apei din stratul de zăpada din zona montană şi propagării, s-au înregistrat pe râul Crasna şi pe afluentul său, râul Maria, precum şi pe râul Fântâna Galbenă, afluent al Crişului Repede.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intervalul 16-18 mai debitele râurilor au fost relativ staţionare, exceptând ultimele două zile când, ca efect combinat al precipitaţiilor căzute şi propagării, s-au înregistrat creşteri pe unele râuri din nord-vestul şi sud-vestul ţării. În acest interval, datorită propagării viiturilor formate în amonte, s-au situat peste COTELE DE APᾸRARE nivelurile pe cursul inferior al Crasnei, iar în ultima zi s-au situat peste COTELE DE ATENŢIE nivelurile în bazinul Bistrei, afluent al Timişului.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intervalul 19-21 mai debitele au fost în creştere datorită precipitațiilor căzute în interval, cedării apei din stratul de zăpadă din zona montană înaltă și propagării pe râurile din Maramureş, Crişana, Banat şi în ultima zi şi pe cele din Oltenia, Muntenia şi Dobrogea. Pe celelalte râuri debitele au fost relativ staţionare.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lastRenderedPageBreak/>
        <w:t>În acest interval, datorită precipitaţiilor însemnate cantitativ, sub formă de aversă şi cu caracter torenţial, s-au înregistrat scurgeri importante pe versanţi, torenţi, pâraie, viituri rapide cu efecte de inundaţii locale şi creşteri mai importante de debite şi niveluri, cu depăşiri ale COTELOR DE APĂRARE, pe râurile din bazinele hidrografice: Tur, Crasna, Crişul Repede, Crişul Negru, Crişul Alb, Mureş şi Timiş.</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intervalul 22-25 mai debitele au fost în general în scădere, exceptând râurile din bazinele hidrografice ale Siretului şi Prutului unde au fost relativ staţionare şi cursurile mijlocii şi inferioare ale râurilor: Tur, Crasna, Crişul Negru şi Crişul Alb unde au fost în creştere prin propagarea viiturilor formate anterior, cu situarea nivelurilor peste COTELE DE APᾸRARE.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26-27 mai debitele au fost în general în creştere pe râurile din bazinele hidrografice: Vişeu, Iza, Someşul Mare, Lăpuş, Jiu şi pe cele din bazinele superioare ale Argeşului, Ialomiţei, Sucevei, Moldovei şi Prutului, iar pe celelalte râuri debitele au fost în scădere.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zilele de 28 şi 29 mai debitele au fost în general în creştere ca urmare a precipitațiilor căzute, cedării apei din stratul de zăpadă din zona montană şi propagării. Creşteri mai însemnate de niveluri şi debite, cu depăşiri ale COTELOR DE ATENŢIE, s-au înregistrat pe cursul superior al Ialomiţei şi pe unii afluenţi ai săi (Bizdidel, Cricovul Dulce, Prahova), pe Niraj şi pe Casimcea.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ultimele două zile ale lunii mai debitele au fost în general în scădere, exceptând cursurile inferioare ale râurilor mari din sudul ţării unde au fost în creştere prin propagare. În prima zi a acestui interval s-a situat peste COTA DE ATENŢIE râul Ialomiţa la staţia hidrometrică Siliştea Snagovului.</w:t>
      </w:r>
    </w:p>
    <w:p w:rsidR="00924A0A" w:rsidRPr="00242122" w:rsidRDefault="00924A0A" w:rsidP="00924A0A">
      <w:pPr>
        <w:spacing w:after="0" w:line="240" w:lineRule="auto"/>
        <w:jc w:val="both"/>
        <w:rPr>
          <w:rFonts w:ascii="Arial" w:hAnsi="Arial" w:cs="Arial"/>
          <w:sz w:val="24"/>
          <w:szCs w:val="24"/>
        </w:rPr>
      </w:pPr>
      <w:r w:rsidRPr="00242122">
        <w:rPr>
          <w:rFonts w:ascii="Arial" w:hAnsi="Arial" w:cs="Arial"/>
          <w:sz w:val="24"/>
          <w:szCs w:val="24"/>
        </w:rPr>
        <w:tab/>
        <w:t xml:space="preserve">Situaţia depăşirii COTELOR DE APĂRARE în luna mai 2021 (valori maxime preliminare determinate pe baza datelor din fluxul operativ) este prezentată în </w:t>
      </w:r>
      <w:r w:rsidRPr="00242122">
        <w:rPr>
          <w:rFonts w:ascii="Arial" w:hAnsi="Arial" w:cs="Arial"/>
          <w:b/>
          <w:i/>
          <w:iCs/>
          <w:sz w:val="24"/>
          <w:szCs w:val="24"/>
        </w:rPr>
        <w:t>Figura II.1.1.3.11</w:t>
      </w:r>
      <w:r w:rsidRPr="00242122">
        <w:rPr>
          <w:rFonts w:ascii="Arial" w:hAnsi="Arial" w:cs="Arial"/>
          <w:sz w:val="24"/>
          <w:szCs w:val="24"/>
        </w:rPr>
        <w:t>.</w:t>
      </w:r>
    </w:p>
    <w:p w:rsidR="00924A0A" w:rsidRPr="00242122" w:rsidRDefault="00924A0A" w:rsidP="00924A0A">
      <w:pPr>
        <w:spacing w:after="0" w:line="240" w:lineRule="auto"/>
        <w:jc w:val="center"/>
        <w:rPr>
          <w:rFonts w:ascii="Arial" w:hAnsi="Arial" w:cs="Arial"/>
          <w:sz w:val="24"/>
          <w:szCs w:val="24"/>
        </w:rPr>
      </w:pPr>
      <w:r w:rsidRPr="00242122">
        <w:rPr>
          <w:rFonts w:ascii="Arial" w:hAnsi="Arial" w:cs="Arial"/>
          <w:noProof/>
          <w:sz w:val="24"/>
          <w:szCs w:val="24"/>
          <w:lang w:eastAsia="ro-RO"/>
        </w:rPr>
        <w:drawing>
          <wp:inline distT="0" distB="0" distL="0" distR="0" wp14:anchorId="4BEBB322" wp14:editId="2C440C26">
            <wp:extent cx="4091233" cy="286615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94956" cy="2868758"/>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rPr>
      </w:pPr>
      <w:r w:rsidRPr="00242122">
        <w:rPr>
          <w:rFonts w:ascii="Arial" w:hAnsi="Arial" w:cs="Arial"/>
          <w:b/>
          <w:i/>
          <w:iCs/>
          <w:sz w:val="24"/>
          <w:szCs w:val="24"/>
        </w:rPr>
        <w:t xml:space="preserve">Figura II.1.1.3.11: </w:t>
      </w:r>
      <w:r w:rsidRPr="00242122">
        <w:rPr>
          <w:rFonts w:ascii="Arial" w:hAnsi="Arial" w:cs="Arial"/>
          <w:i/>
          <w:iCs/>
          <w:sz w:val="24"/>
          <w:szCs w:val="24"/>
        </w:rPr>
        <w:t xml:space="preserve">Situaţia depăşirilor de COTE DE APĂRARE pentru luna mai 2021 </w:t>
      </w:r>
    </w:p>
    <w:p w:rsidR="00924A0A" w:rsidRPr="00242122" w:rsidRDefault="00924A0A" w:rsidP="00924A0A">
      <w:pPr>
        <w:spacing w:after="0" w:line="240" w:lineRule="auto"/>
        <w:jc w:val="right"/>
        <w:rPr>
          <w:rFonts w:ascii="Arial" w:hAnsi="Arial" w:cs="Arial"/>
          <w:sz w:val="24"/>
          <w:szCs w:val="24"/>
        </w:rPr>
      </w:pPr>
    </w:p>
    <w:p w:rsidR="00924A0A" w:rsidRPr="00242122" w:rsidRDefault="00924A0A" w:rsidP="00924A0A">
      <w:pPr>
        <w:spacing w:after="0" w:line="240" w:lineRule="auto"/>
        <w:ind w:right="-567"/>
        <w:rPr>
          <w:rFonts w:ascii="Arial" w:hAnsi="Arial" w:cs="Arial"/>
          <w:b/>
          <w:sz w:val="24"/>
          <w:szCs w:val="24"/>
        </w:rPr>
      </w:pPr>
      <w:r w:rsidRPr="00242122">
        <w:rPr>
          <w:rFonts w:ascii="Arial" w:hAnsi="Arial" w:cs="Arial"/>
          <w:b/>
          <w:sz w:val="24"/>
          <w:szCs w:val="24"/>
        </w:rPr>
        <w:t>Caracterizarea sezonului de vară 2021</w:t>
      </w:r>
    </w:p>
    <w:p w:rsidR="00924A0A" w:rsidRPr="00242122" w:rsidRDefault="00924A0A" w:rsidP="00924A0A">
      <w:pPr>
        <w:spacing w:after="0" w:line="240" w:lineRule="auto"/>
        <w:ind w:firstLine="720"/>
        <w:jc w:val="both"/>
        <w:rPr>
          <w:rFonts w:ascii="Arial" w:hAnsi="Arial" w:cs="Arial"/>
          <w:sz w:val="24"/>
          <w:szCs w:val="24"/>
          <w:highlight w:val="yellow"/>
          <w:lang w:eastAsia="x-none"/>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vara anului 2021 regimul hidrologic al râurilor din România </w:t>
      </w:r>
      <w:r w:rsidRPr="00242122">
        <w:rPr>
          <w:rFonts w:ascii="Arial" w:hAnsi="Arial" w:cs="Arial"/>
          <w:sz w:val="24"/>
          <w:szCs w:val="24"/>
        </w:rPr>
        <w:t>(</w:t>
      </w:r>
      <w:r w:rsidRPr="00242122">
        <w:rPr>
          <w:rFonts w:ascii="Arial" w:hAnsi="Arial" w:cs="Arial"/>
          <w:b/>
          <w:i/>
          <w:iCs/>
          <w:sz w:val="24"/>
          <w:szCs w:val="24"/>
        </w:rPr>
        <w:t>Figura II.1.1.3.12</w:t>
      </w:r>
      <w:r w:rsidRPr="00242122">
        <w:rPr>
          <w:rFonts w:ascii="Arial" w:hAnsi="Arial" w:cs="Arial"/>
          <w:sz w:val="24"/>
          <w:szCs w:val="24"/>
        </w:rPr>
        <w:t xml:space="preserve">) </w:t>
      </w:r>
      <w:r w:rsidRPr="00242122">
        <w:rPr>
          <w:rFonts w:ascii="Arial" w:hAnsi="Arial" w:cs="Arial"/>
          <w:sz w:val="24"/>
          <w:szCs w:val="24"/>
          <w:lang w:eastAsia="x-none"/>
        </w:rPr>
        <w:t xml:space="preserve">s-a situat în general la valori sub mediile multianuale sezoniere, cu coeficienţi moduli cuprinşi între 80-100%, mai mari (peste 100%) pe râurile din bazinele hidrografice: Ialomiţa, Rm. Sărat şi Putna şi mai mici (50-80%) pe râurile din bazinele hidrografice Someş superior şi mijlociu, Mureş, Bega Veche, Bega, Jiu superior, Olt inferior, Bârlad, Prut şi pe cursul Siretului. Cele mai mici valori ale debitelor medii sezoniere (ȋntre 30-50%) s-au înregistrat pe râurile din bazinele hidrografice: Iza, Tur, Someş inferior, </w:t>
      </w:r>
      <w:r w:rsidRPr="00242122">
        <w:rPr>
          <w:rFonts w:ascii="Arial" w:hAnsi="Arial" w:cs="Arial"/>
          <w:sz w:val="24"/>
          <w:szCs w:val="24"/>
          <w:lang w:eastAsia="x-none"/>
        </w:rPr>
        <w:lastRenderedPageBreak/>
        <w:t>Crasna, Barcău, Crişuri, Timiş, Bârzava, Moraviţa, Caraş, Nera, Cerna, Desnăţui şi Jiu mijlociu şi inferior.</w:t>
      </w:r>
    </w:p>
    <w:p w:rsidR="00924A0A" w:rsidRPr="00242122" w:rsidRDefault="00924A0A" w:rsidP="00924A0A">
      <w:pPr>
        <w:spacing w:line="240" w:lineRule="auto"/>
        <w:ind w:firstLine="720"/>
        <w:jc w:val="both"/>
        <w:rPr>
          <w:rFonts w:ascii="Arial" w:hAnsi="Arial" w:cs="Arial"/>
          <w:sz w:val="24"/>
          <w:szCs w:val="24"/>
          <w:highlight w:val="yellow"/>
          <w:lang w:eastAsia="x-none"/>
        </w:rPr>
      </w:pPr>
    </w:p>
    <w:p w:rsidR="00924A0A" w:rsidRPr="00242122" w:rsidRDefault="00924A0A" w:rsidP="00924A0A">
      <w:pPr>
        <w:spacing w:line="240" w:lineRule="auto"/>
        <w:jc w:val="center"/>
        <w:rPr>
          <w:rFonts w:ascii="Arial" w:hAnsi="Arial" w:cs="Arial"/>
          <w:sz w:val="24"/>
          <w:szCs w:val="24"/>
          <w:lang w:eastAsia="x-none"/>
        </w:rPr>
      </w:pPr>
      <w:r w:rsidRPr="00242122">
        <w:rPr>
          <w:rFonts w:ascii="Arial" w:hAnsi="Arial" w:cs="Arial"/>
          <w:noProof/>
          <w:sz w:val="24"/>
          <w:szCs w:val="24"/>
          <w:lang w:eastAsia="ro-RO"/>
        </w:rPr>
        <w:drawing>
          <wp:inline distT="0" distB="0" distL="0" distR="0" wp14:anchorId="4992DDC1" wp14:editId="225207B0">
            <wp:extent cx="3372485" cy="23907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72485" cy="2390775"/>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iCs/>
          <w:sz w:val="24"/>
          <w:szCs w:val="24"/>
          <w:lang w:eastAsia="x-none"/>
        </w:rPr>
      </w:pPr>
      <w:r w:rsidRPr="00242122">
        <w:rPr>
          <w:rFonts w:ascii="Arial" w:hAnsi="Arial" w:cs="Arial"/>
          <w:b/>
          <w:i/>
          <w:iCs/>
          <w:sz w:val="24"/>
          <w:szCs w:val="24"/>
        </w:rPr>
        <w:t>Figura II.1.1.3.12:</w:t>
      </w:r>
      <w:r w:rsidRPr="00242122">
        <w:rPr>
          <w:rFonts w:ascii="Arial" w:hAnsi="Arial" w:cs="Arial"/>
          <w:i/>
          <w:sz w:val="24"/>
          <w:szCs w:val="24"/>
          <w:lang w:eastAsia="x-none"/>
        </w:rPr>
        <w:t xml:space="preserve">  Regimul debitelor medii în sezonul de vară 2021 </w:t>
      </w:r>
    </w:p>
    <w:p w:rsidR="00924A0A" w:rsidRPr="00242122" w:rsidRDefault="00924A0A" w:rsidP="00924A0A">
      <w:pPr>
        <w:spacing w:after="0" w:line="240" w:lineRule="auto"/>
        <w:ind w:firstLine="720"/>
        <w:jc w:val="both"/>
        <w:rPr>
          <w:rFonts w:ascii="Arial" w:hAnsi="Arial" w:cs="Arial"/>
          <w:sz w:val="24"/>
          <w:szCs w:val="24"/>
          <w:lang w:eastAsia="x-none"/>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luna </w:t>
      </w:r>
      <w:r w:rsidRPr="00242122">
        <w:rPr>
          <w:rFonts w:ascii="Arial" w:hAnsi="Arial" w:cs="Arial"/>
          <w:sz w:val="24"/>
          <w:szCs w:val="24"/>
          <w:u w:val="single"/>
          <w:lang w:eastAsia="x-none"/>
        </w:rPr>
        <w:t>iunie 2021</w:t>
      </w:r>
      <w:r w:rsidRPr="00242122">
        <w:rPr>
          <w:rFonts w:ascii="Arial" w:hAnsi="Arial" w:cs="Arial"/>
          <w:sz w:val="24"/>
          <w:szCs w:val="24"/>
          <w:lang w:eastAsia="x-none"/>
        </w:rPr>
        <w:t xml:space="preserve">, regimul hidrologic al bazinelor hidrografice din România </w:t>
      </w:r>
      <w:r w:rsidRPr="00242122">
        <w:rPr>
          <w:rFonts w:ascii="Arial" w:hAnsi="Arial" w:cs="Arial"/>
          <w:sz w:val="24"/>
          <w:szCs w:val="24"/>
        </w:rPr>
        <w:t>(</w:t>
      </w:r>
      <w:r w:rsidRPr="00242122">
        <w:rPr>
          <w:rFonts w:ascii="Arial" w:hAnsi="Arial" w:cs="Arial"/>
          <w:b/>
          <w:i/>
          <w:iCs/>
          <w:sz w:val="24"/>
          <w:szCs w:val="24"/>
        </w:rPr>
        <w:t>Figura II.1.1.3.13</w:t>
      </w:r>
      <w:r w:rsidRPr="00242122">
        <w:rPr>
          <w:rFonts w:ascii="Arial" w:hAnsi="Arial" w:cs="Arial"/>
          <w:sz w:val="24"/>
          <w:szCs w:val="24"/>
        </w:rPr>
        <w:t xml:space="preserve">)   </w:t>
      </w:r>
      <w:r w:rsidRPr="00242122">
        <w:rPr>
          <w:rFonts w:ascii="Arial" w:hAnsi="Arial" w:cs="Arial"/>
          <w:sz w:val="24"/>
          <w:szCs w:val="24"/>
          <w:lang w:eastAsia="x-none"/>
        </w:rPr>
        <w:t>s-a situat la următoarele valori: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 peste mediile lunare multianuale pe râurile din bazinele hidrografice: Vişeu, Olt superior şi mijlociu, Vedea, Argeş, Ialomiţa, Buzău, Rm. Sărat, Putna, Trotuş, Bistriţa, Moldova, Suceava, pe cursul Siretului, pe Prutul superior şi pe râurile din Dobrogea;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între 80</w:t>
      </w:r>
      <w:r w:rsidRPr="00242122">
        <w:rPr>
          <w:rFonts w:ascii="Arial" w:hAnsi="Arial" w:cs="Arial"/>
          <w:sz w:val="24"/>
          <w:szCs w:val="24"/>
          <w:lang w:val="x-none" w:eastAsia="x-none"/>
        </w:rPr>
        <w:t>–</w:t>
      </w:r>
      <w:r w:rsidRPr="00242122">
        <w:rPr>
          <w:rFonts w:ascii="Arial" w:hAnsi="Arial" w:cs="Arial"/>
          <w:sz w:val="24"/>
          <w:szCs w:val="24"/>
          <w:lang w:eastAsia="x-none"/>
        </w:rPr>
        <w:t>100% din mediile lunare multianuale pe râurile din bazinul hidrografic al Mureşului (exceptând Arieşul);</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între 50</w:t>
      </w:r>
      <w:r w:rsidRPr="00242122">
        <w:rPr>
          <w:rFonts w:ascii="Arial" w:hAnsi="Arial" w:cs="Arial"/>
          <w:sz w:val="24"/>
          <w:szCs w:val="24"/>
          <w:lang w:val="x-none" w:eastAsia="x-none"/>
        </w:rPr>
        <w:t>–</w:t>
      </w:r>
      <w:r w:rsidRPr="00242122">
        <w:rPr>
          <w:rFonts w:ascii="Arial" w:hAnsi="Arial" w:cs="Arial"/>
          <w:sz w:val="24"/>
          <w:szCs w:val="24"/>
          <w:lang w:eastAsia="x-none"/>
        </w:rPr>
        <w:t>80% din mediile lunare multianuale pe râurile din bazinele hidrografice: Iza, Tur, Someş, Arieş, Crişul Alb, Bega Veche, Bega, Timiş, Bârzava, Moraviţa, Caraş, Nera, Cerna, Desnăţui, Jiu, Olt inferior, Bârlad, Jijia şi pe cursul mijlociu şi inferior al Prutului;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între 30</w:t>
      </w:r>
      <w:r w:rsidRPr="00242122">
        <w:rPr>
          <w:rFonts w:ascii="Arial" w:hAnsi="Arial" w:cs="Arial"/>
          <w:sz w:val="24"/>
          <w:szCs w:val="24"/>
          <w:lang w:val="x-none" w:eastAsia="x-none"/>
        </w:rPr>
        <w:t>–</w:t>
      </w:r>
      <w:r w:rsidRPr="00242122">
        <w:rPr>
          <w:rFonts w:ascii="Arial" w:hAnsi="Arial" w:cs="Arial"/>
          <w:sz w:val="24"/>
          <w:szCs w:val="24"/>
          <w:lang w:eastAsia="x-none"/>
        </w:rPr>
        <w:t>50% din mediile lunare multianuale pe râurile din bazinele hidrografice: Crasna, Barcău, Crişul Repede şi Crişul Negru.</w:t>
      </w:r>
    </w:p>
    <w:p w:rsidR="00924A0A" w:rsidRPr="00242122" w:rsidRDefault="00924A0A" w:rsidP="00924A0A">
      <w:pPr>
        <w:spacing w:line="240" w:lineRule="auto"/>
        <w:ind w:firstLine="720"/>
        <w:jc w:val="both"/>
        <w:rPr>
          <w:rFonts w:ascii="Arial" w:hAnsi="Arial" w:cs="Arial"/>
          <w:sz w:val="24"/>
          <w:szCs w:val="24"/>
          <w:lang w:eastAsia="x-none"/>
        </w:rPr>
      </w:pPr>
    </w:p>
    <w:p w:rsidR="00924A0A" w:rsidRPr="00242122" w:rsidRDefault="00924A0A" w:rsidP="00924A0A">
      <w:pPr>
        <w:spacing w:after="0" w:line="240" w:lineRule="auto"/>
        <w:jc w:val="center"/>
        <w:rPr>
          <w:rFonts w:ascii="Arial" w:hAnsi="Arial" w:cs="Arial"/>
          <w:sz w:val="24"/>
          <w:szCs w:val="24"/>
          <w:highlight w:val="yellow"/>
          <w:lang w:eastAsia="x-none"/>
        </w:rPr>
      </w:pPr>
      <w:r w:rsidRPr="00242122">
        <w:rPr>
          <w:rFonts w:ascii="Arial" w:hAnsi="Arial" w:cs="Arial"/>
          <w:noProof/>
          <w:sz w:val="24"/>
          <w:szCs w:val="24"/>
          <w:lang w:eastAsia="ro-RO"/>
        </w:rPr>
        <w:drawing>
          <wp:inline distT="0" distB="0" distL="0" distR="0" wp14:anchorId="3FFDA4DB" wp14:editId="00AA4F10">
            <wp:extent cx="3414395" cy="2432685"/>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14395" cy="2432685"/>
                    </a:xfrm>
                    <a:prstGeom prst="rect">
                      <a:avLst/>
                    </a:prstGeom>
                    <a:noFill/>
                    <a:ln>
                      <a:noFill/>
                    </a:ln>
                  </pic:spPr>
                </pic:pic>
              </a:graphicData>
            </a:graphic>
          </wp:inline>
        </w:drawing>
      </w:r>
    </w:p>
    <w:p w:rsidR="00924A0A" w:rsidRPr="00242122" w:rsidRDefault="00924A0A" w:rsidP="00924A0A">
      <w:pPr>
        <w:spacing w:line="240" w:lineRule="auto"/>
        <w:jc w:val="center"/>
        <w:rPr>
          <w:rFonts w:ascii="Arial" w:hAnsi="Arial" w:cs="Arial"/>
          <w:i/>
          <w:sz w:val="24"/>
          <w:szCs w:val="24"/>
        </w:rPr>
      </w:pPr>
      <w:r w:rsidRPr="00242122">
        <w:rPr>
          <w:rFonts w:ascii="Arial" w:hAnsi="Arial" w:cs="Arial"/>
          <w:b/>
          <w:i/>
          <w:iCs/>
          <w:sz w:val="24"/>
          <w:szCs w:val="24"/>
        </w:rPr>
        <w:t>Figura II.1.1.3.13</w:t>
      </w:r>
      <w:r w:rsidRPr="00242122">
        <w:rPr>
          <w:rFonts w:ascii="Arial" w:hAnsi="Arial" w:cs="Arial"/>
          <w:i/>
          <w:sz w:val="24"/>
          <w:szCs w:val="24"/>
        </w:rPr>
        <w:t xml:space="preserve">. Regimul debitelor medii lunare în luna iunie 2021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primele trei zile ale lunii iunie 2021 debitele au fost în general în creştere, datorită precipitațiilor înregistrate, pe râurile din bazinele hidrografice: Jiu, Olt, Vedea, Argeş, Ialomiţa, Siret, Prut şi pe râurile din Dobrogea. Pe celelalte râuri debitele au fost în scădere. Creşteri mai însemnate, cu depăşiri ale COTELOR DE ATENŢIE, datorită </w:t>
      </w:r>
      <w:r w:rsidRPr="00242122">
        <w:rPr>
          <w:rFonts w:ascii="Arial" w:hAnsi="Arial" w:cs="Arial"/>
          <w:sz w:val="24"/>
          <w:szCs w:val="24"/>
          <w:lang w:eastAsia="x-none"/>
        </w:rPr>
        <w:lastRenderedPageBreak/>
        <w:t xml:space="preserve">precipitaţiilor, sub formă de aversă, mai importante cantitativ, s-au înregistrat pe unele râuri din Oltenia (Teslui), Muntenia (Teleorman, Cricovul Dulce, Neajlov, Sabar, Ciorogârla) şi Dobrogea (Taiţa).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4-9 iunie debitele au fost în general în scădere, exceptând ultimele trei zile, când au fost relativ staţionare pe râurile din sudul Banatului, Oltenia, Muntenia, Dobrogea şi sudul Transilvaniei. Creșteri de niveluri și debite, ca urmare a precipitațiilor căzute în intervalul 6-7 iunie, s-au înregistrat pe râurile din bazinul hidrografic Buzău.</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10-12 iunie debitele au fost relativ staţionare. În prima şi în ultima zi a acestui interval s-au înregistrat creșteri, ca urmare a precipitațiilor și propagării, pe râurile din bazinele hidrografice: Vişeu, Iza, Tur, Lăpuş şi Someşul Mare. În acest interval s-au înregistrat precipitaţii sub formă de aversă, care au determinat creşteri pe unele râuri din Maramureş, Transilvania, nordul Munteniei şi nordul Moldovei (Vișeu, Someșul Mare, Arieș, Târnave, cursurile superioare ale Argeşului, Buzăului, Bistriței, Moldovei, Siretului, Prutului şi Jijiei).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13-21 iunie, debitele au fost în creştere pe râurile din jumătatea de est a ţării şi în scădere uşoară pe cele din jumătatea vestică. Acest interval s-a caracterizat printr-o instabilitate atmosferică pronunţată, cu precipitaţii însemnate cantitativ, sub formă de aversă şi cu caracter torenţial, care s-au înregistrat zilnic în Moldova, Dobrogea, estul Transilvaniei şi în Muntenia şi au determinat scurgeri importante pe versanţi, torenţi, pâraie, viituri rapide pe râurile mici, cu efect de inundaţii locale și creşteri mai importante de niveluri şi debite, cu depășiri ale COTELOR DE APĂRARE, pe unele râuri din Dobrogea şi din bazinele Siretului, Prutului şi Oltului. Cele mai importante creşteri, cu depăşiri ale COTELOR DE PERICOL şi ale COTELOR DE INUNDAŢIE, s-au înregistrat în intervalul 18-21 iunie în bazinele râurilor Putna, Trotuş, Olt superior şi pe Teliţa.</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Situaţia depăşirii COTELOR DE APĂRARE în luna iunie 2021 (valori maxime preliminare determinate pe baza datelor din fluxul operativ) este prezentată în </w:t>
      </w:r>
      <w:r w:rsidRPr="00242122">
        <w:rPr>
          <w:rFonts w:ascii="Arial" w:hAnsi="Arial" w:cs="Arial"/>
          <w:b/>
          <w:i/>
          <w:iCs/>
          <w:sz w:val="24"/>
          <w:szCs w:val="24"/>
        </w:rPr>
        <w:t>Figura II.1.1.3.14</w:t>
      </w:r>
      <w:r w:rsidRPr="00242122">
        <w:rPr>
          <w:rFonts w:ascii="Arial" w:hAnsi="Arial" w:cs="Arial"/>
          <w:sz w:val="24"/>
          <w:szCs w:val="24"/>
        </w:rPr>
        <w:t>.</w:t>
      </w:r>
    </w:p>
    <w:p w:rsidR="00924A0A" w:rsidRPr="00242122" w:rsidRDefault="00924A0A" w:rsidP="00924A0A">
      <w:pPr>
        <w:spacing w:line="240" w:lineRule="auto"/>
        <w:ind w:firstLine="720"/>
        <w:jc w:val="both"/>
        <w:rPr>
          <w:rFonts w:ascii="Arial" w:hAnsi="Arial" w:cs="Arial"/>
          <w:sz w:val="24"/>
          <w:szCs w:val="24"/>
          <w:lang w:eastAsia="x-none"/>
        </w:rPr>
      </w:pPr>
    </w:p>
    <w:p w:rsidR="00924A0A" w:rsidRPr="00242122" w:rsidRDefault="00924A0A" w:rsidP="00924A0A">
      <w:pPr>
        <w:spacing w:line="240" w:lineRule="auto"/>
        <w:ind w:firstLine="720"/>
        <w:jc w:val="both"/>
        <w:rPr>
          <w:rFonts w:ascii="Arial" w:hAnsi="Arial" w:cs="Arial"/>
          <w:sz w:val="24"/>
          <w:szCs w:val="24"/>
          <w:lang w:eastAsia="x-none"/>
        </w:rPr>
      </w:pPr>
    </w:p>
    <w:p w:rsidR="00924A0A" w:rsidRPr="00242122" w:rsidRDefault="00924A0A" w:rsidP="00924A0A">
      <w:pPr>
        <w:spacing w:line="240" w:lineRule="auto"/>
        <w:jc w:val="center"/>
        <w:rPr>
          <w:rFonts w:ascii="Arial" w:hAnsi="Arial" w:cs="Arial"/>
          <w:sz w:val="24"/>
          <w:szCs w:val="24"/>
        </w:rPr>
      </w:pPr>
      <w:r w:rsidRPr="00242122">
        <w:rPr>
          <w:rFonts w:ascii="Arial" w:hAnsi="Arial" w:cs="Arial"/>
          <w:noProof/>
          <w:sz w:val="24"/>
          <w:szCs w:val="24"/>
          <w:lang w:eastAsia="ro-RO"/>
        </w:rPr>
        <w:drawing>
          <wp:inline distT="0" distB="0" distL="0" distR="0" wp14:anchorId="20A7C2B3" wp14:editId="5EE5151C">
            <wp:extent cx="3531870" cy="2474595"/>
            <wp:effectExtent l="0" t="0" r="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31870" cy="2474595"/>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rPr>
      </w:pPr>
      <w:r w:rsidRPr="00242122">
        <w:rPr>
          <w:rFonts w:ascii="Arial" w:hAnsi="Arial" w:cs="Arial"/>
          <w:b/>
          <w:i/>
          <w:iCs/>
          <w:sz w:val="24"/>
          <w:szCs w:val="24"/>
        </w:rPr>
        <w:t xml:space="preserve">Figura II.1.1.3.14: </w:t>
      </w:r>
      <w:r w:rsidRPr="00242122">
        <w:rPr>
          <w:rFonts w:ascii="Arial" w:hAnsi="Arial" w:cs="Arial"/>
          <w:i/>
          <w:iCs/>
          <w:sz w:val="24"/>
          <w:szCs w:val="24"/>
        </w:rPr>
        <w:t xml:space="preserve">Situaţia depăşirilor de COTE DE APĂRARE pentru luna iunie 2021 </w:t>
      </w:r>
    </w:p>
    <w:p w:rsidR="00924A0A" w:rsidRPr="00242122" w:rsidRDefault="00924A0A" w:rsidP="00924A0A">
      <w:pPr>
        <w:spacing w:after="0" w:line="240" w:lineRule="auto"/>
        <w:ind w:firstLine="720"/>
        <w:jc w:val="both"/>
        <w:rPr>
          <w:rFonts w:ascii="Arial" w:hAnsi="Arial" w:cs="Arial"/>
          <w:sz w:val="24"/>
          <w:szCs w:val="24"/>
          <w:lang w:eastAsia="x-none"/>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intervalul 22-30 iunie debitele au fost în general în scădere. Datorită instabilităţii atmosferice ridicate, cu precipitaţii sub formă de aversă şi cu caracter torenţial, s-au înregistrat şi în acest interval scurgeri importante pe versanţi, torenţi, pâraie, viituri rapide pe râurile mici, cu efect de inundaţii locale şi creșteri mai însemnate de niveluri şi debite, cu depăşiri ale COTELE DE APᾸRARE, pe unele râuri din sudul Moldovei, Dobrogea, Muntenia şi Transilvania. </w:t>
      </w:r>
    </w:p>
    <w:p w:rsidR="00924A0A" w:rsidRPr="00242122" w:rsidRDefault="00924A0A" w:rsidP="00924A0A">
      <w:pPr>
        <w:spacing w:after="0" w:line="240" w:lineRule="auto"/>
        <w:ind w:firstLine="720"/>
        <w:jc w:val="both"/>
        <w:rPr>
          <w:rFonts w:ascii="Arial" w:hAnsi="Arial" w:cs="Arial"/>
          <w:sz w:val="24"/>
          <w:szCs w:val="24"/>
        </w:rPr>
      </w:pP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lastRenderedPageBreak/>
        <w:t xml:space="preserve">În luna </w:t>
      </w:r>
      <w:r w:rsidRPr="00242122">
        <w:rPr>
          <w:rFonts w:ascii="Arial" w:hAnsi="Arial" w:cs="Arial"/>
          <w:sz w:val="24"/>
          <w:szCs w:val="24"/>
          <w:u w:val="single"/>
        </w:rPr>
        <w:t>iulie 2021</w:t>
      </w:r>
      <w:r w:rsidRPr="00242122">
        <w:rPr>
          <w:rFonts w:ascii="Arial" w:hAnsi="Arial" w:cs="Arial"/>
          <w:sz w:val="24"/>
          <w:szCs w:val="24"/>
        </w:rPr>
        <w:t>, regimul hidrologic al bazinelor hidrografice din România (</w:t>
      </w:r>
      <w:r w:rsidRPr="00242122">
        <w:rPr>
          <w:rFonts w:ascii="Arial" w:hAnsi="Arial" w:cs="Arial"/>
          <w:b/>
          <w:i/>
          <w:iCs/>
          <w:sz w:val="24"/>
          <w:szCs w:val="24"/>
        </w:rPr>
        <w:t>Figura II.1.1.3.15</w:t>
      </w:r>
      <w:r w:rsidRPr="00242122">
        <w:rPr>
          <w:rFonts w:ascii="Arial" w:hAnsi="Arial" w:cs="Arial"/>
          <w:sz w:val="24"/>
          <w:szCs w:val="24"/>
        </w:rPr>
        <w:t>)   s-a situat la următoarele valori: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peste mediile lunare multianuale pe râurile din bazinele hidrografice: Vişeu, Someşul Mic, Arieş, Bistriţa şi pe cursurile superioare ale Putnei şi Moldovei;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între 80</w:t>
      </w:r>
      <w:r w:rsidRPr="00242122">
        <w:rPr>
          <w:rFonts w:ascii="Arial" w:hAnsi="Arial" w:cs="Arial"/>
          <w:sz w:val="24"/>
          <w:szCs w:val="24"/>
          <w:lang w:val="x-none" w:eastAsia="x-none"/>
        </w:rPr>
        <w:t>–</w:t>
      </w:r>
      <w:r w:rsidRPr="00242122">
        <w:rPr>
          <w:rFonts w:ascii="Arial" w:hAnsi="Arial" w:cs="Arial"/>
          <w:sz w:val="24"/>
          <w:szCs w:val="24"/>
          <w:lang w:eastAsia="x-none"/>
        </w:rPr>
        <w:t>100% din mediile lunare multianuale pe râurile din bazinele hidrografice: Iza, Someş (exceptând Someşul Mic), Argeş, Ialomiţa, Rm. Sărat, Bârlad, Suceava, în bazinele superioare ale Mureşului, Oltului, Târnavelor, Trotuşului, pe cursurile mijlocii şi inferioare ale Putnei şi Modovei, pe cursul Prutului şi pe râurile din Dobrogea;</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între 50</w:t>
      </w:r>
      <w:r w:rsidRPr="00242122">
        <w:rPr>
          <w:rFonts w:ascii="Arial" w:hAnsi="Arial" w:cs="Arial"/>
          <w:sz w:val="24"/>
          <w:szCs w:val="24"/>
          <w:lang w:val="x-none" w:eastAsia="x-none"/>
        </w:rPr>
        <w:t>–</w:t>
      </w:r>
      <w:r w:rsidRPr="00242122">
        <w:rPr>
          <w:rFonts w:ascii="Arial" w:hAnsi="Arial" w:cs="Arial"/>
          <w:sz w:val="24"/>
          <w:szCs w:val="24"/>
          <w:lang w:eastAsia="x-none"/>
        </w:rPr>
        <w:t>80% din mediile lunare multianuale pe râurile din bazinele hidrografice: Tur, Lăpuş, Crasna, Barcău, Crişul Repede, Crişul Negru, Crişul Alb, Mureş mijlociu şi inferior, Bega Veche, Bega, Timiş, Bârzava, Moraviţa, Jiu superior, Olt mijlociu, Buzău, Trotuş mijlociu şi inferior, Jijia, Başeu şi pe cursul Siretului;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între 30</w:t>
      </w:r>
      <w:r w:rsidRPr="00242122">
        <w:rPr>
          <w:rFonts w:ascii="Arial" w:hAnsi="Arial" w:cs="Arial"/>
          <w:sz w:val="24"/>
          <w:szCs w:val="24"/>
          <w:lang w:val="x-none" w:eastAsia="x-none"/>
        </w:rPr>
        <w:t>–</w:t>
      </w:r>
      <w:r w:rsidRPr="00242122">
        <w:rPr>
          <w:rFonts w:ascii="Arial" w:hAnsi="Arial" w:cs="Arial"/>
          <w:sz w:val="24"/>
          <w:szCs w:val="24"/>
          <w:lang w:eastAsia="x-none"/>
        </w:rPr>
        <w:t>50% din mediile lunare multianuale pe râurile din bazinele hidrografice: Caraş, Nera, Cerna, Jiu mijlociu şi inferior, Olt inferior şi Vedea.</w:t>
      </w:r>
    </w:p>
    <w:p w:rsidR="00924A0A" w:rsidRPr="00242122" w:rsidRDefault="00924A0A" w:rsidP="00924A0A">
      <w:pPr>
        <w:spacing w:line="240" w:lineRule="auto"/>
        <w:ind w:firstLine="720"/>
        <w:jc w:val="both"/>
        <w:rPr>
          <w:rFonts w:ascii="Arial" w:hAnsi="Arial" w:cs="Arial"/>
          <w:sz w:val="24"/>
          <w:szCs w:val="24"/>
          <w:lang w:eastAsia="x-none"/>
        </w:rPr>
      </w:pPr>
    </w:p>
    <w:p w:rsidR="00924A0A" w:rsidRPr="00242122" w:rsidRDefault="00924A0A" w:rsidP="00924A0A">
      <w:pPr>
        <w:spacing w:line="240" w:lineRule="auto"/>
        <w:jc w:val="center"/>
        <w:rPr>
          <w:rFonts w:ascii="Arial" w:hAnsi="Arial" w:cs="Arial"/>
          <w:sz w:val="24"/>
          <w:szCs w:val="24"/>
          <w:highlight w:val="yellow"/>
          <w:lang w:eastAsia="x-none"/>
        </w:rPr>
      </w:pPr>
      <w:r w:rsidRPr="00242122">
        <w:rPr>
          <w:rFonts w:ascii="Arial" w:hAnsi="Arial" w:cs="Arial"/>
          <w:noProof/>
          <w:sz w:val="24"/>
          <w:szCs w:val="24"/>
          <w:lang w:eastAsia="ro-RO"/>
        </w:rPr>
        <w:drawing>
          <wp:inline distT="0" distB="0" distL="0" distR="0" wp14:anchorId="1567AE7A" wp14:editId="459D2B47">
            <wp:extent cx="3816985" cy="270954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6985" cy="2709545"/>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rPr>
      </w:pPr>
      <w:r w:rsidRPr="00242122">
        <w:rPr>
          <w:rFonts w:ascii="Arial" w:hAnsi="Arial" w:cs="Arial"/>
          <w:b/>
          <w:i/>
          <w:iCs/>
          <w:sz w:val="24"/>
          <w:szCs w:val="24"/>
        </w:rPr>
        <w:t xml:space="preserve">Figura II.1.1.3.15: </w:t>
      </w:r>
      <w:r w:rsidRPr="00242122">
        <w:rPr>
          <w:rFonts w:ascii="Arial" w:hAnsi="Arial" w:cs="Arial"/>
          <w:i/>
          <w:sz w:val="24"/>
          <w:szCs w:val="24"/>
        </w:rPr>
        <w:t xml:space="preserve">Regimul debitelor medii lunare în luna iulie 2021 </w:t>
      </w:r>
    </w:p>
    <w:p w:rsidR="00924A0A" w:rsidRPr="00242122" w:rsidRDefault="00924A0A" w:rsidP="00924A0A">
      <w:pPr>
        <w:spacing w:after="0" w:line="240" w:lineRule="auto"/>
        <w:ind w:firstLine="720"/>
        <w:jc w:val="both"/>
        <w:rPr>
          <w:rFonts w:ascii="Arial" w:hAnsi="Arial" w:cs="Arial"/>
          <w:sz w:val="24"/>
          <w:szCs w:val="24"/>
          <w:lang w:eastAsia="x-none"/>
        </w:rPr>
      </w:pP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În primele patru zile ale lunii iulie 2021 debitele au fost în general în creştere pe majoritatea râurilor, datorită precipitațiilor înregistrate şi propagării.</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În acest interval s-au înregistrat scurgeri importante pe versanţi, torenţi, pâraie, viituri rapide pe râurile mici, cu efect de inundaţii locale și creşteri mai importante de niveluri şi debite, cu depășiri ale COTELOR DE APĂRARE, pe unele râuri din zonele de deal și munte din Maramureș, Muntenia, Moldova şi Dobrogea.</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În intervalul 1–3 iulie 2021 s-au situat peste:</w:t>
      </w:r>
    </w:p>
    <w:p w:rsidR="00924A0A" w:rsidRPr="00242122" w:rsidRDefault="00924A0A" w:rsidP="00924A0A">
      <w:pPr>
        <w:spacing w:after="0" w:line="240" w:lineRule="auto"/>
        <w:ind w:firstLine="720"/>
        <w:jc w:val="both"/>
        <w:rPr>
          <w:rFonts w:ascii="Arial" w:hAnsi="Arial" w:cs="Arial"/>
          <w:sz w:val="24"/>
          <w:szCs w:val="24"/>
          <w:lang w:eastAsia="zh-CN"/>
        </w:rPr>
      </w:pPr>
      <w:r w:rsidRPr="00242122">
        <w:rPr>
          <w:rFonts w:ascii="Arial" w:hAnsi="Arial" w:cs="Arial"/>
          <w:sz w:val="24"/>
          <w:szCs w:val="24"/>
        </w:rPr>
        <w:t>-</w:t>
      </w:r>
      <w:r w:rsidRPr="00242122">
        <w:rPr>
          <w:rFonts w:ascii="Arial" w:hAnsi="Arial" w:cs="Arial"/>
          <w:sz w:val="24"/>
          <w:szCs w:val="24"/>
          <w:lang w:eastAsia="zh-CN"/>
        </w:rPr>
        <w:t xml:space="preserve"> COTELE DE PERICOL râurile la stațiile hidrometrice: Someșul Mare – Valea Mare, Topolița – Păstrăveni, Agapia – Filioara şi Bârlad – Negreşti;</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COTELE DE INUNDAȚIE râurile la stațiile hidrometrice: Someșul Mare – Rodna, Bolătău – Poiana Largului şi Taița – Hamcearca;</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COTELE DE ATENȚIE râurile la stațiile hidrometrice: Firiza – Firiza, Cormaia – Sângeorz Băi, Sălăuța – Romuli, Cricovul Dulce – Moreni, Cricovul Dulce – Băltița, Teleajen – Moara Domnească, Cracău – Magazia, Valea Neagră – Secuieni, Tesna – Coșna, Durduc – Frenciugi, Sacovăț – Ţibana, Rebricea – Rateșu Cuzei, Casimcea – Cheia, Dunărea – Băltăgești şi Topolog – Saraiu.</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În intervalul 5–12 iulie debitele au fost în general în scădere, exceptând ultimele trei zile, când au fost relativ staţionare pe râurile din Oltenia, Muntenia, Dobrogea şi sudul Transilvaniei.  Creșteri de niveluri și debite,  ca urmare a precipitațiilor căzute şi  propagării, s-au înregistrat în intervalul 6–7 iulie în bazinele superioare ale Bârladului, Putnei şi Buzăului şi pe unele râuri din Dobrogea, cu depăşirea COTEI DE ATENŢIE pe </w:t>
      </w:r>
      <w:r w:rsidRPr="00242122">
        <w:rPr>
          <w:rFonts w:ascii="Arial" w:hAnsi="Arial" w:cs="Arial"/>
          <w:sz w:val="24"/>
          <w:szCs w:val="24"/>
        </w:rPr>
        <w:lastRenderedPageBreak/>
        <w:t xml:space="preserve">râul Topolog la staţia hidrometrică Saraiu, iar în intervalul 11–12 iulie s-au înregistrat creşteri pe unele râuri din bazinele hidrografice: Vişeu, Iza, Crişul Alb, Bârzava, Moraviţa, Caraş şi Buzău, cu depăşirea COTEI DE PERICOL pe râul Iza la stația hidrometrică Săcel și a COTEI DE ATENȚIE pe râul Vișeu la stația hidrometrică Poiana Borșa. </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În intervalul 13–19 iulie debitele au fost relativ staţionare pe râurile din sudul şi estul ţării şi în scădere uşoară pe celelalte râuri. Datorită instabilităţii atmosferice ridicate, manifestate îndeosebi în prima zi şi în ultimele zile ale acestui interval, datorită precipitaţiilor şi propagării, s-au înregistrat creșteri de niveluri şi debite, în prima zi pe unele râuri din Transilvania, Muntenia şi Moldova, cu depăşirea COTEI DE ATENȚIE pe râul Slănic la stația hidrometrică Vărbilău şi în ultimele zile pe unele râuri din Maramureş, Crişana, Banat şi Moldova. Creşterile au fost mai însemnate în intervalul 16–17 iulie, când, datorită precipitaţiilor sub formă de aversă, mai însemnate cantitativ, au fost depăşite: COTA DE PERICOL pe râul Ocoliş la stația hidrometrică Ocoliş, COTA DE INUNDAȚIE pe râul Abrud la stația hidrometrică Câmpeni și COTELE DE ATENȚIE pe râul Arieș la stația hidrometrică Baia de Arieș și pe râul Moldova la stația hidrometrică Fundu Moldovei.</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În zilele de 20 şi 21 iulie, debitele au fost în creştere, exceptând râurile din estul Olteniei, sudul Munteniei şi cele din Dobrogea unde au fost relativ staţionare. Datorită precipitaţiilor sub formă de aversă, mai însemnate cantitativ şi cu caracter torenţial, s-au înregistrat scurgeri importante pe versanţi, torenţi, pâraie, viituri rapide pe râurile mici, cu efect de inundaţii locale și creşteri mai importante de niveluri şi debite, cu depășiri ale COTELOR DE APĂRARE, pe unele râuri din Banat, nordul Munteniei, estul Transilvaniei şi nordul Moldovei. În acest interval s-au situat peste:</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COTA DE PERICOL: Bolătău – Poiana Largului;</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 COTELE DE INUNDAȚIE: Tău – Soceni, Râul Galben – Haţeg , Timiș – Dâmbu Morii, Bârsa – Zărnești, Râul Târgului – Voina şi Bughea – Bughea de Jos; </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COTELE DE ATENȚIE:  Abrud – Câmpeni, Cormoș – Brăduț, Lotru – Valea lui Stan, Ialomicioara – Runcu, Ialomicioara – Fieni, Azuga – Azuga, Dâmbovița – Podu Dâmboviței, Pluton – Pluton şi Schitu – Ceahlău.</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În intervalul 22-28 iulie debitele au fost în scădere, exceptând râurile din Oltenia, Muntenia, Dobrogea şi sudul Transilvaniei unde au fost staţionare. Creşteri de niveluri şi debite s-au înregistrat în prima zi a acestui interval pe Putna, Râul Negru, Jijia şi pe cursurile superioare ale Vişeului, Buzăului, Bârladului şi Prutului. </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În ultimele zile ale lunii iulie debitele au fost relativ staţionare. Datorită precipitaţiilor sub formă de aversă, mai importante cantitativ şi cu caracter torenţial, s-au înregistrat scurgeri pe versanţi, torenţi, pâraie şi creșteri de niveluri şi debite pe unele râuri din zona de muntedin estul şi sudul ţării. </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Situaţia depăşirii COTELOR DE APĂRARE în luna iulie 2021 (valori maxime preliminare determinate pe baza datelor din fluxul operativ) este prezentată în </w:t>
      </w:r>
      <w:r w:rsidRPr="00242122">
        <w:rPr>
          <w:rFonts w:ascii="Arial" w:hAnsi="Arial" w:cs="Arial"/>
          <w:b/>
          <w:i/>
          <w:iCs/>
          <w:sz w:val="24"/>
          <w:szCs w:val="24"/>
        </w:rPr>
        <w:t>Figura II.1.1.3.16</w:t>
      </w:r>
      <w:r w:rsidRPr="00242122">
        <w:rPr>
          <w:rFonts w:ascii="Arial" w:hAnsi="Arial" w:cs="Arial"/>
          <w:sz w:val="24"/>
          <w:szCs w:val="24"/>
        </w:rPr>
        <w:t>.</w:t>
      </w:r>
    </w:p>
    <w:p w:rsidR="00924A0A" w:rsidRPr="00242122" w:rsidRDefault="00924A0A" w:rsidP="00924A0A">
      <w:pPr>
        <w:spacing w:line="240" w:lineRule="auto"/>
        <w:jc w:val="both"/>
        <w:rPr>
          <w:rFonts w:ascii="Arial" w:hAnsi="Arial" w:cs="Arial"/>
          <w:sz w:val="24"/>
          <w:szCs w:val="24"/>
        </w:rPr>
      </w:pPr>
    </w:p>
    <w:p w:rsidR="00924A0A" w:rsidRPr="00242122" w:rsidRDefault="00924A0A" w:rsidP="00924A0A">
      <w:pPr>
        <w:spacing w:line="240" w:lineRule="auto"/>
        <w:jc w:val="center"/>
        <w:rPr>
          <w:rFonts w:ascii="Arial" w:hAnsi="Arial" w:cs="Arial"/>
          <w:sz w:val="24"/>
          <w:szCs w:val="24"/>
        </w:rPr>
      </w:pPr>
      <w:r w:rsidRPr="00242122">
        <w:rPr>
          <w:rFonts w:ascii="Arial" w:hAnsi="Arial" w:cs="Arial"/>
          <w:noProof/>
          <w:sz w:val="24"/>
          <w:szCs w:val="24"/>
          <w:lang w:eastAsia="ro-RO"/>
        </w:rPr>
        <w:lastRenderedPageBreak/>
        <w:drawing>
          <wp:inline distT="0" distB="0" distL="0" distR="0" wp14:anchorId="39921C09" wp14:editId="354A458F">
            <wp:extent cx="3472815" cy="242443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72815" cy="2424430"/>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rPr>
      </w:pPr>
      <w:r w:rsidRPr="00242122">
        <w:rPr>
          <w:rFonts w:ascii="Arial" w:hAnsi="Arial" w:cs="Arial"/>
          <w:b/>
          <w:i/>
          <w:iCs/>
          <w:sz w:val="24"/>
          <w:szCs w:val="24"/>
        </w:rPr>
        <w:t xml:space="preserve">Figura II.1.1.3.16: </w:t>
      </w:r>
      <w:r w:rsidRPr="00242122">
        <w:rPr>
          <w:rFonts w:ascii="Arial" w:hAnsi="Arial" w:cs="Arial"/>
          <w:i/>
          <w:iCs/>
          <w:sz w:val="24"/>
          <w:szCs w:val="24"/>
        </w:rPr>
        <w:t xml:space="preserve">Situaţia depăşirilor de COTE DE APĂRARE pentru luna iulie 2021 </w:t>
      </w:r>
    </w:p>
    <w:p w:rsidR="00924A0A" w:rsidRPr="00242122" w:rsidRDefault="00924A0A" w:rsidP="00924A0A">
      <w:pPr>
        <w:spacing w:after="0" w:line="240" w:lineRule="auto"/>
        <w:ind w:firstLine="720"/>
        <w:jc w:val="both"/>
        <w:rPr>
          <w:rFonts w:ascii="Arial" w:hAnsi="Arial" w:cs="Arial"/>
          <w:sz w:val="24"/>
          <w:szCs w:val="24"/>
          <w:lang w:eastAsia="x-none"/>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luna </w:t>
      </w:r>
      <w:r w:rsidRPr="00242122">
        <w:rPr>
          <w:rFonts w:ascii="Arial" w:hAnsi="Arial" w:cs="Arial"/>
          <w:sz w:val="24"/>
          <w:szCs w:val="24"/>
          <w:u w:val="single"/>
          <w:lang w:eastAsia="x-none"/>
        </w:rPr>
        <w:t>august 2021</w:t>
      </w:r>
      <w:r w:rsidRPr="00242122">
        <w:rPr>
          <w:rFonts w:ascii="Arial" w:hAnsi="Arial" w:cs="Arial"/>
          <w:sz w:val="24"/>
          <w:szCs w:val="24"/>
          <w:lang w:eastAsia="x-none"/>
        </w:rPr>
        <w:t xml:space="preserve">, regimul  hidrologic al  bazinelor  hidrografice din  România </w:t>
      </w:r>
      <w:r w:rsidRPr="00242122">
        <w:rPr>
          <w:rFonts w:ascii="Arial" w:hAnsi="Arial" w:cs="Arial"/>
          <w:sz w:val="24"/>
          <w:szCs w:val="24"/>
        </w:rPr>
        <w:t>(</w:t>
      </w:r>
      <w:r w:rsidRPr="00242122">
        <w:rPr>
          <w:rFonts w:ascii="Arial" w:hAnsi="Arial" w:cs="Arial"/>
          <w:b/>
          <w:i/>
          <w:iCs/>
          <w:sz w:val="24"/>
          <w:szCs w:val="24"/>
        </w:rPr>
        <w:t>Figura II.1.1.3.17</w:t>
      </w:r>
      <w:r w:rsidRPr="00242122">
        <w:rPr>
          <w:rFonts w:ascii="Arial" w:hAnsi="Arial" w:cs="Arial"/>
          <w:sz w:val="24"/>
          <w:szCs w:val="24"/>
        </w:rPr>
        <w:t xml:space="preserve">) </w:t>
      </w:r>
      <w:r w:rsidRPr="00242122">
        <w:rPr>
          <w:rFonts w:ascii="Arial" w:hAnsi="Arial" w:cs="Arial"/>
          <w:sz w:val="24"/>
          <w:szCs w:val="24"/>
          <w:lang w:eastAsia="x-none"/>
        </w:rPr>
        <w:t>s-a situat în general la valori cuprinse între 50-80% din mediile lunare multianuale, mai mici (30-50%) pe râurile din bazinele hidrografice: Crasna, Barcău, Crişul Repede, Crişul Negru, Crişul Alb, Bârzava, Moraviţa, Caraş, Nera, Cerna, Rm. Sărat, Bârlad şi pe afluenţii Prutului şi mai mari (peste mediile lunare multianuale) pe râurile din bazinele superioare ale Ialomiţei, Prahovei, Teleajenului şi pe unii afluenţi ai Oltului mijlociu.</w:t>
      </w:r>
    </w:p>
    <w:p w:rsidR="00924A0A" w:rsidRPr="00242122" w:rsidRDefault="00924A0A" w:rsidP="00924A0A">
      <w:pPr>
        <w:spacing w:line="240" w:lineRule="auto"/>
        <w:ind w:firstLine="720"/>
        <w:jc w:val="both"/>
        <w:rPr>
          <w:rFonts w:ascii="Arial" w:hAnsi="Arial" w:cs="Arial"/>
          <w:sz w:val="24"/>
          <w:szCs w:val="24"/>
          <w:lang w:eastAsia="x-none"/>
        </w:rPr>
      </w:pPr>
    </w:p>
    <w:p w:rsidR="00924A0A" w:rsidRPr="00242122" w:rsidRDefault="00924A0A" w:rsidP="00924A0A">
      <w:pPr>
        <w:spacing w:line="240" w:lineRule="auto"/>
        <w:jc w:val="center"/>
        <w:rPr>
          <w:rFonts w:ascii="Arial" w:hAnsi="Arial" w:cs="Arial"/>
          <w:sz w:val="24"/>
          <w:szCs w:val="24"/>
          <w:highlight w:val="yellow"/>
          <w:lang w:eastAsia="x-none"/>
        </w:rPr>
      </w:pPr>
      <w:r w:rsidRPr="00242122">
        <w:rPr>
          <w:rFonts w:ascii="Arial" w:hAnsi="Arial" w:cs="Arial"/>
          <w:noProof/>
          <w:sz w:val="24"/>
          <w:szCs w:val="24"/>
          <w:lang w:eastAsia="ro-RO"/>
        </w:rPr>
        <w:drawing>
          <wp:inline distT="0" distB="0" distL="0" distR="0" wp14:anchorId="7D5B52F1" wp14:editId="3389D925">
            <wp:extent cx="3565525" cy="25584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65525" cy="2558415"/>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rPr>
      </w:pPr>
      <w:r w:rsidRPr="00242122">
        <w:rPr>
          <w:rFonts w:ascii="Arial" w:hAnsi="Arial" w:cs="Arial"/>
          <w:b/>
          <w:i/>
          <w:iCs/>
          <w:sz w:val="24"/>
          <w:szCs w:val="24"/>
        </w:rPr>
        <w:t xml:space="preserve">Figura II.1.1.3.17: </w:t>
      </w:r>
      <w:r w:rsidRPr="00242122">
        <w:rPr>
          <w:rFonts w:ascii="Arial" w:hAnsi="Arial" w:cs="Arial"/>
          <w:i/>
          <w:sz w:val="24"/>
          <w:szCs w:val="24"/>
        </w:rPr>
        <w:t xml:space="preserve">Regimul debitelor medii lunare în luna august 2021 </w:t>
      </w:r>
    </w:p>
    <w:p w:rsidR="00924A0A" w:rsidRPr="00242122" w:rsidRDefault="00924A0A" w:rsidP="00924A0A">
      <w:pPr>
        <w:spacing w:after="0" w:line="240" w:lineRule="auto"/>
        <w:ind w:firstLine="720"/>
        <w:jc w:val="both"/>
        <w:rPr>
          <w:rFonts w:ascii="Arial" w:hAnsi="Arial" w:cs="Arial"/>
          <w:sz w:val="24"/>
          <w:szCs w:val="24"/>
          <w:highlight w:val="yellow"/>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primele două zile ale lunii august 2021 debitele au fost în general staţionare. Excepţie au făcut, în prima zi, râurile Vișeu şi Someșul Mare, unii afluenți din bazinul mijlociu al Oltului şi cursurile superioare ale Bistriței şi Putnei, iar în a doua zi râurile din bazinele hidrografice: Vișeu, Iza, Tur, Crasna, Barcău, Crișul Repede şi cursurile superioare ale Mureșului, Arieșului, Moldovei, Bistriței și Prutului, unde au fost în creștere datorită precipitațiilor căzute în acest interval și propagării.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3–13 august debitele au fost în general în scădere pe râurile din jumătatea de nord a ţării şi staţionare pe cele din jumătatea sudică, exceptând ziua de 6 august, când, precipitaţiile mai însemnate cantitativ căzute pe arii mai extinse, au determinat creşteri de niveluri şi debite pe râurile din bazinele hidrografice ale Vişeului, Siretului şi Prutului şi pe cele din bazinele superioare şi mijlocii ale râurilor: Iza, Tur, Someş, Crişul Negru, Crişul Alb, Mureş, Olt şi Jiu.</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lastRenderedPageBreak/>
        <w:t>De asemenea, în intervalul 10–13 august, datorită precipitaţiilor sub formă de aversă, cu caracter torenţial şi mai însemnate cantitativ, s-au înregistrat scurgeri pe versanţi, torenţi, pâraie şi creşteri de niveluri şi debite pe unele râuri, îndeosebi din zona de munte din Muntenia şi Moldova.</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intervalul 14-17 august debitele au fost staţionare, exceptând ultima zi când au fost în creştere uşoară pe râurile din bazinele hidrografice: Vişeu, Iza, Tur şi Lăpuş.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zilele de 18 şi 19 august debitele au fost în creştere, datorită efectului combinat al precipitaţiilor şi propagării, în prima zi pe râurile din bazinele hidrografice: Vişeu, Iza, Someşul Mare, Târnave, Cibin, Lotru, Suceava, Moldova, Bistrița şi pe cursurile superioare ale râurilor: Jiu, Olt, Mureş, Siret şi Prut, iar în a doua zi pe râurile din bazinele hidrografice: Siret, Prut, Ialomița, Argeș, pe cele din bazinele superioare și mijlocii ale Oltului şi Mureșului și pe râurile din Dobrogea. Pe celelalte râuri debitele au fost în general staționare.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Ca urmare a precipitaţiilor importante cantitativ, sub formă de aversă şi cu caracter torenţial, căzute în acest interval, s-au înregistrat scurgeri importante pe versanţi, torenţi şi pâraie, viituri rapide pe râurile mici şi creşteri mai însemnate de debite şi niveluri pe unele râuri din bazinele superioare ale Argeşului şi Ialomiţei şi s-a situat peste COTA DE ATENȚIE râul Bughea la stația hidrometrică Bughea de Jos.</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20-22 august debitele au fost relativ staţionare pe râurile din jumătatea vestică a ţării şi în scădere uşoară pe cele din jumătatea estică.</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 În intervalul 23-25 august debitele au fost relativ staţionare. Mici creşteri de niveluri şi debite, datorită precipitaţiilor sub formă de aversă, s-au înregistrat în prima zi pe cursul superior al Sucevei, pe unii afluenți ai Moldovei şi Trotuşului şi pe râul Șușița şi în ultima zi pe râurile din bazinele hidrografice: Vișeu, Iza, Tur, Suceava, pe unii afluenţi ai Bistriţei şi pe cursurile superioare ale Siretului, Prutului şi Jijiei.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25-26 august debitele au fost în creştere, datorită efectului combinat al precipitaţiilor şi propagării, exceptând râurile din bazinele hidrografice: Vişeu, Iza şi Tur, unde au fost în uşoară scădere, iar pe râurile din bazinele: Someşul Mic, Barcău, Vedea, pe cursurile mijlocii şi inferioare ale Someşului şi Prutului, pe cursurile inferioare ale Crasnei, Crişurilor, Timişului şi pe râurile din Dobrogea, debitele au fost relativ staționare.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27-28 august debitele au fost în general staţionare, exceptând râurile din bazinele: Vişeu, Iza, Tur, Someş, Crasna, Barcău, bazinul superior al Argeşului, bazinul inferior al Ialomiței, cursul Bârladului şi cursul superior al Prutului unde au fost în creştere datorită precipitațiilor căzute şi propagării.</w:t>
      </w:r>
    </w:p>
    <w:p w:rsidR="00924A0A" w:rsidRPr="00242122" w:rsidRDefault="00924A0A" w:rsidP="00924A0A">
      <w:pPr>
        <w:spacing w:after="0" w:line="240" w:lineRule="auto"/>
        <w:ind w:firstLine="720"/>
        <w:jc w:val="both"/>
        <w:rPr>
          <w:rFonts w:ascii="Arial" w:hAnsi="Arial" w:cs="Arial"/>
          <w:sz w:val="24"/>
          <w:szCs w:val="24"/>
          <w:lang w:val="fr-FR" w:eastAsia="x-none"/>
        </w:rPr>
      </w:pPr>
      <w:r w:rsidRPr="00242122">
        <w:rPr>
          <w:rFonts w:ascii="Arial" w:hAnsi="Arial" w:cs="Arial"/>
          <w:sz w:val="24"/>
          <w:szCs w:val="24"/>
          <w:lang w:eastAsia="x-none"/>
        </w:rPr>
        <w:t>În intervalul 29-30 august debitele au fost în creştere, datorită efectului combinat al precipitaţiilor şi propagării. Datorită precipitaţiilor sub formă de aversă, ȋnsemnate cantitativ şi cu caracter torenţial s-au ȋnregistrat s</w:t>
      </w:r>
      <w:r w:rsidRPr="00242122">
        <w:rPr>
          <w:rFonts w:ascii="Arial" w:hAnsi="Arial" w:cs="Arial"/>
          <w:sz w:val="24"/>
          <w:szCs w:val="24"/>
          <w:lang w:val="x-none" w:eastAsia="x-none"/>
        </w:rPr>
        <w:t>curgeri importante pe versanți, torenți, pâraie, viituri rapide cu efecte de inundații locale și creșteri semnificative de niveluri și debite, cu depăşiri ale COTELOR DE APĂRARE, pe unele râuri mici din zonele de deal și munte din bazinele superioare ale râurilor Argeş, Ialomiţa, Prahova şi Olt</w:t>
      </w:r>
      <w:r w:rsidRPr="00242122">
        <w:rPr>
          <w:rFonts w:ascii="Arial" w:hAnsi="Arial" w:cs="Arial"/>
          <w:sz w:val="24"/>
          <w:szCs w:val="24"/>
          <w:lang w:eastAsia="x-none"/>
        </w:rPr>
        <w:t xml:space="preserve">. </w:t>
      </w:r>
      <w:r w:rsidRPr="00242122">
        <w:rPr>
          <w:rFonts w:ascii="Arial" w:hAnsi="Arial" w:cs="Arial"/>
          <w:sz w:val="24"/>
          <w:szCs w:val="24"/>
          <w:lang w:val="fr-FR" w:eastAsia="x-none"/>
        </w:rPr>
        <w:t>Ȋn acest interval s-au situat peste:</w:t>
      </w:r>
    </w:p>
    <w:p w:rsidR="00924A0A" w:rsidRPr="00242122" w:rsidRDefault="00924A0A" w:rsidP="00924A0A">
      <w:pPr>
        <w:spacing w:after="0" w:line="240" w:lineRule="auto"/>
        <w:ind w:firstLine="540"/>
        <w:jc w:val="both"/>
        <w:rPr>
          <w:rFonts w:ascii="Arial" w:hAnsi="Arial" w:cs="Arial"/>
          <w:sz w:val="24"/>
          <w:szCs w:val="24"/>
          <w:lang w:val="fr-FR"/>
        </w:rPr>
      </w:pPr>
      <w:r w:rsidRPr="00242122">
        <w:rPr>
          <w:rFonts w:ascii="Arial" w:hAnsi="Arial" w:cs="Arial"/>
          <w:sz w:val="24"/>
          <w:szCs w:val="24"/>
          <w:lang w:val="fr-FR"/>
        </w:rPr>
        <w:t>- COTA DE PERICOL: râul Bughea la stația hidrometrică Bughea de Jos;</w:t>
      </w:r>
    </w:p>
    <w:p w:rsidR="00924A0A" w:rsidRPr="00242122" w:rsidRDefault="00924A0A" w:rsidP="00924A0A">
      <w:pPr>
        <w:spacing w:after="0" w:line="240" w:lineRule="auto"/>
        <w:ind w:firstLine="540"/>
        <w:jc w:val="both"/>
        <w:rPr>
          <w:rFonts w:ascii="Arial" w:hAnsi="Arial" w:cs="Arial"/>
          <w:sz w:val="24"/>
          <w:szCs w:val="24"/>
          <w:lang w:val="fr-FR"/>
        </w:rPr>
      </w:pPr>
      <w:r w:rsidRPr="00242122">
        <w:rPr>
          <w:rFonts w:ascii="Arial" w:hAnsi="Arial" w:cs="Arial"/>
          <w:sz w:val="24"/>
          <w:szCs w:val="24"/>
          <w:lang w:val="fr-FR"/>
        </w:rPr>
        <w:t>- COTA DE INUNDAȚIE: râul Valea Cerbului la stația hidrometrică Bușteni, râul Ghimbăşel la stația hidrometrică Râșnov;</w:t>
      </w:r>
    </w:p>
    <w:p w:rsidR="00924A0A" w:rsidRPr="00242122" w:rsidRDefault="00924A0A" w:rsidP="00924A0A">
      <w:pPr>
        <w:spacing w:after="0" w:line="240" w:lineRule="auto"/>
        <w:ind w:firstLine="540"/>
        <w:jc w:val="both"/>
        <w:rPr>
          <w:rFonts w:ascii="Arial" w:hAnsi="Arial" w:cs="Arial"/>
          <w:sz w:val="24"/>
          <w:szCs w:val="24"/>
          <w:lang w:val="fr-FR"/>
        </w:rPr>
      </w:pPr>
      <w:r w:rsidRPr="00242122">
        <w:rPr>
          <w:rFonts w:ascii="Arial" w:hAnsi="Arial" w:cs="Arial"/>
          <w:sz w:val="24"/>
          <w:szCs w:val="24"/>
          <w:lang w:val="fr-FR"/>
        </w:rPr>
        <w:t>- COTELE DE ATENȚIE: râurile la stațiile hidrometrice: Timiş – Dâmbu Morii, Ramura Mică– Babarunca, Târlung – Lunca Mărcușului, Bratia – Berevoieşti, Râul Târgului – Voina, Dâmbovița – Malu cu Flori, Bizdidel – Bezdead și Pucioasa, Prahova – Bușteni, Prahova – Prahova și Azuga – Azuga.</w:t>
      </w:r>
    </w:p>
    <w:p w:rsidR="00924A0A" w:rsidRPr="00242122" w:rsidRDefault="00924A0A" w:rsidP="00924A0A">
      <w:pPr>
        <w:spacing w:after="0" w:line="240" w:lineRule="auto"/>
        <w:jc w:val="both"/>
        <w:rPr>
          <w:rFonts w:ascii="Arial" w:hAnsi="Arial" w:cs="Arial"/>
          <w:sz w:val="24"/>
          <w:szCs w:val="24"/>
          <w:lang w:val="fr-FR"/>
        </w:rPr>
      </w:pPr>
      <w:r w:rsidRPr="00242122">
        <w:rPr>
          <w:rFonts w:ascii="Arial" w:hAnsi="Arial" w:cs="Arial"/>
          <w:sz w:val="24"/>
          <w:szCs w:val="24"/>
          <w:lang w:val="fr-FR"/>
        </w:rPr>
        <w:tab/>
        <w:t>Ȋn ultima zi a lunii august debitele au fost în scădere, exceptând râurile din bazinul Vedea, cele din Dobrogea, cursul mijlociu și inferior al Prutului unde au fost staționare, respectiv cursul mijlociu și inferior al Crișului Alb și cursurile inferioare ale Crișului Negru, Crișului Repede și Barcăului unde debitele au fost în creștere datorită propagării.</w:t>
      </w:r>
    </w:p>
    <w:p w:rsidR="00924A0A" w:rsidRPr="00242122" w:rsidRDefault="00924A0A" w:rsidP="00924A0A">
      <w:pPr>
        <w:spacing w:line="240" w:lineRule="auto"/>
        <w:jc w:val="both"/>
        <w:rPr>
          <w:rFonts w:ascii="Arial" w:hAnsi="Arial" w:cs="Arial"/>
          <w:sz w:val="24"/>
          <w:szCs w:val="24"/>
        </w:rPr>
      </w:pPr>
    </w:p>
    <w:p w:rsidR="00924A0A" w:rsidRPr="00242122" w:rsidRDefault="00924A0A" w:rsidP="00924A0A">
      <w:pPr>
        <w:spacing w:after="0" w:line="240" w:lineRule="auto"/>
        <w:ind w:right="-567"/>
        <w:rPr>
          <w:rFonts w:ascii="Arial" w:hAnsi="Arial" w:cs="Arial"/>
          <w:b/>
          <w:sz w:val="24"/>
          <w:szCs w:val="24"/>
        </w:rPr>
      </w:pPr>
      <w:r w:rsidRPr="00242122">
        <w:rPr>
          <w:rFonts w:ascii="Arial" w:hAnsi="Arial" w:cs="Arial"/>
          <w:b/>
          <w:sz w:val="24"/>
          <w:szCs w:val="24"/>
        </w:rPr>
        <w:lastRenderedPageBreak/>
        <w:t>Caracterizarea sezonului de toamnă 2021</w:t>
      </w:r>
    </w:p>
    <w:p w:rsidR="00924A0A" w:rsidRPr="00242122" w:rsidRDefault="00924A0A" w:rsidP="00924A0A">
      <w:pPr>
        <w:spacing w:after="0" w:line="240" w:lineRule="auto"/>
        <w:ind w:right="-567"/>
        <w:rPr>
          <w:rFonts w:ascii="Arial" w:hAnsi="Arial" w:cs="Arial"/>
          <w:b/>
          <w:i/>
          <w:sz w:val="24"/>
          <w:szCs w:val="24"/>
          <w:highlight w:val="yellow"/>
        </w:rPr>
      </w:pPr>
    </w:p>
    <w:p w:rsidR="00924A0A" w:rsidRPr="00242122" w:rsidRDefault="00924A0A" w:rsidP="00924A0A">
      <w:pPr>
        <w:spacing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toamna anului 2021 regimul hidrologic al râurilor din România </w:t>
      </w:r>
      <w:r w:rsidRPr="00242122">
        <w:rPr>
          <w:rFonts w:ascii="Arial" w:hAnsi="Arial" w:cs="Arial"/>
          <w:sz w:val="24"/>
          <w:szCs w:val="24"/>
        </w:rPr>
        <w:t>(</w:t>
      </w:r>
      <w:r w:rsidRPr="00242122">
        <w:rPr>
          <w:rFonts w:ascii="Arial" w:hAnsi="Arial" w:cs="Arial"/>
          <w:b/>
          <w:i/>
          <w:iCs/>
          <w:sz w:val="24"/>
          <w:szCs w:val="24"/>
        </w:rPr>
        <w:t>Figura II.1.1.3.18</w:t>
      </w:r>
      <w:r w:rsidRPr="00242122">
        <w:rPr>
          <w:rFonts w:ascii="Arial" w:hAnsi="Arial" w:cs="Arial"/>
          <w:sz w:val="24"/>
          <w:szCs w:val="24"/>
        </w:rPr>
        <w:t xml:space="preserve">) </w:t>
      </w:r>
      <w:r w:rsidRPr="00242122">
        <w:rPr>
          <w:rFonts w:ascii="Arial" w:hAnsi="Arial" w:cs="Arial"/>
          <w:sz w:val="24"/>
          <w:szCs w:val="24"/>
          <w:lang w:eastAsia="x-none"/>
        </w:rPr>
        <w:t>s-a situat  la valori sub mediile multianuale sezoniere pe toate râurile, cu coeficienţi moduli cuprinşi între 50-80%, mai mici (30-50%) pe râurile din bazinele hidrografice: Bega Veche, Bega, Timiş, Bârzava, Moraviţa, Caraş, Nera, Cerna, Desnăţui, Jiu mijlociu şi inferior, Olt inferior, Rm. Sărat, Putna inferioară, Trotuş inferior, Siret superior, Bârlad, Prut, şi pe râurile din Dobrogea.</w:t>
      </w:r>
    </w:p>
    <w:p w:rsidR="00924A0A" w:rsidRPr="00242122" w:rsidRDefault="00924A0A" w:rsidP="00924A0A">
      <w:pPr>
        <w:spacing w:line="240" w:lineRule="auto"/>
        <w:ind w:firstLine="720"/>
        <w:jc w:val="both"/>
        <w:rPr>
          <w:rFonts w:ascii="Arial" w:hAnsi="Arial" w:cs="Arial"/>
          <w:b/>
          <w:i/>
          <w:sz w:val="24"/>
          <w:szCs w:val="24"/>
        </w:rPr>
      </w:pPr>
    </w:p>
    <w:p w:rsidR="00924A0A" w:rsidRPr="00242122" w:rsidRDefault="00924A0A" w:rsidP="00924A0A">
      <w:pPr>
        <w:spacing w:line="240" w:lineRule="auto"/>
        <w:jc w:val="center"/>
        <w:rPr>
          <w:rFonts w:ascii="Arial" w:hAnsi="Arial" w:cs="Arial"/>
          <w:sz w:val="24"/>
          <w:szCs w:val="24"/>
          <w:lang w:val="en-US"/>
        </w:rPr>
      </w:pPr>
      <w:r w:rsidRPr="00242122">
        <w:rPr>
          <w:rFonts w:ascii="Arial" w:hAnsi="Arial" w:cs="Arial"/>
          <w:noProof/>
          <w:sz w:val="24"/>
          <w:szCs w:val="24"/>
          <w:lang w:eastAsia="ro-RO"/>
        </w:rPr>
        <w:drawing>
          <wp:inline distT="0" distB="0" distL="0" distR="0" wp14:anchorId="4A5C2201" wp14:editId="4B9157BB">
            <wp:extent cx="3665855" cy="2609215"/>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65855" cy="2609215"/>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lang w:eastAsia="x-none"/>
        </w:rPr>
      </w:pPr>
      <w:r w:rsidRPr="00242122">
        <w:rPr>
          <w:rFonts w:ascii="Arial" w:hAnsi="Arial" w:cs="Arial"/>
          <w:b/>
          <w:i/>
          <w:iCs/>
          <w:sz w:val="24"/>
          <w:szCs w:val="24"/>
        </w:rPr>
        <w:t xml:space="preserve">Figura II.1.1.3.18: </w:t>
      </w:r>
      <w:r w:rsidRPr="00242122">
        <w:rPr>
          <w:rFonts w:ascii="Arial" w:hAnsi="Arial" w:cs="Arial"/>
          <w:i/>
          <w:sz w:val="24"/>
          <w:szCs w:val="24"/>
          <w:lang w:eastAsia="x-none"/>
        </w:rPr>
        <w:t xml:space="preserve">Regimul debitelor medii în sezonul de toamnă 2021 </w:t>
      </w:r>
    </w:p>
    <w:p w:rsidR="00924A0A" w:rsidRPr="00242122" w:rsidRDefault="00924A0A" w:rsidP="00924A0A">
      <w:pPr>
        <w:spacing w:after="0" w:line="240" w:lineRule="auto"/>
        <w:ind w:firstLine="720"/>
        <w:jc w:val="both"/>
        <w:rPr>
          <w:rFonts w:ascii="Arial" w:hAnsi="Arial" w:cs="Arial"/>
          <w:sz w:val="24"/>
          <w:szCs w:val="24"/>
          <w:lang w:eastAsia="x-none"/>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luna </w:t>
      </w:r>
      <w:r w:rsidRPr="00242122">
        <w:rPr>
          <w:rFonts w:ascii="Arial" w:hAnsi="Arial" w:cs="Arial"/>
          <w:sz w:val="24"/>
          <w:szCs w:val="24"/>
          <w:u w:val="single"/>
          <w:lang w:eastAsia="x-none"/>
        </w:rPr>
        <w:t>septembrie 2021</w:t>
      </w:r>
      <w:r w:rsidRPr="00242122">
        <w:rPr>
          <w:rFonts w:ascii="Arial" w:hAnsi="Arial" w:cs="Arial"/>
          <w:sz w:val="24"/>
          <w:szCs w:val="24"/>
          <w:lang w:eastAsia="x-none"/>
        </w:rPr>
        <w:t xml:space="preserve">, regimul hidrologic al bazinelor hidrografice din România </w:t>
      </w:r>
      <w:r w:rsidRPr="00242122">
        <w:rPr>
          <w:rFonts w:ascii="Arial" w:hAnsi="Arial" w:cs="Arial"/>
          <w:sz w:val="24"/>
          <w:szCs w:val="24"/>
        </w:rPr>
        <w:t>(</w:t>
      </w:r>
      <w:r w:rsidRPr="00242122">
        <w:rPr>
          <w:rFonts w:ascii="Arial" w:hAnsi="Arial" w:cs="Arial"/>
          <w:b/>
          <w:i/>
          <w:iCs/>
          <w:sz w:val="24"/>
          <w:szCs w:val="24"/>
        </w:rPr>
        <w:t>Figura II.1.1.3.19</w:t>
      </w:r>
      <w:r w:rsidRPr="00242122">
        <w:rPr>
          <w:rFonts w:ascii="Arial" w:hAnsi="Arial" w:cs="Arial"/>
          <w:sz w:val="24"/>
          <w:szCs w:val="24"/>
        </w:rPr>
        <w:t xml:space="preserve">) </w:t>
      </w:r>
      <w:r w:rsidRPr="00242122">
        <w:rPr>
          <w:rFonts w:ascii="Arial" w:hAnsi="Arial" w:cs="Arial"/>
          <w:sz w:val="24"/>
          <w:szCs w:val="24"/>
          <w:lang w:eastAsia="x-none"/>
        </w:rPr>
        <w:t xml:space="preserve">s-a situat în general la valori cuprinse între 50-80% din mediile lunare multianuale, mai mari (80-100%) pe râurile din bazinele hidrografice: Vişeu, Iza, Tur, Someş, Crişul Negru, Arieş, Ialomiţa şi pe cursul superior şi mijlociu al Mureşului şi mai mici (30-50%) pe râurile din bazinele hidrografice: Timiş, Bârzava, Moraviţa, Caraş, Nera, Cerna, Desnăţui, Jiu mijlociu şi inferior, Olt inferior, Rm. Sărat, Bârlad, Prut, pe cursul mijlociu şi inferior al Putnei şi pe </w:t>
      </w:r>
      <w:bookmarkStart w:id="3" w:name="_Hlk83803571"/>
      <w:r w:rsidRPr="00242122">
        <w:rPr>
          <w:rFonts w:ascii="Arial" w:hAnsi="Arial" w:cs="Arial"/>
          <w:sz w:val="24"/>
          <w:szCs w:val="24"/>
          <w:lang w:eastAsia="x-none"/>
        </w:rPr>
        <w:t>râurile din Dobrogea.</w:t>
      </w:r>
      <w:bookmarkEnd w:id="3"/>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În primele trei zile ale lunii septembrie 2021 debitele au fost în general în scădere, exceptând primele două zile când au fost în creștere datorită precipitațiilor căzute și propagării pe râurile din bazinele hidrografice: Vișeu, Iza, Tur, Someș, Crasna, Barcău, Crișul Repede, Crișul Negru, Crișul Alb, Mureș, Timiș, Olt, Suceava, Moldova, Bistrița, Trotuș și pe cursul superior al Prutului. </w:t>
      </w:r>
      <w:r w:rsidRPr="00242122">
        <w:rPr>
          <w:rFonts w:ascii="Arial" w:hAnsi="Arial" w:cs="Arial"/>
          <w:sz w:val="24"/>
          <w:szCs w:val="24"/>
          <w:lang w:val="fr-FR"/>
        </w:rPr>
        <w:t xml:space="preserve">În prima zi a lunii septembrie s-a situat peste COTA DE ATENȚIE râul Firiza la stația hidrometrică Firiza.  </w:t>
      </w:r>
    </w:p>
    <w:p w:rsidR="00924A0A" w:rsidRPr="00242122" w:rsidRDefault="00924A0A" w:rsidP="00924A0A">
      <w:pPr>
        <w:spacing w:after="0" w:line="240" w:lineRule="auto"/>
        <w:ind w:firstLine="630"/>
        <w:jc w:val="both"/>
        <w:rPr>
          <w:rFonts w:ascii="Arial" w:hAnsi="Arial" w:cs="Arial"/>
          <w:sz w:val="24"/>
          <w:szCs w:val="24"/>
          <w:lang w:eastAsia="x-none"/>
        </w:rPr>
      </w:pPr>
      <w:r w:rsidRPr="00242122">
        <w:rPr>
          <w:rFonts w:ascii="Arial" w:hAnsi="Arial" w:cs="Arial"/>
          <w:sz w:val="24"/>
          <w:szCs w:val="24"/>
          <w:lang w:eastAsia="x-none"/>
        </w:rPr>
        <w:t>În intervalul 4–17 septembrie debitele au fost în general staţionare, exceptând intervalul 4–8 septembrie când au fost în scădere uşoară pe râurile din jumătatea nordică a ţării şi ultimele trei zile, când, precipitaţiile căzute în Maramureş, nordul Transilvaniei şi al Moldovei, au determinat creşteri de niveluri şi debite pe râurile din bazinele hidrografice: Vişeu, Iza, Tur, Someşul Mare, Arieş, Moldova, Bistriţa, Trotuş şi pe cursurile superioare ale Mureşului, Oltului şi Prutului.</w:t>
      </w:r>
    </w:p>
    <w:p w:rsidR="00924A0A" w:rsidRPr="00242122" w:rsidRDefault="00924A0A" w:rsidP="00924A0A">
      <w:pPr>
        <w:spacing w:after="0" w:line="240" w:lineRule="auto"/>
        <w:ind w:firstLine="630"/>
        <w:jc w:val="both"/>
        <w:rPr>
          <w:rFonts w:ascii="Arial" w:hAnsi="Arial" w:cs="Arial"/>
          <w:sz w:val="24"/>
          <w:szCs w:val="24"/>
        </w:rPr>
      </w:pPr>
      <w:r w:rsidRPr="00242122">
        <w:rPr>
          <w:rFonts w:ascii="Arial" w:hAnsi="Arial" w:cs="Arial"/>
          <w:sz w:val="24"/>
          <w:szCs w:val="24"/>
        </w:rPr>
        <w:t xml:space="preserve">În zilele de 18 şi 19 septembrie debitele au fost în creştere, datorită efectului combinat al precipitaţiilor şi propagării, pe râurile din bazinele hidrografice: Vişeu, Iza, Tur, Someş, </w:t>
      </w:r>
      <w:r w:rsidRPr="00242122">
        <w:rPr>
          <w:rFonts w:ascii="Arial" w:hAnsi="Arial" w:cs="Arial"/>
          <w:bCs/>
          <w:sz w:val="24"/>
          <w:szCs w:val="24"/>
        </w:rPr>
        <w:t>Crasna, Barcău, Crișuri, Mureș, Bistrița, Bega, Bârzava, Olt superior și mijlociu, Buzău, Moldova şi Jiu superior.</w:t>
      </w:r>
      <w:r w:rsidRPr="00242122">
        <w:rPr>
          <w:rFonts w:ascii="Arial" w:hAnsi="Arial" w:cs="Arial"/>
          <w:sz w:val="24"/>
          <w:szCs w:val="24"/>
        </w:rPr>
        <w:t xml:space="preserve"> Pe celelalte râuri debitele au fost în general staționare.</w:t>
      </w:r>
    </w:p>
    <w:p w:rsidR="00924A0A" w:rsidRPr="00242122" w:rsidRDefault="00924A0A" w:rsidP="00924A0A">
      <w:pPr>
        <w:spacing w:line="240" w:lineRule="auto"/>
        <w:ind w:firstLine="720"/>
        <w:jc w:val="both"/>
        <w:rPr>
          <w:rFonts w:ascii="Arial" w:hAnsi="Arial" w:cs="Arial"/>
          <w:sz w:val="24"/>
          <w:szCs w:val="24"/>
          <w:lang w:eastAsia="x-none"/>
        </w:rPr>
      </w:pPr>
    </w:p>
    <w:p w:rsidR="00924A0A" w:rsidRPr="00242122" w:rsidRDefault="00924A0A" w:rsidP="00924A0A">
      <w:pPr>
        <w:spacing w:line="240" w:lineRule="auto"/>
        <w:jc w:val="center"/>
        <w:rPr>
          <w:rFonts w:ascii="Arial" w:hAnsi="Arial" w:cs="Arial"/>
          <w:sz w:val="24"/>
          <w:szCs w:val="24"/>
          <w:lang w:eastAsia="x-none"/>
        </w:rPr>
      </w:pPr>
      <w:r w:rsidRPr="00242122">
        <w:rPr>
          <w:rFonts w:ascii="Arial" w:hAnsi="Arial" w:cs="Arial"/>
          <w:noProof/>
          <w:sz w:val="24"/>
          <w:szCs w:val="24"/>
          <w:lang w:eastAsia="ro-RO"/>
        </w:rPr>
        <w:lastRenderedPageBreak/>
        <w:drawing>
          <wp:inline distT="0" distB="0" distL="0" distR="0" wp14:anchorId="21DF72D5" wp14:editId="14451D50">
            <wp:extent cx="3540125" cy="2541905"/>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40125" cy="2541905"/>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rPr>
      </w:pPr>
      <w:r w:rsidRPr="00242122">
        <w:rPr>
          <w:rFonts w:ascii="Arial" w:hAnsi="Arial" w:cs="Arial"/>
          <w:b/>
          <w:i/>
          <w:iCs/>
          <w:sz w:val="24"/>
          <w:szCs w:val="24"/>
        </w:rPr>
        <w:t xml:space="preserve">Figura II.1.1.3.19: </w:t>
      </w:r>
      <w:r w:rsidRPr="00242122">
        <w:rPr>
          <w:rFonts w:ascii="Arial" w:hAnsi="Arial" w:cs="Arial"/>
          <w:i/>
          <w:sz w:val="24"/>
          <w:szCs w:val="24"/>
        </w:rPr>
        <w:t xml:space="preserve">Regimul debitelor medii lunare în luna septembrie  2021 </w:t>
      </w:r>
    </w:p>
    <w:p w:rsidR="00924A0A" w:rsidRPr="00242122" w:rsidRDefault="00924A0A" w:rsidP="00924A0A">
      <w:pPr>
        <w:spacing w:after="0" w:line="240" w:lineRule="auto"/>
        <w:ind w:firstLine="720"/>
        <w:jc w:val="both"/>
        <w:rPr>
          <w:rFonts w:ascii="Arial" w:hAnsi="Arial" w:cs="Arial"/>
          <w:sz w:val="24"/>
          <w:szCs w:val="24"/>
          <w:highlight w:val="yellow"/>
        </w:rPr>
      </w:pP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În intervalul 20–30 septembrie debitele au fost relativ staţionare, exceptând primele cinci zile când pe râurile din Maramureş, Crişana şi Banat debitele au fost în scădere. Mici creşteri de niveluri şi debite, datorită precipitaţiilor slabe cantitativ, s-au înregistrat în primele două zile şi în ultimele două zile ale acestui interval pe unele râuri din Maramureş, Crişana, Banat şi nordul Transilvaniei.</w:t>
      </w:r>
    </w:p>
    <w:p w:rsidR="00924A0A" w:rsidRPr="00242122" w:rsidRDefault="00924A0A" w:rsidP="00924A0A">
      <w:pPr>
        <w:spacing w:after="0" w:line="240" w:lineRule="auto"/>
        <w:ind w:firstLine="720"/>
        <w:jc w:val="both"/>
        <w:rPr>
          <w:rFonts w:ascii="Arial" w:hAnsi="Arial" w:cs="Arial"/>
          <w:sz w:val="24"/>
          <w:szCs w:val="24"/>
        </w:rPr>
      </w:pP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În luna </w:t>
      </w:r>
      <w:r w:rsidRPr="00242122">
        <w:rPr>
          <w:rFonts w:ascii="Arial" w:hAnsi="Arial" w:cs="Arial"/>
          <w:sz w:val="24"/>
          <w:szCs w:val="24"/>
          <w:u w:val="single"/>
        </w:rPr>
        <w:t>octombrie 2021</w:t>
      </w:r>
      <w:r w:rsidRPr="00242122">
        <w:rPr>
          <w:rFonts w:ascii="Arial" w:hAnsi="Arial" w:cs="Arial"/>
          <w:sz w:val="24"/>
          <w:szCs w:val="24"/>
        </w:rPr>
        <w:t>, regimul hidrologic al bazinelor hidrografice din România (</w:t>
      </w:r>
      <w:r w:rsidRPr="00242122">
        <w:rPr>
          <w:rFonts w:ascii="Arial" w:hAnsi="Arial" w:cs="Arial"/>
          <w:b/>
          <w:i/>
          <w:iCs/>
          <w:sz w:val="24"/>
          <w:szCs w:val="24"/>
        </w:rPr>
        <w:t>Figura II.1.1.3.20</w:t>
      </w:r>
      <w:r w:rsidRPr="00242122">
        <w:rPr>
          <w:rFonts w:ascii="Arial" w:hAnsi="Arial" w:cs="Arial"/>
          <w:sz w:val="24"/>
          <w:szCs w:val="24"/>
        </w:rPr>
        <w:t>) s-a situat în general la valori cuprinse între 50-80% din mediile lunare multianuale, mai mici (30-50%) pe râurile din bazinele hidrografice: Iza, Tur, Lăpuş, Crişul Negru, Crişul Alb, Bega Veche, Bega, Timiş, Bârzava, Moraviţa, Caraş, Nera, Cerna, Desnăţui, Jiu mijlociu şi inferior, Olt inferior, Vedea, Rm. Sărat, Bârlad, Prut, pe cursul mijlociu şi inferior al Putnei şi pe râurile din Dobrogea.</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În intervalul 1-8 octombrie 2021 debitele au fost în general staţionare, exceptând râurile din Crişana şi în primele două zile şi râurile din Banat şi Transilvania care au fost în scădere uşoară. </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În intervalul 9–11 octombrie debitele au fost în general staţionare, exceptând primele două zile, când, datorită precipitaţiilor căzute şi propagării, debitele au fost în creştere pe râurile din bazinele hidrografice: Timiş, Bârzava, Moraviţa, Caraş, Nera, Cerna, Jiu, Olt inferior, Vedea, Argeş superior şi mijlociu şi pe cele din Dobrogea. </w:t>
      </w:r>
    </w:p>
    <w:p w:rsidR="00924A0A" w:rsidRPr="00242122" w:rsidRDefault="00924A0A" w:rsidP="00924A0A">
      <w:pPr>
        <w:spacing w:after="0" w:line="240" w:lineRule="auto"/>
        <w:ind w:firstLine="720"/>
        <w:jc w:val="both"/>
        <w:rPr>
          <w:rFonts w:ascii="Arial" w:hAnsi="Arial" w:cs="Arial"/>
          <w:sz w:val="24"/>
          <w:szCs w:val="24"/>
        </w:rPr>
      </w:pPr>
      <w:bookmarkStart w:id="4" w:name="_Hlk86154599"/>
      <w:r w:rsidRPr="00242122">
        <w:rPr>
          <w:rFonts w:ascii="Arial" w:hAnsi="Arial" w:cs="Arial"/>
          <w:sz w:val="24"/>
          <w:szCs w:val="24"/>
        </w:rPr>
        <w:t>În zilele de 12 şi 13 octombrie debitele au fost în creştere, datorită efectului combinat al precipitaţiilor şi propagării, pe râurile din bazinele hidrografice: Vişeu, Iza, Tur, Someş, Crasna, Barcău, Crișuri, Mureș, Bega, Timiş, Bârzava, Moraviţa, Caraş, Nera, Cerna, Jiu superior şi mijlociu şi în ultima zi şi pe râurile din Dobrogea. Pe celelalte râuri debitele au fost în general staționare.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intervalul 14–17 octombrie debitele au fost în general în creştere pe râurile din Oltenia, Muntenia şi Dobrogea, ca urmare a precipitaţiilor căzute în jumătatea de sud a ţării. Pe celelalte râuri debitele au fost relativ staţionare, exceptând prima zi a acestui interval când au fost în scădere pe râurile din Maramureş, Crişana şi Banat. </w:t>
      </w:r>
    </w:p>
    <w:p w:rsidR="00924A0A" w:rsidRPr="00242122" w:rsidRDefault="00924A0A" w:rsidP="00924A0A">
      <w:pPr>
        <w:spacing w:line="240" w:lineRule="auto"/>
        <w:ind w:firstLine="720"/>
        <w:jc w:val="both"/>
        <w:rPr>
          <w:rFonts w:ascii="Arial" w:hAnsi="Arial" w:cs="Arial"/>
          <w:sz w:val="24"/>
          <w:szCs w:val="24"/>
        </w:rPr>
      </w:pPr>
    </w:p>
    <w:bookmarkEnd w:id="4"/>
    <w:p w:rsidR="00924A0A" w:rsidRPr="00242122" w:rsidRDefault="00924A0A" w:rsidP="00924A0A">
      <w:pPr>
        <w:spacing w:line="240" w:lineRule="auto"/>
        <w:jc w:val="center"/>
        <w:rPr>
          <w:rFonts w:ascii="Arial" w:hAnsi="Arial" w:cs="Arial"/>
          <w:sz w:val="24"/>
          <w:szCs w:val="24"/>
          <w:lang w:eastAsia="x-none"/>
        </w:rPr>
      </w:pPr>
      <w:r w:rsidRPr="00242122">
        <w:rPr>
          <w:rFonts w:ascii="Arial" w:hAnsi="Arial" w:cs="Arial"/>
          <w:noProof/>
          <w:sz w:val="24"/>
          <w:szCs w:val="24"/>
          <w:lang w:eastAsia="ro-RO"/>
        </w:rPr>
        <w:lastRenderedPageBreak/>
        <w:drawing>
          <wp:inline distT="0" distB="0" distL="0" distR="0" wp14:anchorId="3A8247ED" wp14:editId="330E1BFA">
            <wp:extent cx="3430905" cy="24828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30905" cy="2482850"/>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rPr>
      </w:pPr>
      <w:r w:rsidRPr="00242122">
        <w:rPr>
          <w:rFonts w:ascii="Arial" w:hAnsi="Arial" w:cs="Arial"/>
          <w:b/>
          <w:i/>
          <w:iCs/>
          <w:sz w:val="24"/>
          <w:szCs w:val="24"/>
        </w:rPr>
        <w:t>Figura II.1.1.3.20:</w:t>
      </w:r>
      <w:r w:rsidRPr="00242122">
        <w:rPr>
          <w:rFonts w:ascii="Arial" w:hAnsi="Arial" w:cs="Arial"/>
          <w:i/>
          <w:sz w:val="24"/>
          <w:szCs w:val="24"/>
        </w:rPr>
        <w:t xml:space="preserve"> Regimul debitelor medii lunare în luna octombrie  2021 </w:t>
      </w:r>
    </w:p>
    <w:p w:rsidR="00924A0A" w:rsidRPr="00242122" w:rsidRDefault="00924A0A" w:rsidP="00924A0A">
      <w:pPr>
        <w:spacing w:after="0" w:line="240" w:lineRule="auto"/>
        <w:ind w:firstLine="720"/>
        <w:jc w:val="both"/>
        <w:rPr>
          <w:rFonts w:ascii="Arial" w:hAnsi="Arial" w:cs="Arial"/>
          <w:sz w:val="24"/>
          <w:szCs w:val="24"/>
          <w:highlight w:val="yellow"/>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Începând cu data de 18 octombrie şi până la sfârşitul lunii debitele au fost în general staţionare, exceptând primele două zile când au fost în scădere pe râurile din Maramureş, Crişana, Transilvania, Banat, Oltenia şi Muntenia, iar în intervalul 23-24 octombrie s-au înregistrat creşteri pe râurile din Dobrogea, ca urmare a precipitaţiilor şi propagării.</w:t>
      </w:r>
    </w:p>
    <w:p w:rsidR="00924A0A" w:rsidRPr="00242122" w:rsidRDefault="00924A0A" w:rsidP="00924A0A">
      <w:pPr>
        <w:keepLines/>
        <w:spacing w:after="0" w:line="240" w:lineRule="auto"/>
        <w:ind w:right="112" w:firstLine="720"/>
        <w:jc w:val="both"/>
        <w:rPr>
          <w:rFonts w:ascii="Arial" w:hAnsi="Arial" w:cs="Arial"/>
          <w:sz w:val="24"/>
          <w:szCs w:val="24"/>
          <w:highlight w:val="yellow"/>
        </w:rPr>
      </w:pP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În luna </w:t>
      </w:r>
      <w:r w:rsidRPr="00242122">
        <w:rPr>
          <w:rFonts w:ascii="Arial" w:hAnsi="Arial" w:cs="Arial"/>
          <w:sz w:val="24"/>
          <w:szCs w:val="24"/>
          <w:u w:val="single"/>
        </w:rPr>
        <w:t>noiembrie 2021</w:t>
      </w:r>
      <w:r w:rsidRPr="00242122">
        <w:rPr>
          <w:rFonts w:ascii="Arial" w:hAnsi="Arial" w:cs="Arial"/>
          <w:sz w:val="24"/>
          <w:szCs w:val="24"/>
        </w:rPr>
        <w:t xml:space="preserve"> regimul hidrologic al bazinelor hidrografice din România (</w:t>
      </w:r>
      <w:r w:rsidRPr="00242122">
        <w:rPr>
          <w:rFonts w:ascii="Arial" w:hAnsi="Arial" w:cs="Arial"/>
          <w:b/>
          <w:i/>
          <w:iCs/>
          <w:sz w:val="24"/>
          <w:szCs w:val="24"/>
        </w:rPr>
        <w:t>Figura II.1.1.3.21</w:t>
      </w:r>
      <w:r w:rsidRPr="00242122">
        <w:rPr>
          <w:rFonts w:ascii="Arial" w:hAnsi="Arial" w:cs="Arial"/>
          <w:sz w:val="24"/>
          <w:szCs w:val="24"/>
        </w:rPr>
        <w:t>) s-a situat în general la valori cuprinse între 50-80% din mediile lunare multianuale, mai mici (30-50%) pe râurile din bazinele hidrografice: Tur, Someş inferior, Bega Veche, Bega, Timiş, Bârzava, Moraviţa, Caraş, Nera, Cerna, Desnăţui, Jiu, Olt inferior, Vedea, Rm. Sărat, Putna, Bârlad, Prut, pe cursul Siretului, pe cursurile mijlocii şi inferioare ale Vişeului şi Izei şi pe râurile din Dobrogea.</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În primele patru zile ale lunii noiembrie 2021 debitele au fost în general staţionare, exceptând râurile din bazinele hidrografice: Someş, Barcău, Crişul Repede, Crişul Negru, Timiş, Moraviţa, Caraş, Nera şi cursurile superioare ale Arieşului şi Jiului unde, în data de 3 noiembrie, debitele au fost în creştere datorită precipitaţiilor căzute în ziua anterioară. </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În intervalul 5–10 noiembrie debitele au fost în general în creştere, datorită precipitaţiilor căzute şi propagării, pe râurile din bazinele hidrografice: Vişeu, Iza, Tur, Someş, Crasna, Barcău, Mureş mijlociu şi inferior, Bega, Timiş, Bârzava, Caraş, Nera, Cerna, Jiu, iar în ultimele două zile a acestui interval şi pe râurile din bazinele hidrografice: Olt, Vedea, Argeş, Ialomiţa, Buzău, Putna, Trotuş, Bistriţa, Moldova, Suceava, Bârlad, pe cursul superior al Prutului şi pe unele râuri din Dobrogea. Pe celelalte râuri debitele au fost în general staționare.</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În intervalul 11–13 noiembrie debitele au fost în scădere pe râurile din Maramureş, Crişana, Banat, Transilvania şi vestul Moldovei şi relativ staţionare pe cele din Oltenia, Muntenia, Dobrogea şi estul Moldovei.</w:t>
      </w:r>
      <w:bookmarkStart w:id="5" w:name="_Hlk88207006"/>
    </w:p>
    <w:bookmarkEnd w:id="5"/>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În intervalul 14–21 noiembrie debitele au fost în general staţionare, exceptând primele două zile ale acestui interval când au fost în scădere pe râurile din Maramureş şi Crişana şi ultimele două zile când, datorită precipitaţiilor lichide, s-au înregistrat creşteri de niveluri şi debite pe râurile din bazinele hidrografice: Vişeu, Iza, Tur, Someş şi izolat, pe cursurile superioare ale Moldovei şi Bistriţei. </w:t>
      </w:r>
    </w:p>
    <w:p w:rsidR="00924A0A" w:rsidRPr="00242122" w:rsidRDefault="00924A0A" w:rsidP="00924A0A">
      <w:pPr>
        <w:spacing w:after="0" w:line="240" w:lineRule="auto"/>
        <w:jc w:val="center"/>
        <w:rPr>
          <w:rFonts w:ascii="Arial" w:hAnsi="Arial" w:cs="Arial"/>
          <w:sz w:val="24"/>
          <w:szCs w:val="24"/>
          <w:lang w:eastAsia="x-none"/>
        </w:rPr>
      </w:pPr>
      <w:r w:rsidRPr="00242122">
        <w:rPr>
          <w:rFonts w:ascii="Arial" w:hAnsi="Arial" w:cs="Arial"/>
          <w:noProof/>
          <w:sz w:val="24"/>
          <w:szCs w:val="24"/>
          <w:lang w:eastAsia="ro-RO"/>
        </w:rPr>
        <w:lastRenderedPageBreak/>
        <w:drawing>
          <wp:inline distT="0" distB="0" distL="0" distR="0" wp14:anchorId="3F54073C" wp14:editId="15A6523B">
            <wp:extent cx="3531870" cy="256730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31870" cy="2567305"/>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rPr>
      </w:pPr>
      <w:r w:rsidRPr="00242122">
        <w:rPr>
          <w:rFonts w:ascii="Arial" w:hAnsi="Arial" w:cs="Arial"/>
          <w:b/>
          <w:i/>
          <w:iCs/>
          <w:sz w:val="24"/>
          <w:szCs w:val="24"/>
        </w:rPr>
        <w:t xml:space="preserve">Figura II.1.1.3.21: </w:t>
      </w:r>
      <w:r w:rsidRPr="00242122">
        <w:rPr>
          <w:rFonts w:ascii="Arial" w:hAnsi="Arial" w:cs="Arial"/>
          <w:i/>
          <w:sz w:val="24"/>
          <w:szCs w:val="24"/>
        </w:rPr>
        <w:t xml:space="preserve">Regimul debitelor medii lunare în luna noiembrie 2021 </w:t>
      </w:r>
    </w:p>
    <w:p w:rsidR="00924A0A" w:rsidRPr="00242122" w:rsidRDefault="00924A0A" w:rsidP="00924A0A">
      <w:pPr>
        <w:spacing w:after="0" w:line="240" w:lineRule="auto"/>
        <w:ind w:firstLine="720"/>
        <w:jc w:val="both"/>
        <w:rPr>
          <w:rFonts w:ascii="Arial" w:hAnsi="Arial" w:cs="Arial"/>
          <w:sz w:val="24"/>
          <w:szCs w:val="24"/>
          <w:highlight w:val="yellow"/>
          <w:lang w:eastAsia="x-none"/>
        </w:rPr>
      </w:pP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În intervalul 22–26 noiembrie debitele au fost în general staţionare, exceptând primele două zile ale acestui interval când au fost în scădere pe râurile din nord-vestul ţării.</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În zilele de 27 şi 28 noiembrie debitele au fost în general în creştere, ca urmare a precipitaţiilor lichide căzute în acest interval şi propagării, pe râurile din Maramureş, Crişana, Banat, vestul Transilvaniei şi nordul Moldovei. Pe celelalte râuri debitele au fost relativ staţionare.</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În ultimele zile ale lunii noiembrie debitele au fost în general staţionare, exceptând râurile din bazinele hidrografice: Crişul Repede, Crişul Negru, Crişul Alb, Caraş, Nera, Cerna şi Jiu pe care s-au înregistrat creşteri, ca urmare a precipitaţiilor şi propagării.</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În intervalele 12-22 şi 25-28 noiembrie 2021 au apărut şi s-au menţinut formaţiuni incipiente de gheaţă (gheaţă la maluri, năboi) în bazinele superioare ale Bistriţei şi Moldovei, şi izolat, pe unii afluenţi ai Someşului şi Mureşului. </w:t>
      </w:r>
    </w:p>
    <w:p w:rsidR="00924A0A" w:rsidRPr="00242122" w:rsidRDefault="00924A0A" w:rsidP="00924A0A">
      <w:pPr>
        <w:spacing w:after="0" w:line="240" w:lineRule="auto"/>
        <w:jc w:val="both"/>
        <w:rPr>
          <w:rFonts w:ascii="Arial" w:hAnsi="Arial" w:cs="Arial"/>
          <w:sz w:val="24"/>
          <w:szCs w:val="24"/>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luna </w:t>
      </w:r>
      <w:r w:rsidRPr="00242122">
        <w:rPr>
          <w:rFonts w:ascii="Arial" w:hAnsi="Arial" w:cs="Arial"/>
          <w:sz w:val="24"/>
          <w:szCs w:val="24"/>
          <w:u w:val="single"/>
          <w:lang w:eastAsia="x-none"/>
        </w:rPr>
        <w:t>decembrie 2021</w:t>
      </w:r>
      <w:r w:rsidRPr="00242122">
        <w:rPr>
          <w:rFonts w:ascii="Arial" w:hAnsi="Arial" w:cs="Arial"/>
          <w:sz w:val="24"/>
          <w:szCs w:val="24"/>
          <w:lang w:eastAsia="x-none"/>
        </w:rPr>
        <w:t xml:space="preserve">, regimul hidrologic al bazinelor hidrografice din România </w:t>
      </w:r>
      <w:r w:rsidRPr="00242122">
        <w:rPr>
          <w:rFonts w:ascii="Arial" w:hAnsi="Arial" w:cs="Arial"/>
          <w:sz w:val="24"/>
          <w:szCs w:val="24"/>
        </w:rPr>
        <w:t>(</w:t>
      </w:r>
      <w:r w:rsidRPr="00242122">
        <w:rPr>
          <w:rFonts w:ascii="Arial" w:hAnsi="Arial" w:cs="Arial"/>
          <w:b/>
          <w:i/>
          <w:iCs/>
          <w:sz w:val="24"/>
          <w:szCs w:val="24"/>
        </w:rPr>
        <w:t>Figura II.1.1.3.22</w:t>
      </w:r>
      <w:r w:rsidRPr="00242122">
        <w:rPr>
          <w:rFonts w:ascii="Arial" w:hAnsi="Arial" w:cs="Arial"/>
          <w:sz w:val="24"/>
          <w:szCs w:val="24"/>
        </w:rPr>
        <w:t xml:space="preserve">) </w:t>
      </w:r>
      <w:r w:rsidRPr="00242122">
        <w:rPr>
          <w:rFonts w:ascii="Arial" w:hAnsi="Arial" w:cs="Arial"/>
          <w:sz w:val="24"/>
          <w:szCs w:val="24"/>
          <w:lang w:eastAsia="x-none"/>
        </w:rPr>
        <w:t xml:space="preserve">s-a situat la valori peste mediile multianuale lunare pe râurile din bazinele hidrografice: Tur, </w:t>
      </w:r>
      <w:bookmarkStart w:id="6" w:name="_Hlk91748005"/>
      <w:r w:rsidRPr="00242122">
        <w:rPr>
          <w:rFonts w:ascii="Arial" w:hAnsi="Arial" w:cs="Arial"/>
          <w:sz w:val="24"/>
          <w:szCs w:val="24"/>
          <w:lang w:eastAsia="x-none"/>
        </w:rPr>
        <w:t>Someş, Crasna, Barcău, Crişul Repede, Crişul Negru, Crişul Alb, Arieş, Bega Veche, Bega, Timiş, Bârzava, Moraviţa, Ialomiţa, Buzău, Rm. Sărat, Putna, Trotuş, în bazinele superioare ale râurilor Iza, Jiu şi Olt şi în bazinul Mureşului - aval confluenţă Târnave.</w:t>
      </w:r>
      <w:bookmarkEnd w:id="6"/>
      <w:r w:rsidRPr="00242122">
        <w:rPr>
          <w:rFonts w:ascii="Arial" w:hAnsi="Arial" w:cs="Arial"/>
          <w:sz w:val="24"/>
          <w:szCs w:val="24"/>
          <w:lang w:eastAsia="x-none"/>
        </w:rPr>
        <w:t xml:space="preserve"> Pe celelalte râuri regimul hidrologic s-a situat la valori cuprinse între 50-80% din mediile multianuale lunare, mai mari (80-100%) pe Vişeu, pe cursul mijlociu şi inferior al Izei, pe râurile din bazinul Mureşului - amonte confluenţă Târnave şi pe cele din bazinul Oltului (pe sectorul aferent staţiilor hidrometrice Hoghiz - Cornet). Cele mai mici valori ( 30-50% din normalele lunare ) s-au înregistrat pe râurile din bazinul Bârladului şi pe afluenţii Prutului.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primele două zile ale lunii decembrie 2021 debitele au fost în general staţionare, exceptând râurile din bazinele hidrografice: Vişeu, Iza, Tur, Someşul Mare şi Jiu superior unde au fost în scădere şi cele din bazinele hidrografice ale Crişului Repede, Crişului Alb şi Arieşului unde au fost în creştere datorită precipitaţiilor căzute şi propagării.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zilele de 3 şi 4 decembrie debitele au fost în creştere, datorită precipitaţiilor căzute şi propagării, pe râurile din bazinele hidrografice: Vişeu, Iza, Tur, Someş, Crasna, Barcău, Crişuri, Timiş, Buzău, Bistriţa, Moldova, iar în ultima zi şi pe râurile din bazinele hidrografice: Arieş, Bega, Ialomiţa, Târnave, Jiu, Olt şi Argeş. Pe celelalte râuri debitele au fost în general staționare.</w:t>
      </w:r>
    </w:p>
    <w:p w:rsidR="00924A0A" w:rsidRPr="00242122" w:rsidRDefault="00924A0A" w:rsidP="00924A0A">
      <w:pPr>
        <w:spacing w:after="0" w:line="240" w:lineRule="auto"/>
        <w:ind w:firstLine="720"/>
        <w:jc w:val="both"/>
        <w:rPr>
          <w:rFonts w:ascii="Arial" w:hAnsi="Arial" w:cs="Arial"/>
          <w:sz w:val="24"/>
          <w:szCs w:val="24"/>
          <w:lang w:eastAsia="x-none"/>
        </w:rPr>
      </w:pPr>
      <w:bookmarkStart w:id="7" w:name="_Hlk91681619"/>
      <w:r w:rsidRPr="00242122">
        <w:rPr>
          <w:rFonts w:ascii="Arial" w:hAnsi="Arial" w:cs="Arial"/>
          <w:sz w:val="24"/>
          <w:szCs w:val="24"/>
          <w:lang w:eastAsia="x-none"/>
        </w:rPr>
        <w:t xml:space="preserve">În intervalul 5–6 decembrie </w:t>
      </w:r>
      <w:bookmarkEnd w:id="7"/>
      <w:r w:rsidRPr="00242122">
        <w:rPr>
          <w:rFonts w:ascii="Arial" w:hAnsi="Arial" w:cs="Arial"/>
          <w:sz w:val="24"/>
          <w:szCs w:val="24"/>
          <w:lang w:eastAsia="x-none"/>
        </w:rPr>
        <w:t xml:space="preserve">debitele au fost în scădere pe râurile din Maramureş, Crişana, Banat şi nordul Transilvaniei şi relativ staţionare pe cele din Oltenia, Muntenia, Dobrogea, Moldova şi sudul Transilvaniei. În ultima zi a acestui interval s-au înregistrat </w:t>
      </w:r>
      <w:r w:rsidRPr="00242122">
        <w:rPr>
          <w:rFonts w:ascii="Arial" w:hAnsi="Arial" w:cs="Arial"/>
          <w:sz w:val="24"/>
          <w:szCs w:val="24"/>
          <w:lang w:eastAsia="x-none"/>
        </w:rPr>
        <w:lastRenderedPageBreak/>
        <w:t xml:space="preserve">creşteri pe râurile Nera şi Cerna şi pe cursul superior al Prutului, ca urmare a precipitaţiilor căzute şi propagării. </w:t>
      </w:r>
    </w:p>
    <w:p w:rsidR="00924A0A" w:rsidRPr="00242122" w:rsidRDefault="00924A0A" w:rsidP="00924A0A">
      <w:pPr>
        <w:spacing w:line="240" w:lineRule="auto"/>
        <w:ind w:firstLine="720"/>
        <w:jc w:val="both"/>
        <w:rPr>
          <w:rFonts w:ascii="Arial" w:hAnsi="Arial" w:cs="Arial"/>
          <w:sz w:val="24"/>
          <w:szCs w:val="24"/>
          <w:lang w:eastAsia="x-none"/>
        </w:rPr>
      </w:pPr>
    </w:p>
    <w:p w:rsidR="00924A0A" w:rsidRPr="00242122" w:rsidRDefault="00924A0A" w:rsidP="00924A0A">
      <w:pPr>
        <w:spacing w:line="240" w:lineRule="auto"/>
        <w:jc w:val="center"/>
        <w:rPr>
          <w:rFonts w:ascii="Arial" w:hAnsi="Arial" w:cs="Arial"/>
          <w:sz w:val="24"/>
          <w:szCs w:val="24"/>
          <w:lang w:eastAsia="x-none"/>
        </w:rPr>
      </w:pPr>
      <w:r w:rsidRPr="00242122">
        <w:rPr>
          <w:rFonts w:ascii="Arial" w:hAnsi="Arial" w:cs="Arial"/>
          <w:noProof/>
          <w:sz w:val="24"/>
          <w:szCs w:val="24"/>
          <w:lang w:eastAsia="ro-RO"/>
        </w:rPr>
        <w:drawing>
          <wp:inline distT="0" distB="0" distL="0" distR="0" wp14:anchorId="28AD5536" wp14:editId="1CAABFCD">
            <wp:extent cx="3448050" cy="243268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48050" cy="2432685"/>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rPr>
      </w:pPr>
      <w:r w:rsidRPr="00242122">
        <w:rPr>
          <w:rFonts w:ascii="Arial" w:hAnsi="Arial" w:cs="Arial"/>
          <w:b/>
          <w:i/>
          <w:iCs/>
          <w:sz w:val="24"/>
          <w:szCs w:val="24"/>
        </w:rPr>
        <w:t xml:space="preserve">Figura II.1.1.3.22: </w:t>
      </w:r>
      <w:r w:rsidRPr="00242122">
        <w:rPr>
          <w:rFonts w:ascii="Arial" w:hAnsi="Arial" w:cs="Arial"/>
          <w:i/>
          <w:sz w:val="24"/>
          <w:szCs w:val="24"/>
        </w:rPr>
        <w:t xml:space="preserve">Regimul debitelor medii lunare în luna decembrie  2021 </w:t>
      </w:r>
    </w:p>
    <w:p w:rsidR="00924A0A" w:rsidRPr="00242122" w:rsidRDefault="00924A0A" w:rsidP="00924A0A">
      <w:pPr>
        <w:spacing w:after="0" w:line="240" w:lineRule="auto"/>
        <w:ind w:firstLine="720"/>
        <w:jc w:val="both"/>
        <w:rPr>
          <w:rFonts w:ascii="Arial" w:hAnsi="Arial" w:cs="Arial"/>
          <w:sz w:val="24"/>
          <w:szCs w:val="24"/>
          <w:lang w:eastAsia="x-none"/>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zilele de 7 şi 8 decembrie debitele au fost în creştere, datorită precipitaţiilor lichide şi propagării, pe râurile din Maramureş, Crişana, Transilvania, Banat, Oltenia, Muntenia, Dobrogea şi pe cele din sudul Moldovei şi relativ staţionare pe râurile din bazinul superior şi mijlociu al Siretului şi din bazinul Prutului.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9–10 decembrie debitele au fost în general în scădere.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11-13 decembrie debitele au fost în general în creştere, ca urmare a precipitaţiilor lichide, cedării apei din stratul de zăpadă şi propagării. În acest interval s-au înregistrat scurgeri importante pe versanţi, torenţi, pâraie, viituri rapide şi creşteri de niveluri şi debite, cu depăşiri ale COTELOR DE APĂRARE, pe unele râuri din bazinele hidrografice: Jiu, Olt, Argeş, Ialomiţa şi Buzău.</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 intervalul 14–24 decembrie debitele au fost în general în scădere, exceptând râurile din Oltenia, sudul Munteniei şi cele din Dobrogea unde au fost relativ staţionare.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Începând din data de 25 decembrie şi până în data de 28 decembrie, precipitaţiile lichide, importante cantitativ, căzute în jumătatea de vest a ţării şi în ultimele zile şi în jumătatea sudică, au determinat creşteri de niveluri şi debite pe râurile din Maramureş, Crişana, Transilvania, Banat şi în ultimele două zile şi pe cele din Oltenia, Muntenia, Dobrogea şi sudul Moldovei. Datorită precipitațiilor lichide mai însemnate cantitativ căzute în acest interval, cedării apei din stratul de zăpadă şi propagării, s-au înregistrat scurgeri importante pe versanţi, torenţi, pâraie, viituri rapide şi creşteri de niveluri şi debite cu depăşiri ale COTELOR DE APĂRARE, pe râurile din bazinele hidrografice: Crişul Negru, Crişul Alb, Arieş, Bega, Timiş, Bârzava, Moraviţa şi izolat pe unele râuri din bazinele hidrografice: Someş, Barcău, Crişul Repede şi Olt.</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ultimele zile ale lunii decembrie debitele au fost în scădere, exceptând râurile din bazinul inferior al Oltului, cele din bazinele hidrografice Vedea, Siret şi Prut şi râurile din Dobrogea unde au fost în general staţionare şi cursurile mijlocii şi inferioare ale râurilor mari din vestul ţării unde au fost în creştere prin propagarea viiturilor formate anterior, cu menţinerea nivelurilor peste COTELE DE ATENŢIE pe cursurile inferioare ale Crişului Negru, Crişului Alb, Timişului, Bârzavei şi Moraviţei. </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 xml:space="preserve">Situaţia depăşirii COTELOR DE APĂRARE în luna decembrie 2021 (valori maxime preliminare determinate pe baza datelor din fluxul operativ) este prezentată în </w:t>
      </w:r>
      <w:r w:rsidRPr="00242122">
        <w:rPr>
          <w:rFonts w:ascii="Arial" w:hAnsi="Arial" w:cs="Arial"/>
          <w:b/>
          <w:i/>
          <w:iCs/>
          <w:sz w:val="24"/>
          <w:szCs w:val="24"/>
        </w:rPr>
        <w:t>Figura II.1.1.3.23</w:t>
      </w:r>
      <w:r w:rsidRPr="00242122">
        <w:rPr>
          <w:rFonts w:ascii="Arial" w:hAnsi="Arial" w:cs="Arial"/>
          <w:sz w:val="24"/>
          <w:szCs w:val="24"/>
        </w:rPr>
        <w:t>.</w:t>
      </w:r>
    </w:p>
    <w:p w:rsidR="00924A0A" w:rsidRPr="00242122" w:rsidRDefault="00924A0A" w:rsidP="00924A0A">
      <w:pPr>
        <w:spacing w:line="240" w:lineRule="auto"/>
        <w:ind w:firstLine="720"/>
        <w:jc w:val="both"/>
        <w:rPr>
          <w:rFonts w:ascii="Arial" w:hAnsi="Arial" w:cs="Arial"/>
          <w:sz w:val="24"/>
          <w:szCs w:val="24"/>
        </w:rPr>
      </w:pPr>
    </w:p>
    <w:p w:rsidR="00924A0A" w:rsidRPr="00242122" w:rsidRDefault="00924A0A" w:rsidP="00924A0A">
      <w:pPr>
        <w:spacing w:line="240" w:lineRule="auto"/>
        <w:jc w:val="center"/>
        <w:rPr>
          <w:rFonts w:ascii="Arial" w:hAnsi="Arial" w:cs="Arial"/>
          <w:sz w:val="24"/>
          <w:szCs w:val="24"/>
        </w:rPr>
      </w:pPr>
      <w:r w:rsidRPr="00242122">
        <w:rPr>
          <w:rFonts w:ascii="Arial" w:hAnsi="Arial" w:cs="Arial"/>
          <w:noProof/>
          <w:sz w:val="24"/>
          <w:szCs w:val="24"/>
          <w:lang w:eastAsia="ro-RO"/>
        </w:rPr>
        <w:lastRenderedPageBreak/>
        <w:drawing>
          <wp:inline distT="0" distB="0" distL="0" distR="0" wp14:anchorId="5D8CE460" wp14:editId="01222CF7">
            <wp:extent cx="3422650" cy="2399030"/>
            <wp:effectExtent l="0" t="0" r="635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2650" cy="2399030"/>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rPr>
      </w:pPr>
      <w:r w:rsidRPr="00242122">
        <w:rPr>
          <w:rFonts w:ascii="Arial" w:hAnsi="Arial" w:cs="Arial"/>
          <w:b/>
          <w:i/>
          <w:iCs/>
          <w:sz w:val="24"/>
          <w:szCs w:val="24"/>
        </w:rPr>
        <w:t>Figura II.1.1.3.23:</w:t>
      </w:r>
      <w:r w:rsidRPr="00242122">
        <w:rPr>
          <w:rFonts w:ascii="Arial" w:hAnsi="Arial" w:cs="Arial"/>
          <w:i/>
          <w:sz w:val="24"/>
          <w:szCs w:val="24"/>
        </w:rPr>
        <w:t xml:space="preserve">  Situaţia depăşirilor de COTE DE APĂRARE pentru luna decembrie 2021 </w:t>
      </w:r>
    </w:p>
    <w:p w:rsidR="00924A0A" w:rsidRPr="00242122" w:rsidRDefault="00924A0A" w:rsidP="00924A0A">
      <w:pPr>
        <w:spacing w:after="0" w:line="240" w:lineRule="auto"/>
        <w:ind w:firstLine="720"/>
        <w:jc w:val="both"/>
        <w:rPr>
          <w:rFonts w:ascii="Arial" w:hAnsi="Arial" w:cs="Arial"/>
          <w:sz w:val="24"/>
          <w:szCs w:val="24"/>
          <w:lang w:eastAsia="x-none"/>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Formațiunile de gheață (gheață la maluri, năboi) prezente în prima zi a lunii decembrie numai în bazinul superior şi mijlociu al râului Bistrița au fost în uşoară extindere şi intensificare în primele două decade ale lunii numai în bazinele superioare ale Bistriţei, Moldovei şi Sucevei.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Începând din 21 decembrie şi până în data de 24 decembrie, formaţiunile de gheaţă s-au extins şi intensificat, fiind prezente pe majoritatea râurilor (gheaţă la maluri, năboi, pod de gheaţă). Din 25 decembrie şi până la sfârşitul lunii, ca urmare a temperaturilor ridicate şi a precipitaţiilor lichide, formaţiunile de gheaţă s-au diminuat şi eliminat, cu excepţia celor prezente pe râurile din Moldova, unde au fost în extindere şi intensificare, asfel incât, în ultima zi a lunii, acestea erau prezente pe majoritatea râurilor din bazinele Siretului şi Prutului.</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Dintre cele mai severe evenimente hidrologice periculoase care s-au înregistrat în anul 2021, viituri care au determinat depăşiri semnificative ale COTELOR DE PERICOL în secţiunile staţiilor hidrometrice şi au generat fenomene deosebit de severe de inundaţii la nivel local, se pot menţiona următoarele:</w:t>
      </w:r>
    </w:p>
    <w:p w:rsidR="00924A0A" w:rsidRPr="00242122" w:rsidRDefault="00924A0A" w:rsidP="00B12004">
      <w:pPr>
        <w:pStyle w:val="ListParagraph"/>
        <w:numPr>
          <w:ilvl w:val="0"/>
          <w:numId w:val="2"/>
        </w:numPr>
        <w:spacing w:after="0" w:line="240" w:lineRule="auto"/>
        <w:jc w:val="both"/>
        <w:rPr>
          <w:rFonts w:ascii="Arial" w:hAnsi="Arial" w:cs="Arial"/>
          <w:sz w:val="24"/>
          <w:szCs w:val="24"/>
        </w:rPr>
      </w:pPr>
      <w:r w:rsidRPr="00242122">
        <w:rPr>
          <w:rFonts w:ascii="Arial" w:hAnsi="Arial" w:cs="Arial"/>
          <w:sz w:val="24"/>
          <w:szCs w:val="24"/>
        </w:rPr>
        <w:t>Ianuarie 2021: Bazinul hidrografic superior şi mijlociu al Motrului (afluent al Jiului), judeţele: Gorj şi Mehedinţi.</w:t>
      </w:r>
    </w:p>
    <w:p w:rsidR="00924A0A" w:rsidRPr="00242122" w:rsidRDefault="00924A0A" w:rsidP="00B12004">
      <w:pPr>
        <w:pStyle w:val="ListParagraph"/>
        <w:numPr>
          <w:ilvl w:val="0"/>
          <w:numId w:val="2"/>
        </w:numPr>
        <w:spacing w:after="0" w:line="240" w:lineRule="auto"/>
        <w:jc w:val="both"/>
        <w:rPr>
          <w:rFonts w:ascii="Arial" w:hAnsi="Arial" w:cs="Arial"/>
          <w:sz w:val="24"/>
          <w:szCs w:val="24"/>
          <w:lang w:val="fr-FR"/>
        </w:rPr>
      </w:pPr>
      <w:r w:rsidRPr="00242122">
        <w:rPr>
          <w:rFonts w:ascii="Arial" w:hAnsi="Arial" w:cs="Arial"/>
          <w:sz w:val="24"/>
          <w:szCs w:val="24"/>
          <w:lang w:val="fr-FR"/>
        </w:rPr>
        <w:t>Mai 2021: Bazinul hidrografic Crişul Negru, judeţul Bihor.</w:t>
      </w:r>
    </w:p>
    <w:p w:rsidR="00924A0A" w:rsidRPr="00242122" w:rsidRDefault="00924A0A" w:rsidP="00B12004">
      <w:pPr>
        <w:pStyle w:val="ListParagraph"/>
        <w:numPr>
          <w:ilvl w:val="0"/>
          <w:numId w:val="2"/>
        </w:numPr>
        <w:spacing w:after="0" w:line="240" w:lineRule="auto"/>
        <w:jc w:val="both"/>
        <w:rPr>
          <w:rFonts w:ascii="Arial" w:hAnsi="Arial" w:cs="Arial"/>
          <w:sz w:val="24"/>
          <w:szCs w:val="24"/>
          <w:lang w:val="fr-FR"/>
        </w:rPr>
      </w:pPr>
      <w:r w:rsidRPr="00242122">
        <w:rPr>
          <w:rFonts w:ascii="Arial" w:hAnsi="Arial" w:cs="Arial"/>
          <w:sz w:val="24"/>
          <w:szCs w:val="24"/>
          <w:lang w:val="fr-FR"/>
        </w:rPr>
        <w:t>Iunie 2021: Bazinul hidrografic al Putnei, judeţul Vrancea.</w:t>
      </w:r>
    </w:p>
    <w:p w:rsidR="00924A0A" w:rsidRPr="00242122" w:rsidRDefault="00924A0A" w:rsidP="00B12004">
      <w:pPr>
        <w:pStyle w:val="ListParagraph"/>
        <w:numPr>
          <w:ilvl w:val="0"/>
          <w:numId w:val="2"/>
        </w:numPr>
        <w:spacing w:after="0" w:line="240" w:lineRule="auto"/>
        <w:jc w:val="both"/>
        <w:rPr>
          <w:rFonts w:ascii="Arial" w:hAnsi="Arial" w:cs="Arial"/>
          <w:sz w:val="24"/>
          <w:szCs w:val="24"/>
          <w:lang w:val="fr-FR"/>
        </w:rPr>
      </w:pPr>
      <w:r w:rsidRPr="00242122">
        <w:rPr>
          <w:rFonts w:ascii="Arial" w:hAnsi="Arial" w:cs="Arial"/>
          <w:sz w:val="24"/>
          <w:szCs w:val="24"/>
          <w:lang w:val="fr-FR"/>
        </w:rPr>
        <w:t>Iulie 2021: Bazinele hidrografice Ocoliş şi Abrud (afluenţi ai râului Arieş), judeţul Alba; bazinul superior al râului Bârlad, judeţele: Neamţ, Iaşi şi Vaslui; Topoliţa şi Agapia, afluenţi ai râului Moldova, judeţul Neamţ.</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Aceste fenomene hidrologice periculoase au fost generate de precipitaţii deosebit de însemnate cantitativ, cu un caracter puternic torenţial, cantităţile de precipitaţii cumulate fiind cuprinse în general între 100 - 200 mm. Debitele maxime înregistrate în secţiunile staţiilor hidrometrice, respectiv debitele maxime reconstituite (în situaţiile când amploarea viiturilor nu a făcut posibilă înregistrarea valorilor maxime, în unele situaţii fiind distruse instalaţiile şi echipamentele hidrometrice de monitorizare), au avut în general valori cu o probabilitate medie de depăşire cuprinsă între 5% – 10% la nivelul suprafeţelor bazinale medii şi mari, iar la nivelul bazinelor hidrografice mici cele mai severe viituri au produs debite maxime cu o probabilitate medie de depăşire cuprinsă între 0.1% – 2%.</w:t>
      </w:r>
    </w:p>
    <w:p w:rsidR="00924A0A" w:rsidRPr="00242122" w:rsidRDefault="00924A0A" w:rsidP="00924A0A">
      <w:pPr>
        <w:spacing w:after="0" w:line="240" w:lineRule="auto"/>
        <w:ind w:firstLine="720"/>
        <w:jc w:val="both"/>
        <w:rPr>
          <w:rFonts w:ascii="Arial" w:hAnsi="Arial" w:cs="Arial"/>
          <w:sz w:val="24"/>
          <w:szCs w:val="24"/>
        </w:rPr>
      </w:pPr>
    </w:p>
    <w:p w:rsidR="00924A0A" w:rsidRPr="00242122" w:rsidRDefault="00924A0A" w:rsidP="00924A0A">
      <w:pPr>
        <w:spacing w:after="0" w:line="240" w:lineRule="auto"/>
        <w:ind w:firstLine="720"/>
        <w:jc w:val="both"/>
        <w:rPr>
          <w:rFonts w:ascii="Arial" w:hAnsi="Arial" w:cs="Arial"/>
          <w:b/>
          <w:sz w:val="24"/>
          <w:szCs w:val="24"/>
        </w:rPr>
      </w:pPr>
      <w:r w:rsidRPr="00242122">
        <w:rPr>
          <w:rFonts w:ascii="Arial" w:hAnsi="Arial" w:cs="Arial"/>
          <w:b/>
          <w:sz w:val="24"/>
          <w:szCs w:val="24"/>
        </w:rPr>
        <w:t>II) FLUVIUL DUNĂREA</w:t>
      </w:r>
    </w:p>
    <w:p w:rsidR="00924A0A" w:rsidRPr="00242122" w:rsidRDefault="00924A0A" w:rsidP="00924A0A">
      <w:pPr>
        <w:suppressAutoHyphens/>
        <w:spacing w:after="0" w:line="240" w:lineRule="auto"/>
        <w:ind w:firstLine="720"/>
        <w:jc w:val="both"/>
        <w:rPr>
          <w:rFonts w:ascii="Arial" w:hAnsi="Arial" w:cs="Arial"/>
          <w:sz w:val="24"/>
          <w:szCs w:val="24"/>
          <w:lang w:eastAsia="zh-CN"/>
        </w:rPr>
      </w:pPr>
    </w:p>
    <w:p w:rsidR="00924A0A" w:rsidRPr="00242122" w:rsidRDefault="00924A0A" w:rsidP="00924A0A">
      <w:pPr>
        <w:suppressAutoHyphens/>
        <w:spacing w:after="0" w:line="240" w:lineRule="auto"/>
        <w:ind w:firstLine="720"/>
        <w:jc w:val="both"/>
        <w:rPr>
          <w:rFonts w:ascii="Arial" w:hAnsi="Arial" w:cs="Arial"/>
          <w:sz w:val="24"/>
          <w:szCs w:val="24"/>
          <w:lang w:eastAsia="zh-CN"/>
        </w:rPr>
      </w:pPr>
      <w:r w:rsidRPr="00242122">
        <w:rPr>
          <w:rFonts w:ascii="Arial" w:hAnsi="Arial" w:cs="Arial"/>
          <w:sz w:val="24"/>
          <w:szCs w:val="24"/>
          <w:lang w:eastAsia="zh-CN"/>
        </w:rPr>
        <w:t xml:space="preserve">În cursul anului 2021, debitele medii lunare înregistrate pe Dunăre la intrarea în ţară (secţiunea Baziaş) s-au situat peste mediile multianuale lunare în lunile ianuarie şi </w:t>
      </w:r>
      <w:r w:rsidRPr="00242122">
        <w:rPr>
          <w:rFonts w:ascii="Arial" w:hAnsi="Arial" w:cs="Arial"/>
          <w:sz w:val="24"/>
          <w:szCs w:val="24"/>
          <w:lang w:eastAsia="zh-CN"/>
        </w:rPr>
        <w:lastRenderedPageBreak/>
        <w:t xml:space="preserve">februarie şi sub normalele lunare, cu valori cuprinse între 67-93% din mediile multianuale lunare în  intervalul martie - decembrie 2021. </w:t>
      </w:r>
    </w:p>
    <w:p w:rsidR="00924A0A" w:rsidRPr="00242122" w:rsidRDefault="00924A0A" w:rsidP="00924A0A">
      <w:pPr>
        <w:suppressAutoHyphens/>
        <w:spacing w:after="0" w:line="240" w:lineRule="auto"/>
        <w:ind w:firstLine="720"/>
        <w:jc w:val="both"/>
        <w:rPr>
          <w:rFonts w:ascii="Arial" w:hAnsi="Arial" w:cs="Arial"/>
          <w:bCs/>
          <w:sz w:val="24"/>
          <w:szCs w:val="24"/>
        </w:rPr>
      </w:pPr>
      <w:r w:rsidRPr="00242122">
        <w:rPr>
          <w:rFonts w:ascii="Arial" w:hAnsi="Arial" w:cs="Arial"/>
          <w:sz w:val="24"/>
          <w:szCs w:val="24"/>
        </w:rPr>
        <w:t xml:space="preserve">În </w:t>
      </w:r>
      <w:r w:rsidRPr="00242122">
        <w:rPr>
          <w:rFonts w:ascii="Arial" w:hAnsi="Arial" w:cs="Arial"/>
          <w:b/>
          <w:i/>
          <w:iCs/>
          <w:sz w:val="24"/>
          <w:szCs w:val="24"/>
        </w:rPr>
        <w:t xml:space="preserve">Figurile II.1.1.3.24 - II.1.1.3.25 </w:t>
      </w:r>
      <w:r w:rsidRPr="00242122">
        <w:rPr>
          <w:rFonts w:ascii="Arial" w:hAnsi="Arial" w:cs="Arial"/>
          <w:bCs/>
          <w:sz w:val="24"/>
          <w:szCs w:val="24"/>
        </w:rPr>
        <w:t>este prezentată e</w:t>
      </w:r>
      <w:r w:rsidRPr="00242122">
        <w:rPr>
          <w:rFonts w:ascii="Arial" w:hAnsi="Arial" w:cs="Arial"/>
          <w:iCs/>
          <w:sz w:val="24"/>
          <w:szCs w:val="24"/>
        </w:rPr>
        <w:t>voluţia debitelor medii, maxime şi minime lunare pe Dunăre, la intrarea în ţară</w:t>
      </w:r>
      <w:r w:rsidRPr="00242122">
        <w:rPr>
          <w:rFonts w:ascii="Arial" w:hAnsi="Arial" w:cs="Arial"/>
          <w:bCs/>
          <w:sz w:val="24"/>
          <w:szCs w:val="24"/>
        </w:rPr>
        <w:t>.</w:t>
      </w:r>
    </w:p>
    <w:p w:rsidR="00924A0A" w:rsidRPr="00242122" w:rsidRDefault="00924A0A" w:rsidP="00924A0A">
      <w:pPr>
        <w:suppressAutoHyphens/>
        <w:spacing w:line="240" w:lineRule="auto"/>
        <w:jc w:val="center"/>
        <w:rPr>
          <w:rFonts w:ascii="Arial" w:hAnsi="Arial" w:cs="Arial"/>
          <w:bCs/>
          <w:sz w:val="24"/>
          <w:szCs w:val="24"/>
        </w:rPr>
      </w:pPr>
      <w:r w:rsidRPr="00242122">
        <w:rPr>
          <w:rFonts w:ascii="Arial" w:hAnsi="Arial" w:cs="Arial"/>
          <w:noProof/>
          <w:sz w:val="24"/>
          <w:szCs w:val="24"/>
          <w:lang w:eastAsia="ro-RO"/>
        </w:rPr>
        <w:drawing>
          <wp:inline distT="0" distB="0" distL="0" distR="0" wp14:anchorId="1723BD66" wp14:editId="5125B856">
            <wp:extent cx="4429125" cy="2340610"/>
            <wp:effectExtent l="0" t="0" r="9525"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29125" cy="2340610"/>
                    </a:xfrm>
                    <a:prstGeom prst="rect">
                      <a:avLst/>
                    </a:prstGeom>
                    <a:noFill/>
                    <a:ln>
                      <a:noFill/>
                    </a:ln>
                  </pic:spPr>
                </pic:pic>
              </a:graphicData>
            </a:graphic>
          </wp:inline>
        </w:drawing>
      </w:r>
    </w:p>
    <w:p w:rsidR="00924A0A" w:rsidRPr="00242122" w:rsidRDefault="00924A0A" w:rsidP="00924A0A">
      <w:pPr>
        <w:spacing w:after="120" w:line="240" w:lineRule="auto"/>
        <w:jc w:val="center"/>
        <w:rPr>
          <w:rFonts w:ascii="Arial" w:hAnsi="Arial" w:cs="Arial"/>
          <w:i/>
          <w:sz w:val="24"/>
          <w:szCs w:val="24"/>
        </w:rPr>
      </w:pPr>
      <w:r w:rsidRPr="00242122">
        <w:rPr>
          <w:rFonts w:ascii="Arial" w:hAnsi="Arial" w:cs="Arial"/>
          <w:b/>
          <w:i/>
          <w:iCs/>
          <w:sz w:val="24"/>
          <w:szCs w:val="24"/>
        </w:rPr>
        <w:t>Figura II.1.1.3.24</w:t>
      </w:r>
      <w:r w:rsidRPr="00242122">
        <w:rPr>
          <w:rFonts w:ascii="Arial" w:hAnsi="Arial" w:cs="Arial"/>
          <w:i/>
          <w:sz w:val="24"/>
          <w:szCs w:val="24"/>
        </w:rPr>
        <w:t>: Evoluţia debitelor medii lunare pe Dunăre, la intrarea în ţară, în anul 2021</w:t>
      </w:r>
    </w:p>
    <w:p w:rsidR="00924A0A" w:rsidRPr="00242122" w:rsidRDefault="00924A0A" w:rsidP="00924A0A">
      <w:pPr>
        <w:spacing w:before="240" w:after="120" w:line="240" w:lineRule="auto"/>
        <w:jc w:val="center"/>
        <w:rPr>
          <w:rFonts w:ascii="Arial" w:hAnsi="Arial" w:cs="Arial"/>
          <w:sz w:val="24"/>
          <w:szCs w:val="24"/>
        </w:rPr>
      </w:pPr>
      <w:r w:rsidRPr="00242122">
        <w:rPr>
          <w:rFonts w:ascii="Arial" w:hAnsi="Arial" w:cs="Arial"/>
          <w:noProof/>
          <w:sz w:val="24"/>
          <w:szCs w:val="24"/>
          <w:lang w:eastAsia="ro-RO"/>
        </w:rPr>
        <w:drawing>
          <wp:inline distT="0" distB="0" distL="0" distR="0" wp14:anchorId="2F1DAF1F" wp14:editId="20D3FB66">
            <wp:extent cx="4613910" cy="221488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13910" cy="2214880"/>
                    </a:xfrm>
                    <a:prstGeom prst="rect">
                      <a:avLst/>
                    </a:prstGeom>
                    <a:noFill/>
                    <a:ln>
                      <a:noFill/>
                    </a:ln>
                  </pic:spPr>
                </pic:pic>
              </a:graphicData>
            </a:graphic>
          </wp:inline>
        </w:drawing>
      </w:r>
    </w:p>
    <w:p w:rsidR="00924A0A" w:rsidRPr="00242122" w:rsidRDefault="00924A0A" w:rsidP="00924A0A">
      <w:pPr>
        <w:spacing w:after="0" w:line="240" w:lineRule="auto"/>
        <w:jc w:val="center"/>
        <w:rPr>
          <w:rFonts w:ascii="Arial" w:hAnsi="Arial" w:cs="Arial"/>
          <w:i/>
          <w:sz w:val="24"/>
          <w:szCs w:val="24"/>
        </w:rPr>
      </w:pPr>
      <w:r w:rsidRPr="00242122">
        <w:rPr>
          <w:rFonts w:ascii="Arial" w:hAnsi="Arial" w:cs="Arial"/>
          <w:b/>
          <w:i/>
          <w:iCs/>
          <w:sz w:val="24"/>
          <w:szCs w:val="24"/>
        </w:rPr>
        <w:t xml:space="preserve">Figura II.1.1.3.25: </w:t>
      </w:r>
      <w:r w:rsidRPr="00242122">
        <w:rPr>
          <w:rFonts w:ascii="Arial" w:hAnsi="Arial" w:cs="Arial"/>
          <w:i/>
          <w:sz w:val="24"/>
          <w:szCs w:val="24"/>
        </w:rPr>
        <w:t>Evoluţia debitelor maxime şi minime lunare înregistrate pe Dunăre, la intrarea în ţară, ȋn anul 2021</w:t>
      </w:r>
    </w:p>
    <w:p w:rsidR="00924A0A" w:rsidRPr="00242122" w:rsidRDefault="00924A0A" w:rsidP="00924A0A">
      <w:pPr>
        <w:suppressAutoHyphens/>
        <w:spacing w:after="0" w:line="240" w:lineRule="auto"/>
        <w:ind w:firstLine="720"/>
        <w:jc w:val="both"/>
        <w:rPr>
          <w:rFonts w:ascii="Arial" w:hAnsi="Arial" w:cs="Arial"/>
          <w:sz w:val="24"/>
          <w:szCs w:val="24"/>
          <w:lang w:eastAsia="zh-CN"/>
        </w:rPr>
      </w:pPr>
    </w:p>
    <w:p w:rsidR="00924A0A" w:rsidRPr="00242122" w:rsidRDefault="00924A0A" w:rsidP="00924A0A">
      <w:pPr>
        <w:suppressAutoHyphens/>
        <w:spacing w:after="0" w:line="240" w:lineRule="auto"/>
        <w:ind w:firstLine="720"/>
        <w:jc w:val="both"/>
        <w:rPr>
          <w:rFonts w:ascii="Arial" w:hAnsi="Arial" w:cs="Arial"/>
          <w:sz w:val="24"/>
          <w:szCs w:val="24"/>
          <w:lang w:eastAsia="zh-CN"/>
        </w:rPr>
      </w:pPr>
      <w:r w:rsidRPr="00242122">
        <w:rPr>
          <w:rFonts w:ascii="Arial" w:hAnsi="Arial" w:cs="Arial"/>
          <w:sz w:val="24"/>
          <w:szCs w:val="24"/>
          <w:lang w:eastAsia="zh-CN"/>
        </w:rPr>
        <w:t>Valoarea maximă a debitului Dunării la intrarea în ţară a fost de 10500 m</w:t>
      </w:r>
      <w:r w:rsidRPr="00242122">
        <w:rPr>
          <w:rFonts w:ascii="Arial" w:hAnsi="Arial" w:cs="Arial"/>
          <w:sz w:val="24"/>
          <w:szCs w:val="24"/>
          <w:vertAlign w:val="superscript"/>
          <w:lang w:eastAsia="zh-CN"/>
        </w:rPr>
        <w:t>3</w:t>
      </w:r>
      <w:r w:rsidRPr="00242122">
        <w:rPr>
          <w:rFonts w:ascii="Arial" w:hAnsi="Arial" w:cs="Arial"/>
          <w:sz w:val="24"/>
          <w:szCs w:val="24"/>
          <w:lang w:eastAsia="zh-CN"/>
        </w:rPr>
        <w:t xml:space="preserve">/s în data de 15 februarie 2021, iar valoarea minimă a fost de 2500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data de 22 septembrie 2021</w:t>
      </w:r>
      <w:r w:rsidRPr="00242122">
        <w:rPr>
          <w:rFonts w:ascii="Arial" w:hAnsi="Arial" w:cs="Arial"/>
          <w:sz w:val="24"/>
          <w:szCs w:val="24"/>
          <w:lang w:eastAsia="zh-CN"/>
        </w:rPr>
        <w:t>.</w:t>
      </w:r>
    </w:p>
    <w:p w:rsidR="00924A0A" w:rsidRPr="00242122" w:rsidRDefault="00924A0A" w:rsidP="00924A0A">
      <w:pPr>
        <w:suppressAutoHyphens/>
        <w:spacing w:after="0" w:line="240" w:lineRule="auto"/>
        <w:ind w:firstLine="720"/>
        <w:jc w:val="both"/>
        <w:rPr>
          <w:rFonts w:ascii="Arial" w:hAnsi="Arial" w:cs="Arial"/>
          <w:sz w:val="24"/>
          <w:szCs w:val="24"/>
          <w:lang w:eastAsia="zh-CN"/>
        </w:rPr>
      </w:pPr>
      <w:r w:rsidRPr="00242122">
        <w:rPr>
          <w:rFonts w:ascii="Arial" w:hAnsi="Arial" w:cs="Arial"/>
          <w:sz w:val="24"/>
          <w:szCs w:val="24"/>
          <w:lang w:eastAsia="zh-CN"/>
        </w:rPr>
        <w:t>Analizând evoluţia debitelor minime din acest interval, se constată o tendinţă crescătoare în intervalul ianuarie – februarie 2021 şi ȋn luna decembrie şi descrescătoare ȋn intervalul martie – noiembrie 2021. În ceea ce priveşte debitele maxime, acestea au prezentat o evoluţie crescătoare în intervalul ianuarie – februarie 2021 şi ȋn luna mai şi ȋn intervalul noiembrie - decembrie 2021 şi descrescătoare ȋn intervalele martie – aprilie şi iunie – octombrie 2021.</w:t>
      </w:r>
    </w:p>
    <w:p w:rsidR="00924A0A" w:rsidRPr="00242122" w:rsidRDefault="00924A0A" w:rsidP="00924A0A">
      <w:pPr>
        <w:suppressAutoHyphens/>
        <w:spacing w:line="240" w:lineRule="auto"/>
        <w:ind w:firstLine="720"/>
        <w:jc w:val="both"/>
        <w:rPr>
          <w:rFonts w:ascii="Arial" w:hAnsi="Arial" w:cs="Arial"/>
          <w:sz w:val="24"/>
          <w:szCs w:val="24"/>
          <w:lang w:eastAsia="zh-CN"/>
        </w:rPr>
      </w:pPr>
    </w:p>
    <w:p w:rsidR="00924A0A" w:rsidRPr="00242122" w:rsidRDefault="00924A0A" w:rsidP="00924A0A">
      <w:pPr>
        <w:spacing w:after="0" w:line="240" w:lineRule="auto"/>
        <w:jc w:val="both"/>
        <w:rPr>
          <w:rFonts w:ascii="Arial" w:hAnsi="Arial" w:cs="Arial"/>
          <w:b/>
          <w:sz w:val="24"/>
          <w:szCs w:val="24"/>
        </w:rPr>
      </w:pPr>
      <w:r w:rsidRPr="00242122">
        <w:rPr>
          <w:rFonts w:ascii="Arial" w:hAnsi="Arial" w:cs="Arial"/>
          <w:b/>
          <w:sz w:val="24"/>
          <w:szCs w:val="24"/>
        </w:rPr>
        <w:t>Caracterizarea regimului hidrologic al Dunării în sezonul de iarnă 2021</w:t>
      </w:r>
    </w:p>
    <w:p w:rsidR="00924A0A" w:rsidRPr="00242122" w:rsidRDefault="00924A0A" w:rsidP="00924A0A">
      <w:pPr>
        <w:spacing w:after="0" w:line="240" w:lineRule="auto"/>
        <w:ind w:firstLine="720"/>
        <w:jc w:val="both"/>
        <w:rPr>
          <w:rFonts w:ascii="Arial" w:hAnsi="Arial" w:cs="Arial"/>
          <w:sz w:val="24"/>
          <w:szCs w:val="24"/>
          <w:lang w:eastAsia="x-none"/>
        </w:rPr>
      </w:pPr>
    </w:p>
    <w:p w:rsidR="00924A0A" w:rsidRPr="00242122" w:rsidRDefault="00924A0A" w:rsidP="00924A0A">
      <w:pPr>
        <w:pStyle w:val="PlainText"/>
        <w:ind w:firstLine="720"/>
        <w:jc w:val="both"/>
        <w:rPr>
          <w:rFonts w:ascii="Arial" w:hAnsi="Arial" w:cs="Arial"/>
          <w:sz w:val="24"/>
          <w:szCs w:val="24"/>
          <w:lang w:val="ro-RO"/>
        </w:rPr>
      </w:pPr>
      <w:r w:rsidRPr="00242122">
        <w:rPr>
          <w:rFonts w:ascii="Arial" w:hAnsi="Arial" w:cs="Arial"/>
          <w:sz w:val="24"/>
          <w:szCs w:val="24"/>
          <w:lang w:val="ro-RO"/>
        </w:rPr>
        <w:t>În sezonul de iarnă 2021 debitele medii la intrarea în ţară (secţiunea Baziaş) s-au situat peste mediile lunare multianuale, valori cuprinse între 131-170% din normalele lunare.</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luna </w:t>
      </w:r>
      <w:r w:rsidRPr="00242122">
        <w:rPr>
          <w:rFonts w:ascii="Arial" w:hAnsi="Arial" w:cs="Arial"/>
          <w:b/>
          <w:sz w:val="24"/>
          <w:szCs w:val="24"/>
          <w:lang w:eastAsia="x-none"/>
        </w:rPr>
        <w:t xml:space="preserve">ianuarie </w:t>
      </w:r>
      <w:r w:rsidRPr="00242122">
        <w:rPr>
          <w:rFonts w:ascii="Arial" w:hAnsi="Arial" w:cs="Arial"/>
          <w:sz w:val="24"/>
          <w:szCs w:val="24"/>
          <w:lang w:eastAsia="x-none"/>
        </w:rPr>
        <w:t>2021 d</w:t>
      </w:r>
      <w:r w:rsidRPr="00242122">
        <w:rPr>
          <w:rFonts w:ascii="Arial" w:hAnsi="Arial" w:cs="Arial"/>
          <w:sz w:val="24"/>
          <w:szCs w:val="24"/>
          <w:lang w:eastAsia="zh-CN"/>
        </w:rPr>
        <w:t xml:space="preserve">ebitele la intrarea în ţară (secţiunea Baziaş) au fost în creştere de la valoarea de 5400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 xml:space="preserve">/s în prima zi a lunii la valoarea maximă lunară de </w:t>
      </w:r>
      <w:r w:rsidRPr="00242122">
        <w:rPr>
          <w:rFonts w:ascii="Arial" w:hAnsi="Arial" w:cs="Arial"/>
          <w:sz w:val="24"/>
          <w:szCs w:val="24"/>
          <w:lang w:eastAsia="x-none"/>
        </w:rPr>
        <w:lastRenderedPageBreak/>
        <w:t>7700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data de 14 ianuarie, în scădere până la valoarea minimă lunară de 5000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înregistrată în zilele de 24 şi 25 ianuarie, apoi din nou în creştere până la valoarea de 7500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 xml:space="preserve">/s în ultima zi a lunii.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rPr>
        <w:t xml:space="preserve">În luna </w:t>
      </w:r>
      <w:r w:rsidRPr="00242122">
        <w:rPr>
          <w:rFonts w:ascii="Arial" w:hAnsi="Arial" w:cs="Arial"/>
          <w:b/>
          <w:sz w:val="24"/>
          <w:szCs w:val="24"/>
        </w:rPr>
        <w:t>februarie</w:t>
      </w:r>
      <w:r w:rsidRPr="00242122">
        <w:rPr>
          <w:rFonts w:ascii="Arial" w:hAnsi="Arial" w:cs="Arial"/>
          <w:sz w:val="24"/>
          <w:szCs w:val="24"/>
        </w:rPr>
        <w:t xml:space="preserve"> 2021 d</w:t>
      </w:r>
      <w:r w:rsidRPr="00242122">
        <w:rPr>
          <w:rFonts w:ascii="Arial" w:hAnsi="Arial" w:cs="Arial"/>
          <w:sz w:val="24"/>
          <w:szCs w:val="24"/>
          <w:lang w:eastAsia="x-none"/>
        </w:rPr>
        <w:t xml:space="preserve">ebitele la intrarea în ţară (secţiunea Baziaş) </w:t>
      </w:r>
      <w:r w:rsidRPr="00242122">
        <w:rPr>
          <w:rFonts w:ascii="Arial" w:hAnsi="Arial" w:cs="Arial"/>
          <w:sz w:val="24"/>
          <w:szCs w:val="24"/>
          <w:lang w:eastAsia="zh-CN"/>
        </w:rPr>
        <w:t xml:space="preserve">au fost în creştere de la valoarea de 7700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prima zi a lunii la valoarea maximă lunară de 10500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data de 15 februarie, apoi în scădere până la valoarea minimă lunară de 7200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 xml:space="preserve">/s înregistrată în ultima zi a lunii.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Începând din data de 16 februarie, pe sectorul românesc al Dunării, </w:t>
      </w:r>
      <w:r w:rsidRPr="00242122">
        <w:rPr>
          <w:rFonts w:ascii="Arial" w:hAnsi="Arial" w:cs="Arial"/>
          <w:sz w:val="24"/>
          <w:szCs w:val="24"/>
          <w:lang w:val="x-none" w:eastAsia="x-none"/>
        </w:rPr>
        <w:t>nivelu</w:t>
      </w:r>
      <w:r w:rsidRPr="00242122">
        <w:rPr>
          <w:rFonts w:ascii="Arial" w:hAnsi="Arial" w:cs="Arial"/>
          <w:sz w:val="24"/>
          <w:szCs w:val="24"/>
          <w:lang w:eastAsia="x-none"/>
        </w:rPr>
        <w:t xml:space="preserve">rile </w:t>
      </w:r>
      <w:r w:rsidRPr="00242122">
        <w:rPr>
          <w:rFonts w:ascii="Arial" w:hAnsi="Arial" w:cs="Arial"/>
          <w:sz w:val="24"/>
          <w:szCs w:val="24"/>
          <w:lang w:val="x-none" w:eastAsia="x-none"/>
        </w:rPr>
        <w:t>s</w:t>
      </w:r>
      <w:r w:rsidRPr="00242122">
        <w:rPr>
          <w:rFonts w:ascii="Arial" w:hAnsi="Arial" w:cs="Arial"/>
          <w:sz w:val="24"/>
          <w:szCs w:val="24"/>
          <w:lang w:eastAsia="x-none"/>
        </w:rPr>
        <w:t>-au s</w:t>
      </w:r>
      <w:r w:rsidRPr="00242122">
        <w:rPr>
          <w:rFonts w:ascii="Arial" w:hAnsi="Arial" w:cs="Arial"/>
          <w:sz w:val="24"/>
          <w:szCs w:val="24"/>
          <w:lang w:val="x-none" w:eastAsia="x-none"/>
        </w:rPr>
        <w:t>itua</w:t>
      </w:r>
      <w:r w:rsidRPr="00242122">
        <w:rPr>
          <w:rFonts w:ascii="Arial" w:hAnsi="Arial" w:cs="Arial"/>
          <w:sz w:val="24"/>
          <w:szCs w:val="24"/>
          <w:lang w:eastAsia="x-none"/>
        </w:rPr>
        <w:t>t</w:t>
      </w:r>
      <w:r w:rsidRPr="00242122">
        <w:rPr>
          <w:rFonts w:ascii="Arial" w:hAnsi="Arial" w:cs="Arial"/>
          <w:sz w:val="24"/>
          <w:szCs w:val="24"/>
          <w:lang w:val="x-none" w:eastAsia="x-none"/>
        </w:rPr>
        <w:t xml:space="preserve"> peste </w:t>
      </w:r>
      <w:r w:rsidRPr="00242122">
        <w:rPr>
          <w:rFonts w:ascii="Arial" w:hAnsi="Arial" w:cs="Arial"/>
          <w:bCs/>
          <w:sz w:val="24"/>
          <w:szCs w:val="24"/>
          <w:lang w:val="x-none" w:eastAsia="x-none"/>
        </w:rPr>
        <w:t>FAZA I DE APĂRARE</w:t>
      </w:r>
      <w:r w:rsidRPr="00242122">
        <w:rPr>
          <w:rFonts w:ascii="Arial" w:hAnsi="Arial" w:cs="Arial"/>
          <w:bCs/>
          <w:sz w:val="24"/>
          <w:szCs w:val="24"/>
          <w:lang w:eastAsia="x-none"/>
        </w:rPr>
        <w:t>,</w:t>
      </w:r>
      <w:r w:rsidRPr="00242122">
        <w:rPr>
          <w:rFonts w:ascii="Arial" w:hAnsi="Arial" w:cs="Arial"/>
          <w:sz w:val="24"/>
          <w:szCs w:val="24"/>
          <w:lang w:val="x-none" w:eastAsia="x-none"/>
        </w:rPr>
        <w:t xml:space="preserve"> </w:t>
      </w:r>
      <w:r w:rsidRPr="00242122">
        <w:rPr>
          <w:rFonts w:ascii="Arial" w:hAnsi="Arial" w:cs="Arial"/>
          <w:sz w:val="24"/>
          <w:szCs w:val="24"/>
          <w:lang w:eastAsia="x-none"/>
        </w:rPr>
        <w:t>l</w:t>
      </w:r>
      <w:r w:rsidRPr="00242122">
        <w:rPr>
          <w:rFonts w:ascii="Arial" w:hAnsi="Arial" w:cs="Arial"/>
          <w:sz w:val="24"/>
          <w:szCs w:val="24"/>
          <w:lang w:val="x-none" w:eastAsia="x-none"/>
        </w:rPr>
        <w:t>a staţi</w:t>
      </w:r>
      <w:r w:rsidRPr="00242122">
        <w:rPr>
          <w:rFonts w:ascii="Arial" w:hAnsi="Arial" w:cs="Arial"/>
          <w:sz w:val="24"/>
          <w:szCs w:val="24"/>
          <w:lang w:eastAsia="x-none"/>
        </w:rPr>
        <w:t>ile h</w:t>
      </w:r>
      <w:r w:rsidRPr="00242122">
        <w:rPr>
          <w:rFonts w:ascii="Arial" w:hAnsi="Arial" w:cs="Arial"/>
          <w:sz w:val="24"/>
          <w:szCs w:val="24"/>
          <w:lang w:val="x-none" w:eastAsia="x-none"/>
        </w:rPr>
        <w:t>idrometric</w:t>
      </w:r>
      <w:r w:rsidRPr="00242122">
        <w:rPr>
          <w:rFonts w:ascii="Arial" w:hAnsi="Arial" w:cs="Arial"/>
          <w:sz w:val="24"/>
          <w:szCs w:val="24"/>
          <w:lang w:eastAsia="x-none"/>
        </w:rPr>
        <w:t>e:</w:t>
      </w:r>
      <w:r w:rsidRPr="00242122">
        <w:rPr>
          <w:rFonts w:ascii="Arial" w:hAnsi="Arial" w:cs="Arial"/>
          <w:sz w:val="24"/>
          <w:szCs w:val="24"/>
          <w:lang w:val="x-none" w:eastAsia="x-none"/>
        </w:rPr>
        <w:t xml:space="preserve"> Bechet</w:t>
      </w:r>
      <w:r w:rsidRPr="00242122">
        <w:rPr>
          <w:rFonts w:ascii="Arial" w:hAnsi="Arial" w:cs="Arial"/>
          <w:sz w:val="24"/>
          <w:szCs w:val="24"/>
          <w:lang w:eastAsia="x-none"/>
        </w:rPr>
        <w:t xml:space="preserve"> (intervalul 16</w:t>
      </w:r>
      <w:r w:rsidRPr="00242122">
        <w:rPr>
          <w:rFonts w:ascii="Arial" w:hAnsi="Arial" w:cs="Arial"/>
          <w:sz w:val="24"/>
          <w:szCs w:val="24"/>
          <w:lang w:val="x-none" w:eastAsia="x-none"/>
        </w:rPr>
        <w:t>–</w:t>
      </w:r>
      <w:r w:rsidRPr="00242122">
        <w:rPr>
          <w:rFonts w:ascii="Arial" w:hAnsi="Arial" w:cs="Arial"/>
          <w:sz w:val="24"/>
          <w:szCs w:val="24"/>
          <w:lang w:eastAsia="x-none"/>
        </w:rPr>
        <w:t>21 februarie), Zimnicea (intervalul 17</w:t>
      </w:r>
      <w:r w:rsidRPr="00242122">
        <w:rPr>
          <w:rFonts w:ascii="Arial" w:hAnsi="Arial" w:cs="Arial"/>
          <w:sz w:val="24"/>
          <w:szCs w:val="24"/>
          <w:lang w:val="x-none" w:eastAsia="x-none"/>
        </w:rPr>
        <w:t>–</w:t>
      </w:r>
      <w:r w:rsidRPr="00242122">
        <w:rPr>
          <w:rFonts w:ascii="Arial" w:hAnsi="Arial" w:cs="Arial"/>
          <w:sz w:val="24"/>
          <w:szCs w:val="24"/>
          <w:lang w:eastAsia="x-none"/>
        </w:rPr>
        <w:t>21 februarie), Corabia, Tr. Măgurele (18 februarie) şi Isaccea (21-26 februarie).</w:t>
      </w:r>
    </w:p>
    <w:p w:rsidR="00924A0A" w:rsidRPr="00242122" w:rsidRDefault="00924A0A" w:rsidP="00924A0A">
      <w:pPr>
        <w:spacing w:after="0" w:line="240" w:lineRule="auto"/>
        <w:ind w:firstLine="720"/>
        <w:jc w:val="both"/>
        <w:rPr>
          <w:rFonts w:ascii="Arial" w:hAnsi="Arial" w:cs="Arial"/>
          <w:sz w:val="24"/>
          <w:szCs w:val="24"/>
        </w:rPr>
      </w:pPr>
      <w:r w:rsidRPr="00242122">
        <w:rPr>
          <w:rFonts w:ascii="Arial" w:hAnsi="Arial" w:cs="Arial"/>
          <w:sz w:val="24"/>
          <w:szCs w:val="24"/>
        </w:rPr>
        <w:t>V</w:t>
      </w:r>
      <w:r w:rsidRPr="00242122">
        <w:rPr>
          <w:rFonts w:ascii="Arial" w:hAnsi="Arial" w:cs="Arial"/>
          <w:sz w:val="24"/>
          <w:szCs w:val="24"/>
          <w:lang w:eastAsia="x-none"/>
        </w:rPr>
        <w:t xml:space="preserve">aloarea debitului maxim înregistrată </w:t>
      </w:r>
      <w:r w:rsidRPr="00242122">
        <w:rPr>
          <w:rFonts w:ascii="Arial" w:hAnsi="Arial" w:cs="Arial"/>
          <w:sz w:val="24"/>
          <w:szCs w:val="24"/>
          <w:lang w:eastAsia="zh-CN"/>
        </w:rPr>
        <w:t xml:space="preserve">pe Dunăre la intrarea în ţară </w:t>
      </w:r>
      <w:r w:rsidRPr="00242122">
        <w:rPr>
          <w:rFonts w:ascii="Arial" w:hAnsi="Arial" w:cs="Arial"/>
          <w:iCs/>
          <w:sz w:val="24"/>
          <w:szCs w:val="24"/>
          <w:lang w:eastAsia="zh-CN"/>
        </w:rPr>
        <w:t>(secţiunea Baziaş)</w:t>
      </w:r>
      <w:r w:rsidRPr="00242122">
        <w:rPr>
          <w:rFonts w:ascii="Arial" w:hAnsi="Arial" w:cs="Arial"/>
          <w:sz w:val="24"/>
          <w:szCs w:val="24"/>
          <w:lang w:eastAsia="x-none"/>
        </w:rPr>
        <w:t xml:space="preserve"> în luna februarie 2021 (10500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 xml:space="preserve">/s) este apropiată de valorile maxime înregistrate în această lună şi reprezintă a şasea valoare </w:t>
      </w:r>
      <w:r w:rsidRPr="00242122">
        <w:rPr>
          <w:rFonts w:ascii="Arial" w:hAnsi="Arial" w:cs="Arial"/>
          <w:sz w:val="24"/>
          <w:szCs w:val="24"/>
        </w:rPr>
        <w:t>din şirul de observaţii, valoarea maximă istorică fiind cea de 11700 m</w:t>
      </w:r>
      <w:r w:rsidRPr="00242122">
        <w:rPr>
          <w:rFonts w:ascii="Arial" w:hAnsi="Arial" w:cs="Arial"/>
          <w:sz w:val="24"/>
          <w:szCs w:val="24"/>
          <w:vertAlign w:val="superscript"/>
        </w:rPr>
        <w:t>3</w:t>
      </w:r>
      <w:r w:rsidRPr="00242122">
        <w:rPr>
          <w:rFonts w:ascii="Arial" w:hAnsi="Arial" w:cs="Arial"/>
          <w:sz w:val="24"/>
          <w:szCs w:val="24"/>
        </w:rPr>
        <w:t>/s din luna februarie 1978.</w:t>
      </w:r>
    </w:p>
    <w:p w:rsidR="00924A0A" w:rsidRPr="00242122" w:rsidRDefault="00924A0A" w:rsidP="00924A0A">
      <w:pPr>
        <w:spacing w:after="0" w:line="240" w:lineRule="auto"/>
        <w:ind w:firstLine="720"/>
        <w:jc w:val="both"/>
        <w:rPr>
          <w:rFonts w:ascii="Arial" w:hAnsi="Arial" w:cs="Arial"/>
          <w:sz w:val="24"/>
          <w:szCs w:val="24"/>
          <w:lang w:val="fr-FR"/>
        </w:rPr>
      </w:pPr>
      <w:r w:rsidRPr="00242122">
        <w:rPr>
          <w:rFonts w:ascii="Arial" w:hAnsi="Arial" w:cs="Arial"/>
          <w:sz w:val="24"/>
          <w:szCs w:val="24"/>
        </w:rPr>
        <w:t>V</w:t>
      </w:r>
      <w:r w:rsidRPr="00242122">
        <w:rPr>
          <w:rFonts w:ascii="Arial" w:hAnsi="Arial" w:cs="Arial"/>
          <w:sz w:val="24"/>
          <w:szCs w:val="24"/>
          <w:lang w:eastAsia="x-none"/>
        </w:rPr>
        <w:t xml:space="preserve">aloarea debitului </w:t>
      </w:r>
      <w:r w:rsidRPr="00242122">
        <w:rPr>
          <w:rFonts w:ascii="Arial" w:hAnsi="Arial" w:cs="Arial"/>
          <w:sz w:val="24"/>
          <w:szCs w:val="24"/>
          <w:lang w:val="fr-FR"/>
        </w:rPr>
        <w:t xml:space="preserve">mediu ȋnregistrat ȋn luna februarie 2021 (9000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/s) este a doua valoare</w:t>
      </w:r>
      <w:r w:rsidRPr="00242122">
        <w:rPr>
          <w:rFonts w:ascii="Arial" w:hAnsi="Arial" w:cs="Arial"/>
          <w:sz w:val="24"/>
          <w:szCs w:val="24"/>
          <w:lang w:val="fr-FR"/>
        </w:rPr>
        <w:t xml:space="preserve"> din şirul de observaţii, cea mai mare fiind de 10000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/s (1978).</w:t>
      </w:r>
    </w:p>
    <w:p w:rsidR="00924A0A" w:rsidRPr="00242122" w:rsidRDefault="00924A0A" w:rsidP="00924A0A">
      <w:pPr>
        <w:spacing w:line="240" w:lineRule="auto"/>
        <w:ind w:firstLine="720"/>
        <w:jc w:val="both"/>
        <w:rPr>
          <w:rFonts w:ascii="Arial" w:hAnsi="Arial" w:cs="Arial"/>
          <w:sz w:val="24"/>
          <w:szCs w:val="24"/>
        </w:rPr>
      </w:pPr>
    </w:p>
    <w:p w:rsidR="00924A0A" w:rsidRPr="00242122" w:rsidRDefault="00924A0A" w:rsidP="00924A0A">
      <w:pPr>
        <w:spacing w:after="0" w:line="240" w:lineRule="auto"/>
        <w:jc w:val="both"/>
        <w:rPr>
          <w:rFonts w:ascii="Arial" w:hAnsi="Arial" w:cs="Arial"/>
          <w:b/>
          <w:sz w:val="24"/>
          <w:szCs w:val="24"/>
        </w:rPr>
      </w:pPr>
      <w:r w:rsidRPr="00242122">
        <w:rPr>
          <w:rFonts w:ascii="Arial" w:hAnsi="Arial" w:cs="Arial"/>
          <w:b/>
          <w:sz w:val="24"/>
          <w:szCs w:val="24"/>
        </w:rPr>
        <w:t>Caracterizarea regimului hidrologic al Dunării în primăvara anului 2021</w:t>
      </w:r>
    </w:p>
    <w:p w:rsidR="00924A0A" w:rsidRPr="00242122" w:rsidRDefault="00924A0A" w:rsidP="00924A0A">
      <w:pPr>
        <w:spacing w:after="0" w:line="240" w:lineRule="auto"/>
        <w:jc w:val="both"/>
        <w:rPr>
          <w:rFonts w:ascii="Arial" w:hAnsi="Arial" w:cs="Arial"/>
          <w:sz w:val="24"/>
          <w:szCs w:val="24"/>
        </w:rPr>
      </w:pPr>
    </w:p>
    <w:p w:rsidR="00924A0A" w:rsidRPr="00242122" w:rsidRDefault="00924A0A" w:rsidP="00924A0A">
      <w:pPr>
        <w:spacing w:after="0" w:line="240" w:lineRule="auto"/>
        <w:ind w:firstLine="720"/>
        <w:jc w:val="both"/>
        <w:rPr>
          <w:rFonts w:ascii="Arial" w:hAnsi="Arial" w:cs="Arial"/>
          <w:sz w:val="24"/>
          <w:szCs w:val="24"/>
          <w:lang w:eastAsia="zh-CN"/>
        </w:rPr>
      </w:pPr>
      <w:r w:rsidRPr="00242122">
        <w:rPr>
          <w:rFonts w:ascii="Arial" w:hAnsi="Arial" w:cs="Arial"/>
          <w:sz w:val="24"/>
          <w:szCs w:val="24"/>
          <w:lang w:eastAsia="zh-CN"/>
        </w:rPr>
        <w:t xml:space="preserve">În sezonul de primăvară 2021 debitele medii înregistrate pe Dunăre la intrarea în ţară (secţiunea Baziaş) au avut valori sub mediile lunare multianuale, </w:t>
      </w:r>
      <w:r w:rsidRPr="00242122">
        <w:rPr>
          <w:rFonts w:ascii="Arial" w:hAnsi="Arial" w:cs="Arial"/>
          <w:sz w:val="24"/>
          <w:szCs w:val="24"/>
          <w:lang w:eastAsia="x-none"/>
        </w:rPr>
        <w:t>cu valori cuprinse între 70-90%  din normalele lunare (</w:t>
      </w:r>
      <w:r w:rsidRPr="00242122">
        <w:rPr>
          <w:rFonts w:ascii="Arial" w:hAnsi="Arial" w:cs="Arial"/>
          <w:b/>
          <w:bCs/>
          <w:i/>
          <w:sz w:val="24"/>
          <w:szCs w:val="24"/>
          <w:lang w:val="it-IT" w:eastAsia="zh-CN"/>
        </w:rPr>
        <w:t>Tabelul</w:t>
      </w:r>
      <w:r w:rsidRPr="00242122">
        <w:rPr>
          <w:rFonts w:ascii="Arial" w:hAnsi="Arial" w:cs="Arial"/>
          <w:b/>
          <w:bCs/>
          <w:i/>
          <w:iCs/>
          <w:sz w:val="24"/>
          <w:szCs w:val="24"/>
        </w:rPr>
        <w:t xml:space="preserve"> II.</w:t>
      </w:r>
      <w:r w:rsidRPr="00242122">
        <w:rPr>
          <w:rFonts w:ascii="Arial" w:hAnsi="Arial" w:cs="Arial"/>
          <w:b/>
          <w:i/>
          <w:iCs/>
          <w:sz w:val="24"/>
          <w:szCs w:val="24"/>
        </w:rPr>
        <w:t>1.1.3.1</w:t>
      </w:r>
      <w:r w:rsidRPr="00242122">
        <w:rPr>
          <w:rFonts w:ascii="Arial" w:hAnsi="Arial" w:cs="Arial"/>
          <w:sz w:val="24"/>
          <w:szCs w:val="24"/>
          <w:lang w:eastAsia="zh-CN"/>
        </w:rPr>
        <w:t>).</w:t>
      </w:r>
    </w:p>
    <w:p w:rsidR="00924A0A" w:rsidRPr="00242122" w:rsidRDefault="00924A0A" w:rsidP="00924A0A">
      <w:pPr>
        <w:spacing w:after="0" w:line="240" w:lineRule="auto"/>
        <w:ind w:firstLine="720"/>
        <w:jc w:val="both"/>
        <w:rPr>
          <w:rFonts w:ascii="Arial" w:hAnsi="Arial" w:cs="Arial"/>
          <w:sz w:val="24"/>
          <w:szCs w:val="24"/>
          <w:lang w:eastAsia="zh-CN"/>
        </w:rPr>
      </w:pPr>
    </w:p>
    <w:p w:rsidR="00924A0A" w:rsidRPr="00242122" w:rsidRDefault="00924A0A" w:rsidP="00924A0A">
      <w:pPr>
        <w:suppressAutoHyphens/>
        <w:spacing w:after="0" w:line="240" w:lineRule="auto"/>
        <w:jc w:val="center"/>
        <w:rPr>
          <w:rFonts w:ascii="Arial" w:hAnsi="Arial" w:cs="Arial"/>
          <w:i/>
          <w:sz w:val="24"/>
          <w:szCs w:val="24"/>
          <w:lang w:val="it-IT" w:eastAsia="zh-CN"/>
        </w:rPr>
      </w:pPr>
      <w:r w:rsidRPr="00242122">
        <w:rPr>
          <w:rFonts w:ascii="Arial" w:hAnsi="Arial" w:cs="Arial"/>
          <w:b/>
          <w:bCs/>
          <w:i/>
          <w:sz w:val="24"/>
          <w:szCs w:val="24"/>
          <w:lang w:val="it-IT" w:eastAsia="zh-CN"/>
        </w:rPr>
        <w:t>Tabelul</w:t>
      </w:r>
      <w:r w:rsidRPr="00242122">
        <w:rPr>
          <w:rFonts w:ascii="Arial" w:hAnsi="Arial" w:cs="Arial"/>
          <w:b/>
          <w:bCs/>
          <w:i/>
          <w:iCs/>
          <w:sz w:val="24"/>
          <w:szCs w:val="24"/>
        </w:rPr>
        <w:t xml:space="preserve"> II.</w:t>
      </w:r>
      <w:r w:rsidRPr="00242122">
        <w:rPr>
          <w:rFonts w:ascii="Arial" w:hAnsi="Arial" w:cs="Arial"/>
          <w:b/>
          <w:i/>
          <w:iCs/>
          <w:sz w:val="24"/>
          <w:szCs w:val="24"/>
        </w:rPr>
        <w:t xml:space="preserve">1.1.3.1: </w:t>
      </w:r>
      <w:r w:rsidRPr="00242122">
        <w:rPr>
          <w:rFonts w:ascii="Arial" w:hAnsi="Arial" w:cs="Arial"/>
          <w:i/>
          <w:sz w:val="24"/>
          <w:szCs w:val="24"/>
          <w:lang w:val="it-IT" w:eastAsia="zh-CN"/>
        </w:rPr>
        <w:t>Valorile caracteristice ale lunilor martie, aprilie şi mai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2"/>
        <w:gridCol w:w="1814"/>
        <w:gridCol w:w="1633"/>
        <w:gridCol w:w="1755"/>
      </w:tblGrid>
      <w:tr w:rsidR="00924A0A" w:rsidRPr="00242122" w:rsidTr="00B8293F">
        <w:trPr>
          <w:trHeight w:val="235"/>
          <w:jc w:val="center"/>
        </w:trPr>
        <w:tc>
          <w:tcPr>
            <w:tcW w:w="2732" w:type="dxa"/>
            <w:vMerge w:val="restart"/>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Valori caracteristice</w:t>
            </w:r>
          </w:p>
        </w:tc>
        <w:tc>
          <w:tcPr>
            <w:tcW w:w="5202" w:type="dxa"/>
            <w:gridSpan w:val="3"/>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Luna</w:t>
            </w:r>
          </w:p>
        </w:tc>
      </w:tr>
      <w:tr w:rsidR="00924A0A" w:rsidRPr="00242122" w:rsidTr="00B8293F">
        <w:trPr>
          <w:trHeight w:val="235"/>
          <w:jc w:val="center"/>
        </w:trPr>
        <w:tc>
          <w:tcPr>
            <w:tcW w:w="2732" w:type="dxa"/>
            <w:vMerge/>
            <w:tcBorders>
              <w:bottom w:val="single" w:sz="4" w:space="0" w:color="auto"/>
            </w:tcBorders>
            <w:shd w:val="clear" w:color="auto" w:fill="auto"/>
            <w:vAlign w:val="center"/>
          </w:tcPr>
          <w:p w:rsidR="00924A0A" w:rsidRPr="00242122" w:rsidRDefault="00924A0A" w:rsidP="00B8293F">
            <w:pPr>
              <w:suppressAutoHyphens/>
              <w:snapToGrid w:val="0"/>
              <w:spacing w:after="0" w:line="240" w:lineRule="auto"/>
              <w:jc w:val="center"/>
              <w:rPr>
                <w:rFonts w:ascii="Arial" w:hAnsi="Arial" w:cs="Arial"/>
                <w:b/>
                <w:sz w:val="24"/>
                <w:szCs w:val="24"/>
                <w:lang w:val="en-US" w:eastAsia="zh-CN"/>
              </w:rPr>
            </w:pPr>
          </w:p>
        </w:tc>
        <w:tc>
          <w:tcPr>
            <w:tcW w:w="1814"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Martie</w:t>
            </w:r>
          </w:p>
        </w:tc>
        <w:tc>
          <w:tcPr>
            <w:tcW w:w="1633"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Aprilie</w:t>
            </w:r>
          </w:p>
        </w:tc>
        <w:tc>
          <w:tcPr>
            <w:tcW w:w="1755"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Mai</w:t>
            </w:r>
          </w:p>
        </w:tc>
      </w:tr>
      <w:tr w:rsidR="00924A0A" w:rsidRPr="00242122" w:rsidTr="00B8293F">
        <w:trPr>
          <w:trHeight w:val="397"/>
          <w:jc w:val="center"/>
        </w:trPr>
        <w:tc>
          <w:tcPr>
            <w:tcW w:w="2732"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 xml:space="preserve">Medii lunare multianuale </w:t>
            </w:r>
          </w:p>
        </w:tc>
        <w:tc>
          <w:tcPr>
            <w:tcW w:w="1814"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6700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633"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7900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755"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7250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r>
      <w:tr w:rsidR="00924A0A" w:rsidRPr="00242122" w:rsidTr="00B8293F">
        <w:trPr>
          <w:trHeight w:val="443"/>
          <w:jc w:val="center"/>
        </w:trPr>
        <w:tc>
          <w:tcPr>
            <w:tcW w:w="2732"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Minime lunare 2021</w:t>
            </w:r>
          </w:p>
        </w:tc>
        <w:tc>
          <w:tcPr>
            <w:tcW w:w="1814"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5500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633"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5000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755"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5000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r>
      <w:tr w:rsidR="00924A0A" w:rsidRPr="00242122" w:rsidTr="00B8293F">
        <w:trPr>
          <w:trHeight w:val="397"/>
          <w:jc w:val="center"/>
        </w:trPr>
        <w:tc>
          <w:tcPr>
            <w:tcW w:w="2732"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Medii lunare 2021</w:t>
            </w:r>
          </w:p>
        </w:tc>
        <w:tc>
          <w:tcPr>
            <w:tcW w:w="1814"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5900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633"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5500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755"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6500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r>
      <w:tr w:rsidR="00924A0A" w:rsidRPr="00242122" w:rsidTr="00B8293F">
        <w:trPr>
          <w:trHeight w:val="397"/>
          <w:jc w:val="center"/>
        </w:trPr>
        <w:tc>
          <w:tcPr>
            <w:tcW w:w="2732"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Maxime lunare 2021</w:t>
            </w:r>
          </w:p>
        </w:tc>
        <w:tc>
          <w:tcPr>
            <w:tcW w:w="1814"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7000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633"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5900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755"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8300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r>
    </w:tbl>
    <w:p w:rsidR="00924A0A" w:rsidRPr="00242122" w:rsidRDefault="00924A0A" w:rsidP="00924A0A">
      <w:pPr>
        <w:spacing w:line="240" w:lineRule="auto"/>
        <w:ind w:firstLine="720"/>
        <w:jc w:val="both"/>
        <w:rPr>
          <w:rFonts w:ascii="Arial" w:hAnsi="Arial" w:cs="Arial"/>
          <w:sz w:val="24"/>
          <w:szCs w:val="24"/>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luna </w:t>
      </w:r>
      <w:r w:rsidRPr="00242122">
        <w:rPr>
          <w:rFonts w:ascii="Arial" w:hAnsi="Arial" w:cs="Arial"/>
          <w:b/>
          <w:sz w:val="24"/>
          <w:szCs w:val="24"/>
          <w:lang w:eastAsia="x-none"/>
        </w:rPr>
        <w:t>martie</w:t>
      </w:r>
      <w:r w:rsidRPr="00242122">
        <w:rPr>
          <w:rFonts w:ascii="Arial" w:hAnsi="Arial" w:cs="Arial"/>
          <w:sz w:val="24"/>
          <w:szCs w:val="24"/>
          <w:lang w:eastAsia="x-none"/>
        </w:rPr>
        <w:t xml:space="preserve"> 2021 debitele la intrarea în ţară (secţiunea Baziaş) </w:t>
      </w:r>
      <w:r w:rsidRPr="00242122">
        <w:rPr>
          <w:rFonts w:ascii="Arial" w:hAnsi="Arial" w:cs="Arial"/>
          <w:sz w:val="24"/>
          <w:szCs w:val="24"/>
          <w:lang w:eastAsia="zh-CN"/>
        </w:rPr>
        <w:t xml:space="preserve">au fost în scădere de la valoarea de 7000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prima zi a lunii (valoarea maximă lunară) până la valoarea de 5200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data de 16 martie, în creştere la valoarea de 6200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înregistrată în data de 24 martie, apoi în scădere până în ultima zi a lunii, la valoarea minimă lunară</w:t>
      </w:r>
      <w:r w:rsidRPr="00242122">
        <w:rPr>
          <w:rFonts w:ascii="Arial" w:hAnsi="Arial" w:cs="Arial"/>
          <w:sz w:val="24"/>
          <w:szCs w:val="24"/>
          <w:lang w:eastAsia="zh-CN"/>
        </w:rPr>
        <w:t xml:space="preserve"> de 5100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/s.</w:t>
      </w:r>
      <w:r w:rsidRPr="00242122">
        <w:rPr>
          <w:rFonts w:ascii="Arial" w:hAnsi="Arial" w:cs="Arial"/>
          <w:sz w:val="24"/>
          <w:szCs w:val="24"/>
          <w:lang w:eastAsia="zh-CN"/>
        </w:rPr>
        <w:t xml:space="preserve">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luna </w:t>
      </w:r>
      <w:r w:rsidRPr="00242122">
        <w:rPr>
          <w:rFonts w:ascii="Arial" w:hAnsi="Arial" w:cs="Arial"/>
          <w:b/>
          <w:sz w:val="24"/>
          <w:szCs w:val="24"/>
          <w:lang w:eastAsia="x-none"/>
        </w:rPr>
        <w:t>aprilie</w:t>
      </w:r>
      <w:r w:rsidRPr="00242122">
        <w:rPr>
          <w:rFonts w:ascii="Arial" w:hAnsi="Arial" w:cs="Arial"/>
          <w:sz w:val="24"/>
          <w:szCs w:val="24"/>
          <w:lang w:eastAsia="x-none"/>
        </w:rPr>
        <w:t xml:space="preserve"> 2021 debitele la intrarea în ţară (secţiunea Baziaş) </w:t>
      </w:r>
      <w:r w:rsidRPr="00242122">
        <w:rPr>
          <w:rFonts w:ascii="Arial" w:hAnsi="Arial" w:cs="Arial"/>
          <w:sz w:val="24"/>
          <w:szCs w:val="24"/>
          <w:lang w:eastAsia="zh-CN"/>
        </w:rPr>
        <w:t xml:space="preserve">au fost în creştere de la valoarea de 5100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prima zi a lunii până la valoarea de 5900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zilele de 10 şi 11 aprilie (valoarea maximă lunară), în scădere până la 5200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înregistrată în 15 şi 16 aprilie, în creştere uşoară la 5700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 xml:space="preserve">/s în intervalul 21-24 aprilie, apoi din nou în scădere până la valoarea minimă lunară </w:t>
      </w:r>
      <w:r w:rsidRPr="00242122">
        <w:rPr>
          <w:rFonts w:ascii="Arial" w:hAnsi="Arial" w:cs="Arial"/>
          <w:sz w:val="24"/>
          <w:szCs w:val="24"/>
          <w:lang w:eastAsia="zh-CN"/>
        </w:rPr>
        <w:t xml:space="preserve">de 5000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ultimele zile ale lunii.</w:t>
      </w:r>
    </w:p>
    <w:p w:rsidR="00924A0A" w:rsidRPr="00242122" w:rsidRDefault="00924A0A" w:rsidP="00924A0A">
      <w:pPr>
        <w:spacing w:after="0" w:line="240" w:lineRule="auto"/>
        <w:ind w:firstLine="720"/>
        <w:jc w:val="both"/>
        <w:rPr>
          <w:rFonts w:ascii="Arial" w:hAnsi="Arial" w:cs="Arial"/>
          <w:sz w:val="24"/>
          <w:szCs w:val="24"/>
          <w:lang w:eastAsia="zh-CN"/>
        </w:rPr>
      </w:pPr>
      <w:r w:rsidRPr="00242122">
        <w:rPr>
          <w:rFonts w:ascii="Arial" w:hAnsi="Arial" w:cs="Arial"/>
          <w:sz w:val="24"/>
          <w:szCs w:val="24"/>
        </w:rPr>
        <w:t xml:space="preserve">În luna </w:t>
      </w:r>
      <w:r w:rsidRPr="00242122">
        <w:rPr>
          <w:rFonts w:ascii="Arial" w:hAnsi="Arial" w:cs="Arial"/>
          <w:b/>
          <w:sz w:val="24"/>
          <w:szCs w:val="24"/>
        </w:rPr>
        <w:t>mai</w:t>
      </w:r>
      <w:r w:rsidRPr="00242122">
        <w:rPr>
          <w:rFonts w:ascii="Arial" w:hAnsi="Arial" w:cs="Arial"/>
          <w:sz w:val="24"/>
          <w:szCs w:val="24"/>
        </w:rPr>
        <w:t xml:space="preserve"> 2020 d</w:t>
      </w:r>
      <w:r w:rsidRPr="00242122">
        <w:rPr>
          <w:rFonts w:ascii="Arial" w:hAnsi="Arial" w:cs="Arial"/>
          <w:sz w:val="24"/>
          <w:szCs w:val="24"/>
          <w:lang w:eastAsia="zh-CN"/>
        </w:rPr>
        <w:t xml:space="preserve">ebitele la intrarea în ţară (secţiunea Baziaş) au fost în scădere de la  valoarea de 5200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prima zi a lunii până la valoarea de 5000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zilele de 4 şi 5 mai (valoarea minimă lunară), în creştere până la 6200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înregistrată în 11 mai, în scădere uşoară la valoarea de 6000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zilele de 12 şi 13 mai, în creştere până la valoarea maximă lunară de 8300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 xml:space="preserve">/s înregistrată în zilele de 26 şi 27 mai, apoi din nou în scădere până la valoarea </w:t>
      </w:r>
      <w:r w:rsidRPr="00242122">
        <w:rPr>
          <w:rFonts w:ascii="Arial" w:hAnsi="Arial" w:cs="Arial"/>
          <w:sz w:val="24"/>
          <w:szCs w:val="24"/>
          <w:lang w:eastAsia="zh-CN"/>
        </w:rPr>
        <w:t xml:space="preserve">7800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ultima zi a lunii.</w:t>
      </w:r>
      <w:r w:rsidRPr="00242122">
        <w:rPr>
          <w:rFonts w:ascii="Arial" w:hAnsi="Arial" w:cs="Arial"/>
          <w:sz w:val="24"/>
          <w:szCs w:val="24"/>
          <w:lang w:eastAsia="zh-CN"/>
        </w:rPr>
        <w:t xml:space="preserve"> </w:t>
      </w:r>
    </w:p>
    <w:p w:rsidR="00924A0A" w:rsidRPr="00242122" w:rsidRDefault="00924A0A" w:rsidP="00924A0A">
      <w:pPr>
        <w:spacing w:after="0" w:line="240" w:lineRule="auto"/>
        <w:ind w:firstLine="720"/>
        <w:jc w:val="both"/>
        <w:rPr>
          <w:rFonts w:ascii="Arial" w:hAnsi="Arial" w:cs="Arial"/>
          <w:sz w:val="24"/>
          <w:szCs w:val="24"/>
          <w:lang w:eastAsia="zh-CN"/>
        </w:rPr>
      </w:pPr>
    </w:p>
    <w:p w:rsidR="00FD3D76" w:rsidRDefault="00FD3D76" w:rsidP="00924A0A">
      <w:pPr>
        <w:suppressAutoHyphens/>
        <w:spacing w:after="0" w:line="240" w:lineRule="auto"/>
        <w:rPr>
          <w:rFonts w:ascii="Arial" w:hAnsi="Arial" w:cs="Arial"/>
          <w:b/>
          <w:sz w:val="24"/>
          <w:szCs w:val="24"/>
          <w:lang w:eastAsia="zh-CN"/>
        </w:rPr>
      </w:pPr>
    </w:p>
    <w:p w:rsidR="00924A0A" w:rsidRPr="00242122" w:rsidRDefault="00924A0A" w:rsidP="00924A0A">
      <w:pPr>
        <w:suppressAutoHyphens/>
        <w:spacing w:after="0" w:line="240" w:lineRule="auto"/>
        <w:rPr>
          <w:rFonts w:ascii="Arial" w:hAnsi="Arial" w:cs="Arial"/>
          <w:b/>
          <w:sz w:val="24"/>
          <w:szCs w:val="24"/>
          <w:lang w:eastAsia="zh-CN"/>
        </w:rPr>
      </w:pPr>
      <w:r w:rsidRPr="00242122">
        <w:rPr>
          <w:rFonts w:ascii="Arial" w:hAnsi="Arial" w:cs="Arial"/>
          <w:b/>
          <w:sz w:val="24"/>
          <w:szCs w:val="24"/>
          <w:lang w:eastAsia="zh-CN"/>
        </w:rPr>
        <w:t>Caracterizarea regimului hidrologic al Dunării în vara anului 2021</w:t>
      </w:r>
    </w:p>
    <w:p w:rsidR="00924A0A" w:rsidRPr="00242122" w:rsidRDefault="00924A0A" w:rsidP="00924A0A">
      <w:pPr>
        <w:suppressAutoHyphens/>
        <w:spacing w:after="0" w:line="240" w:lineRule="auto"/>
        <w:rPr>
          <w:rFonts w:ascii="Arial" w:hAnsi="Arial" w:cs="Arial"/>
          <w:sz w:val="24"/>
          <w:szCs w:val="24"/>
          <w:lang w:eastAsia="zh-CN"/>
        </w:rPr>
      </w:pPr>
    </w:p>
    <w:p w:rsidR="00924A0A" w:rsidRPr="00242122" w:rsidRDefault="00924A0A" w:rsidP="00924A0A">
      <w:pPr>
        <w:suppressAutoHyphens/>
        <w:spacing w:after="0" w:line="240" w:lineRule="auto"/>
        <w:ind w:firstLine="720"/>
        <w:jc w:val="both"/>
        <w:rPr>
          <w:rFonts w:ascii="Arial" w:hAnsi="Arial" w:cs="Arial"/>
          <w:sz w:val="24"/>
          <w:szCs w:val="24"/>
          <w:lang w:eastAsia="zh-CN"/>
        </w:rPr>
      </w:pPr>
      <w:r w:rsidRPr="00242122">
        <w:rPr>
          <w:rFonts w:ascii="Arial" w:hAnsi="Arial" w:cs="Arial"/>
          <w:sz w:val="24"/>
          <w:szCs w:val="24"/>
          <w:lang w:eastAsia="zh-CN"/>
        </w:rPr>
        <w:t>În sezonul de vară 2021 debitele medii lunare ale Dunării la intrarea în ţară (secţiunea Baziaş) s-au situat sub normalele lunare, cu valori cuprinse între 81-91%  (</w:t>
      </w:r>
      <w:r w:rsidRPr="00242122">
        <w:rPr>
          <w:rFonts w:ascii="Arial" w:hAnsi="Arial" w:cs="Arial"/>
          <w:b/>
          <w:bCs/>
          <w:i/>
          <w:sz w:val="24"/>
          <w:szCs w:val="24"/>
          <w:lang w:val="it-IT" w:eastAsia="zh-CN"/>
        </w:rPr>
        <w:t>Tabelul</w:t>
      </w:r>
      <w:r w:rsidRPr="00242122">
        <w:rPr>
          <w:rFonts w:ascii="Arial" w:hAnsi="Arial" w:cs="Arial"/>
          <w:b/>
          <w:bCs/>
          <w:i/>
          <w:iCs/>
          <w:sz w:val="24"/>
          <w:szCs w:val="24"/>
        </w:rPr>
        <w:t xml:space="preserve"> II.</w:t>
      </w:r>
      <w:r w:rsidRPr="00242122">
        <w:rPr>
          <w:rFonts w:ascii="Arial" w:hAnsi="Arial" w:cs="Arial"/>
          <w:b/>
          <w:i/>
          <w:iCs/>
          <w:sz w:val="24"/>
          <w:szCs w:val="24"/>
        </w:rPr>
        <w:t>1.1.3.2</w:t>
      </w:r>
      <w:r w:rsidRPr="00242122">
        <w:rPr>
          <w:rFonts w:ascii="Arial" w:hAnsi="Arial" w:cs="Arial"/>
          <w:sz w:val="24"/>
          <w:szCs w:val="24"/>
          <w:lang w:eastAsia="zh-CN"/>
        </w:rPr>
        <w:t>).</w:t>
      </w:r>
    </w:p>
    <w:p w:rsidR="00924A0A" w:rsidRPr="00242122" w:rsidRDefault="00924A0A" w:rsidP="00924A0A">
      <w:pPr>
        <w:suppressAutoHyphens/>
        <w:spacing w:after="0" w:line="240" w:lineRule="auto"/>
        <w:ind w:firstLine="720"/>
        <w:jc w:val="both"/>
        <w:rPr>
          <w:rFonts w:ascii="Arial" w:hAnsi="Arial" w:cs="Arial"/>
          <w:sz w:val="24"/>
          <w:szCs w:val="24"/>
          <w:lang w:eastAsia="zh-CN"/>
        </w:rPr>
      </w:pPr>
    </w:p>
    <w:p w:rsidR="00924A0A" w:rsidRPr="00242122" w:rsidRDefault="00924A0A" w:rsidP="00924A0A">
      <w:pPr>
        <w:spacing w:after="0" w:line="240" w:lineRule="auto"/>
        <w:jc w:val="center"/>
        <w:rPr>
          <w:rFonts w:ascii="Arial" w:hAnsi="Arial" w:cs="Arial"/>
          <w:i/>
          <w:sz w:val="24"/>
          <w:szCs w:val="24"/>
          <w:lang w:val="it-IT"/>
        </w:rPr>
      </w:pPr>
      <w:r w:rsidRPr="00242122">
        <w:rPr>
          <w:rFonts w:ascii="Arial" w:hAnsi="Arial" w:cs="Arial"/>
          <w:b/>
          <w:bCs/>
          <w:i/>
          <w:sz w:val="24"/>
          <w:szCs w:val="24"/>
          <w:lang w:val="it-IT" w:eastAsia="zh-CN"/>
        </w:rPr>
        <w:t>Tabelul</w:t>
      </w:r>
      <w:r w:rsidRPr="00242122">
        <w:rPr>
          <w:rFonts w:ascii="Arial" w:hAnsi="Arial" w:cs="Arial"/>
          <w:b/>
          <w:bCs/>
          <w:i/>
          <w:iCs/>
          <w:sz w:val="24"/>
          <w:szCs w:val="24"/>
        </w:rPr>
        <w:t xml:space="preserve"> II.</w:t>
      </w:r>
      <w:r w:rsidRPr="00242122">
        <w:rPr>
          <w:rFonts w:ascii="Arial" w:hAnsi="Arial" w:cs="Arial"/>
          <w:b/>
          <w:i/>
          <w:iCs/>
          <w:sz w:val="24"/>
          <w:szCs w:val="24"/>
        </w:rPr>
        <w:t xml:space="preserve">1.1.3.2: </w:t>
      </w:r>
      <w:r w:rsidRPr="00242122">
        <w:rPr>
          <w:rFonts w:ascii="Arial" w:hAnsi="Arial" w:cs="Arial"/>
          <w:i/>
          <w:sz w:val="24"/>
          <w:szCs w:val="24"/>
          <w:lang w:val="it-IT"/>
        </w:rPr>
        <w:t>Valorile caracteristice ale lunilor iunie, iulie şi august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2"/>
        <w:gridCol w:w="1814"/>
        <w:gridCol w:w="1633"/>
        <w:gridCol w:w="1755"/>
      </w:tblGrid>
      <w:tr w:rsidR="00924A0A" w:rsidRPr="00242122" w:rsidTr="00B8293F">
        <w:trPr>
          <w:trHeight w:val="235"/>
          <w:jc w:val="center"/>
        </w:trPr>
        <w:tc>
          <w:tcPr>
            <w:tcW w:w="2732" w:type="dxa"/>
            <w:vMerge w:val="restart"/>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Valori caracteristice</w:t>
            </w:r>
          </w:p>
        </w:tc>
        <w:tc>
          <w:tcPr>
            <w:tcW w:w="5202" w:type="dxa"/>
            <w:gridSpan w:val="3"/>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Luna</w:t>
            </w:r>
          </w:p>
        </w:tc>
      </w:tr>
      <w:tr w:rsidR="00924A0A" w:rsidRPr="00242122" w:rsidTr="00B8293F">
        <w:trPr>
          <w:trHeight w:val="235"/>
          <w:jc w:val="center"/>
        </w:trPr>
        <w:tc>
          <w:tcPr>
            <w:tcW w:w="2732" w:type="dxa"/>
            <w:vMerge/>
            <w:tcBorders>
              <w:bottom w:val="single" w:sz="4" w:space="0" w:color="auto"/>
            </w:tcBorders>
            <w:shd w:val="clear" w:color="auto" w:fill="auto"/>
            <w:vAlign w:val="center"/>
          </w:tcPr>
          <w:p w:rsidR="00924A0A" w:rsidRPr="00242122" w:rsidRDefault="00924A0A" w:rsidP="00B8293F">
            <w:pPr>
              <w:suppressAutoHyphens/>
              <w:snapToGrid w:val="0"/>
              <w:spacing w:after="0" w:line="240" w:lineRule="auto"/>
              <w:jc w:val="center"/>
              <w:rPr>
                <w:rFonts w:ascii="Arial" w:hAnsi="Arial" w:cs="Arial"/>
                <w:b/>
                <w:sz w:val="24"/>
                <w:szCs w:val="24"/>
                <w:lang w:val="en-US" w:eastAsia="zh-CN"/>
              </w:rPr>
            </w:pPr>
          </w:p>
        </w:tc>
        <w:tc>
          <w:tcPr>
            <w:tcW w:w="1814"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Iunie</w:t>
            </w:r>
          </w:p>
        </w:tc>
        <w:tc>
          <w:tcPr>
            <w:tcW w:w="1633"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Iulie</w:t>
            </w:r>
          </w:p>
        </w:tc>
        <w:tc>
          <w:tcPr>
            <w:tcW w:w="1755"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August</w:t>
            </w:r>
          </w:p>
        </w:tc>
      </w:tr>
      <w:tr w:rsidR="00924A0A" w:rsidRPr="00242122" w:rsidTr="00B8293F">
        <w:trPr>
          <w:trHeight w:val="397"/>
          <w:jc w:val="center"/>
        </w:trPr>
        <w:tc>
          <w:tcPr>
            <w:tcW w:w="2732"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 xml:space="preserve">Medii lunare multianuale </w:t>
            </w:r>
          </w:p>
        </w:tc>
        <w:tc>
          <w:tcPr>
            <w:tcW w:w="1814"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6400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633"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5350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755"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4300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r>
      <w:tr w:rsidR="00924A0A" w:rsidRPr="00242122" w:rsidTr="00B8293F">
        <w:trPr>
          <w:trHeight w:val="443"/>
          <w:jc w:val="center"/>
        </w:trPr>
        <w:tc>
          <w:tcPr>
            <w:tcW w:w="2732"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Minime lunare 2021</w:t>
            </w:r>
          </w:p>
        </w:tc>
        <w:tc>
          <w:tcPr>
            <w:tcW w:w="1814"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4200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633"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3700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755"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3300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r>
      <w:tr w:rsidR="00924A0A" w:rsidRPr="00242122" w:rsidTr="00B8293F">
        <w:trPr>
          <w:trHeight w:val="397"/>
          <w:jc w:val="center"/>
        </w:trPr>
        <w:tc>
          <w:tcPr>
            <w:tcW w:w="2732"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Medii lunare 2021</w:t>
            </w:r>
          </w:p>
        </w:tc>
        <w:tc>
          <w:tcPr>
            <w:tcW w:w="1814"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5650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633"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4350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755"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3920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r>
      <w:tr w:rsidR="00924A0A" w:rsidRPr="00242122" w:rsidTr="00B8293F">
        <w:trPr>
          <w:trHeight w:val="397"/>
          <w:jc w:val="center"/>
        </w:trPr>
        <w:tc>
          <w:tcPr>
            <w:tcW w:w="2732"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Maxime lunare 2021</w:t>
            </w:r>
          </w:p>
        </w:tc>
        <w:tc>
          <w:tcPr>
            <w:tcW w:w="1814"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7700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633"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5500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755"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4500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r>
    </w:tbl>
    <w:p w:rsidR="00924A0A" w:rsidRPr="00242122" w:rsidRDefault="00924A0A" w:rsidP="00924A0A">
      <w:pPr>
        <w:spacing w:after="0" w:line="240" w:lineRule="auto"/>
        <w:ind w:firstLine="720"/>
        <w:jc w:val="both"/>
        <w:rPr>
          <w:rFonts w:ascii="Arial" w:hAnsi="Arial" w:cs="Arial"/>
          <w:sz w:val="24"/>
          <w:szCs w:val="24"/>
          <w:lang w:eastAsia="zh-CN"/>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zh-CN"/>
        </w:rPr>
        <w:t xml:space="preserve">În luna </w:t>
      </w:r>
      <w:r w:rsidRPr="00242122">
        <w:rPr>
          <w:rFonts w:ascii="Arial" w:hAnsi="Arial" w:cs="Arial"/>
          <w:b/>
          <w:sz w:val="24"/>
          <w:szCs w:val="24"/>
          <w:lang w:eastAsia="zh-CN"/>
        </w:rPr>
        <w:t xml:space="preserve">iunie </w:t>
      </w:r>
      <w:r w:rsidRPr="00242122">
        <w:rPr>
          <w:rFonts w:ascii="Arial" w:hAnsi="Arial" w:cs="Arial"/>
          <w:sz w:val="24"/>
          <w:szCs w:val="24"/>
          <w:lang w:eastAsia="zh-CN"/>
        </w:rPr>
        <w:t>2021 d</w:t>
      </w:r>
      <w:r w:rsidRPr="00242122">
        <w:rPr>
          <w:rFonts w:ascii="Arial" w:hAnsi="Arial" w:cs="Arial"/>
          <w:sz w:val="24"/>
          <w:szCs w:val="24"/>
        </w:rPr>
        <w:t xml:space="preserve">ebitele la intrarea în ţară (secţiunea Baziaş) </w:t>
      </w:r>
      <w:r w:rsidRPr="00242122">
        <w:rPr>
          <w:rFonts w:ascii="Arial" w:hAnsi="Arial" w:cs="Arial"/>
          <w:sz w:val="24"/>
          <w:szCs w:val="24"/>
          <w:lang w:eastAsia="zh-CN"/>
        </w:rPr>
        <w:t xml:space="preserve">au fost în general în scădere de la valoarea de 7700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înregistrată în prima zi a lunii (valoarea maximă lunară), până la valoarea de 4300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(valoarea minimă lunară), înregistrată în ultima zi a lunii.</w:t>
      </w:r>
      <w:r w:rsidRPr="00242122">
        <w:rPr>
          <w:rFonts w:ascii="Arial" w:hAnsi="Arial" w:cs="Arial"/>
          <w:sz w:val="24"/>
          <w:szCs w:val="24"/>
          <w:lang w:eastAsia="zh-CN"/>
        </w:rPr>
        <w:t xml:space="preserve"> </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zh-CN"/>
        </w:rPr>
        <w:t xml:space="preserve">În luna </w:t>
      </w:r>
      <w:r w:rsidRPr="00242122">
        <w:rPr>
          <w:rFonts w:ascii="Arial" w:hAnsi="Arial" w:cs="Arial"/>
          <w:b/>
          <w:sz w:val="24"/>
          <w:szCs w:val="24"/>
          <w:lang w:eastAsia="zh-CN"/>
        </w:rPr>
        <w:t>iulie</w:t>
      </w:r>
      <w:r w:rsidRPr="00242122">
        <w:rPr>
          <w:rFonts w:ascii="Arial" w:hAnsi="Arial" w:cs="Arial"/>
          <w:sz w:val="24"/>
          <w:szCs w:val="24"/>
          <w:lang w:eastAsia="zh-CN"/>
        </w:rPr>
        <w:t xml:space="preserve"> 2021 debitele la intrarea în ţară (secţiunea Baziaş) au fost în scădere de la valoarea de 4300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înregistrată în prima zi a lunii până la valoarea de 3700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înregistrată în intervalul 8-10 iulie (valoarea minimă lunară), în creştere până la valoarea de 5500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înregistrată în zilele de 26 şi 27 iulie (valoarea maximă lunară), apoi în scădere până la valoarea de 4600</w:t>
      </w:r>
      <w:r w:rsidRPr="00242122">
        <w:rPr>
          <w:rFonts w:ascii="Arial" w:hAnsi="Arial" w:cs="Arial"/>
          <w:sz w:val="24"/>
          <w:szCs w:val="24"/>
          <w:lang w:eastAsia="zh-CN"/>
        </w:rPr>
        <w:t xml:space="preserve">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ultima zi a lunii.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zh-CN"/>
        </w:rPr>
        <w:t xml:space="preserve">În luna </w:t>
      </w:r>
      <w:r w:rsidRPr="00242122">
        <w:rPr>
          <w:rFonts w:ascii="Arial" w:hAnsi="Arial" w:cs="Arial"/>
          <w:b/>
          <w:sz w:val="24"/>
          <w:szCs w:val="24"/>
          <w:lang w:eastAsia="zh-CN"/>
        </w:rPr>
        <w:t xml:space="preserve">august </w:t>
      </w:r>
      <w:r w:rsidRPr="00242122">
        <w:rPr>
          <w:rFonts w:ascii="Arial" w:hAnsi="Arial" w:cs="Arial"/>
          <w:sz w:val="24"/>
          <w:szCs w:val="24"/>
          <w:lang w:eastAsia="zh-CN"/>
        </w:rPr>
        <w:t xml:space="preserve">2021 debitele la intrarea în ţară (secţiunea Baziaş) au fost în scădere de la valoarea de 4500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 xml:space="preserve">/s înregistrată în prima zi a lunii (valoarea maximă lunară), până la valoarea de 3800 </w:t>
      </w:r>
      <w:bookmarkStart w:id="8" w:name="_Hlk80276169"/>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 xml:space="preserve">/s </w:t>
      </w:r>
      <w:bookmarkEnd w:id="8"/>
      <w:r w:rsidRPr="00242122">
        <w:rPr>
          <w:rFonts w:ascii="Arial" w:hAnsi="Arial" w:cs="Arial"/>
          <w:sz w:val="24"/>
          <w:szCs w:val="24"/>
          <w:lang w:eastAsia="x-none"/>
        </w:rPr>
        <w:t>înregistrată în zilele de 6 şi 7 august şi apoi în creştere până la valoarea de 4500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 xml:space="preserve">/s, înregistrată în intervalul 13-15 august. În a doua jumătate a lunii debitele au fost în scădere până la valoarea 3400 </w:t>
      </w:r>
      <w:bookmarkStart w:id="9" w:name="_Hlk80958189"/>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 xml:space="preserve">/s </w:t>
      </w:r>
      <w:bookmarkEnd w:id="9"/>
      <w:r w:rsidRPr="00242122">
        <w:rPr>
          <w:rFonts w:ascii="Arial" w:hAnsi="Arial" w:cs="Arial"/>
          <w:sz w:val="24"/>
          <w:szCs w:val="24"/>
          <w:lang w:eastAsia="x-none"/>
        </w:rPr>
        <w:t>înregistrată în zilele de 21 şi 22 august, în creştere uşoară până la valoarea de 3700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 xml:space="preserve">/s în 24 şi 25 august, în scădere până la valoarea minimă lunară de </w:t>
      </w:r>
      <w:bookmarkStart w:id="10" w:name="_Hlk80958034"/>
      <w:r w:rsidRPr="00242122">
        <w:rPr>
          <w:rFonts w:ascii="Arial" w:hAnsi="Arial" w:cs="Arial"/>
          <w:sz w:val="24"/>
          <w:szCs w:val="24"/>
          <w:lang w:eastAsia="x-none"/>
        </w:rPr>
        <w:t>3300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 xml:space="preserve">/s înregistrată în zilele de 28 şi 29 august, apoi din nou </w:t>
      </w:r>
      <w:bookmarkEnd w:id="10"/>
      <w:r w:rsidRPr="00242122">
        <w:rPr>
          <w:rFonts w:ascii="Arial" w:hAnsi="Arial" w:cs="Arial"/>
          <w:sz w:val="24"/>
          <w:szCs w:val="24"/>
          <w:lang w:eastAsia="x-none"/>
        </w:rPr>
        <w:t>în creştere uşoară în ultimele două zile ale lunii, la valoarea de 3500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w:t>
      </w:r>
    </w:p>
    <w:p w:rsidR="00924A0A" w:rsidRPr="00242122" w:rsidRDefault="00924A0A" w:rsidP="00924A0A">
      <w:pPr>
        <w:spacing w:after="0" w:line="240" w:lineRule="auto"/>
        <w:ind w:firstLine="720"/>
        <w:jc w:val="both"/>
        <w:rPr>
          <w:rFonts w:ascii="Arial" w:hAnsi="Arial" w:cs="Arial"/>
          <w:sz w:val="24"/>
          <w:szCs w:val="24"/>
          <w:lang w:eastAsia="x-none"/>
        </w:rPr>
      </w:pPr>
    </w:p>
    <w:p w:rsidR="00FD3D76" w:rsidRDefault="00FD3D76" w:rsidP="00924A0A">
      <w:pPr>
        <w:spacing w:after="0" w:line="240" w:lineRule="auto"/>
        <w:rPr>
          <w:rFonts w:ascii="Arial" w:hAnsi="Arial" w:cs="Arial"/>
          <w:b/>
          <w:sz w:val="24"/>
          <w:szCs w:val="24"/>
        </w:rPr>
      </w:pPr>
    </w:p>
    <w:p w:rsidR="00924A0A" w:rsidRPr="00242122" w:rsidRDefault="00924A0A" w:rsidP="00924A0A">
      <w:pPr>
        <w:spacing w:after="0" w:line="240" w:lineRule="auto"/>
        <w:rPr>
          <w:rFonts w:ascii="Arial" w:hAnsi="Arial" w:cs="Arial"/>
          <w:b/>
          <w:sz w:val="24"/>
          <w:szCs w:val="24"/>
        </w:rPr>
      </w:pPr>
      <w:r w:rsidRPr="00242122">
        <w:rPr>
          <w:rFonts w:ascii="Arial" w:hAnsi="Arial" w:cs="Arial"/>
          <w:b/>
          <w:sz w:val="24"/>
          <w:szCs w:val="24"/>
        </w:rPr>
        <w:t>Caracterizarea regimului hidrologic al Dunării în toamna anului 2021</w:t>
      </w:r>
    </w:p>
    <w:p w:rsidR="00924A0A" w:rsidRPr="00242122" w:rsidRDefault="00924A0A" w:rsidP="00924A0A">
      <w:pPr>
        <w:suppressAutoHyphens/>
        <w:spacing w:after="0" w:line="240" w:lineRule="auto"/>
        <w:ind w:firstLine="720"/>
        <w:jc w:val="both"/>
        <w:rPr>
          <w:rFonts w:ascii="Arial" w:hAnsi="Arial" w:cs="Arial"/>
          <w:sz w:val="24"/>
          <w:szCs w:val="24"/>
        </w:rPr>
      </w:pPr>
    </w:p>
    <w:p w:rsidR="00924A0A" w:rsidRPr="00242122" w:rsidRDefault="00924A0A" w:rsidP="00924A0A">
      <w:pPr>
        <w:suppressAutoHyphens/>
        <w:spacing w:after="0" w:line="240" w:lineRule="auto"/>
        <w:ind w:firstLine="720"/>
        <w:jc w:val="both"/>
        <w:rPr>
          <w:rFonts w:ascii="Arial" w:hAnsi="Arial" w:cs="Arial"/>
          <w:sz w:val="24"/>
          <w:szCs w:val="24"/>
          <w:lang w:eastAsia="zh-CN"/>
        </w:rPr>
      </w:pPr>
      <w:r w:rsidRPr="00242122">
        <w:rPr>
          <w:rFonts w:ascii="Arial" w:hAnsi="Arial" w:cs="Arial"/>
          <w:sz w:val="24"/>
          <w:szCs w:val="24"/>
        </w:rPr>
        <w:t xml:space="preserve">Debitele medii lunare ale Dunării la intrarea în ţară (secţiunea Baziaş) înregistrate în sezonul de toamnă al anului 2021 s-au situat sub mediile lunare multianuale, cu valori cuprinse între 67-85% </w:t>
      </w:r>
      <w:r w:rsidRPr="00242122">
        <w:rPr>
          <w:rFonts w:ascii="Arial" w:hAnsi="Arial" w:cs="Arial"/>
          <w:sz w:val="24"/>
          <w:szCs w:val="24"/>
          <w:lang w:eastAsia="zh-CN"/>
        </w:rPr>
        <w:t>(</w:t>
      </w:r>
      <w:r w:rsidRPr="00242122">
        <w:rPr>
          <w:rFonts w:ascii="Arial" w:hAnsi="Arial" w:cs="Arial"/>
          <w:b/>
          <w:bCs/>
          <w:i/>
          <w:sz w:val="24"/>
          <w:szCs w:val="24"/>
          <w:lang w:val="it-IT" w:eastAsia="zh-CN"/>
        </w:rPr>
        <w:t>Tabelul</w:t>
      </w:r>
      <w:r w:rsidRPr="00242122">
        <w:rPr>
          <w:rFonts w:ascii="Arial" w:hAnsi="Arial" w:cs="Arial"/>
          <w:b/>
          <w:bCs/>
          <w:i/>
          <w:iCs/>
          <w:sz w:val="24"/>
          <w:szCs w:val="24"/>
        </w:rPr>
        <w:t xml:space="preserve"> II.</w:t>
      </w:r>
      <w:r w:rsidRPr="00242122">
        <w:rPr>
          <w:rFonts w:ascii="Arial" w:hAnsi="Arial" w:cs="Arial"/>
          <w:b/>
          <w:i/>
          <w:iCs/>
          <w:sz w:val="24"/>
          <w:szCs w:val="24"/>
        </w:rPr>
        <w:t>1.1.3.3</w:t>
      </w:r>
      <w:r w:rsidRPr="00242122">
        <w:rPr>
          <w:rFonts w:ascii="Arial" w:hAnsi="Arial" w:cs="Arial"/>
          <w:sz w:val="24"/>
          <w:szCs w:val="24"/>
          <w:lang w:eastAsia="zh-CN"/>
        </w:rPr>
        <w:t>).</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rPr>
        <w:t xml:space="preserve">În luna </w:t>
      </w:r>
      <w:r w:rsidRPr="00242122">
        <w:rPr>
          <w:rFonts w:ascii="Arial" w:hAnsi="Arial" w:cs="Arial"/>
          <w:b/>
          <w:sz w:val="24"/>
          <w:szCs w:val="24"/>
        </w:rPr>
        <w:t>septembrie</w:t>
      </w:r>
      <w:r w:rsidRPr="00242122">
        <w:rPr>
          <w:rFonts w:ascii="Arial" w:hAnsi="Arial" w:cs="Arial"/>
          <w:sz w:val="24"/>
          <w:szCs w:val="24"/>
        </w:rPr>
        <w:t xml:space="preserve"> 2021 d</w:t>
      </w:r>
      <w:r w:rsidRPr="00242122">
        <w:rPr>
          <w:rFonts w:ascii="Arial" w:hAnsi="Arial" w:cs="Arial"/>
          <w:sz w:val="24"/>
          <w:szCs w:val="24"/>
          <w:lang w:eastAsia="zh-CN"/>
        </w:rPr>
        <w:t xml:space="preserve">ebitele la intrarea în ţară (secţiunea Baziaş) au fost în creştere de la valoarea de 3600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înregistrată în primele două zile ale lunii până la valoarea de 4400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înregistrată în zilele de 8 şi 9 septembrie (valoarea maximă lunară), în scădere până la valoarea de 2500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înregistrată în data de 22 septembrie (valoarea minimă lunară), în creştere uşoară până la valoarea de 2700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intervalul 25-28 septembrie, apoi în scădere uşoară în ultimele două zile ale lunii, la valoarea de 2600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w:t>
      </w:r>
    </w:p>
    <w:p w:rsidR="00924A0A" w:rsidRDefault="00924A0A" w:rsidP="00924A0A">
      <w:pPr>
        <w:suppressAutoHyphens/>
        <w:spacing w:after="0" w:line="240" w:lineRule="auto"/>
        <w:ind w:firstLine="720"/>
        <w:jc w:val="both"/>
        <w:rPr>
          <w:rFonts w:ascii="Arial" w:hAnsi="Arial" w:cs="Arial"/>
          <w:sz w:val="24"/>
          <w:szCs w:val="24"/>
          <w:lang w:eastAsia="zh-CN"/>
        </w:rPr>
      </w:pPr>
    </w:p>
    <w:p w:rsidR="00FD3D76" w:rsidRDefault="00FD3D76" w:rsidP="00924A0A">
      <w:pPr>
        <w:suppressAutoHyphens/>
        <w:spacing w:after="0" w:line="240" w:lineRule="auto"/>
        <w:ind w:firstLine="720"/>
        <w:jc w:val="both"/>
        <w:rPr>
          <w:rFonts w:ascii="Arial" w:hAnsi="Arial" w:cs="Arial"/>
          <w:sz w:val="24"/>
          <w:szCs w:val="24"/>
          <w:lang w:eastAsia="zh-CN"/>
        </w:rPr>
      </w:pPr>
    </w:p>
    <w:p w:rsidR="00FD3D76" w:rsidRDefault="00FD3D76" w:rsidP="00924A0A">
      <w:pPr>
        <w:suppressAutoHyphens/>
        <w:spacing w:after="0" w:line="240" w:lineRule="auto"/>
        <w:ind w:firstLine="720"/>
        <w:jc w:val="both"/>
        <w:rPr>
          <w:rFonts w:ascii="Arial" w:hAnsi="Arial" w:cs="Arial"/>
          <w:sz w:val="24"/>
          <w:szCs w:val="24"/>
          <w:lang w:eastAsia="zh-CN"/>
        </w:rPr>
      </w:pPr>
    </w:p>
    <w:p w:rsidR="00FD3D76" w:rsidRDefault="00FD3D76" w:rsidP="00924A0A">
      <w:pPr>
        <w:suppressAutoHyphens/>
        <w:spacing w:after="0" w:line="240" w:lineRule="auto"/>
        <w:ind w:firstLine="720"/>
        <w:jc w:val="both"/>
        <w:rPr>
          <w:rFonts w:ascii="Arial" w:hAnsi="Arial" w:cs="Arial"/>
          <w:sz w:val="24"/>
          <w:szCs w:val="24"/>
          <w:lang w:eastAsia="zh-CN"/>
        </w:rPr>
      </w:pPr>
    </w:p>
    <w:p w:rsidR="00FD3D76" w:rsidRDefault="00FD3D76" w:rsidP="00924A0A">
      <w:pPr>
        <w:suppressAutoHyphens/>
        <w:spacing w:after="0" w:line="240" w:lineRule="auto"/>
        <w:ind w:firstLine="720"/>
        <w:jc w:val="both"/>
        <w:rPr>
          <w:rFonts w:ascii="Arial" w:hAnsi="Arial" w:cs="Arial"/>
          <w:sz w:val="24"/>
          <w:szCs w:val="24"/>
          <w:lang w:eastAsia="zh-CN"/>
        </w:rPr>
      </w:pPr>
    </w:p>
    <w:p w:rsidR="00FD3D76" w:rsidRPr="00242122" w:rsidRDefault="00FD3D76" w:rsidP="00924A0A">
      <w:pPr>
        <w:suppressAutoHyphens/>
        <w:spacing w:after="0" w:line="240" w:lineRule="auto"/>
        <w:ind w:firstLine="720"/>
        <w:jc w:val="both"/>
        <w:rPr>
          <w:rFonts w:ascii="Arial" w:hAnsi="Arial" w:cs="Arial"/>
          <w:sz w:val="24"/>
          <w:szCs w:val="24"/>
          <w:lang w:eastAsia="zh-CN"/>
        </w:rPr>
      </w:pPr>
    </w:p>
    <w:p w:rsidR="00924A0A" w:rsidRPr="00242122" w:rsidRDefault="00924A0A" w:rsidP="00924A0A">
      <w:pPr>
        <w:spacing w:after="0" w:line="240" w:lineRule="auto"/>
        <w:jc w:val="center"/>
        <w:rPr>
          <w:rFonts w:ascii="Arial" w:hAnsi="Arial" w:cs="Arial"/>
          <w:i/>
          <w:sz w:val="24"/>
          <w:szCs w:val="24"/>
          <w:lang w:val="it-IT"/>
        </w:rPr>
      </w:pPr>
      <w:r w:rsidRPr="00242122">
        <w:rPr>
          <w:rFonts w:ascii="Arial" w:hAnsi="Arial" w:cs="Arial"/>
          <w:b/>
          <w:bCs/>
          <w:i/>
          <w:sz w:val="24"/>
          <w:szCs w:val="24"/>
          <w:lang w:val="it-IT" w:eastAsia="zh-CN"/>
        </w:rPr>
        <w:t>Tabelul</w:t>
      </w:r>
      <w:r w:rsidRPr="00242122">
        <w:rPr>
          <w:rFonts w:ascii="Arial" w:hAnsi="Arial" w:cs="Arial"/>
          <w:b/>
          <w:bCs/>
          <w:i/>
          <w:iCs/>
          <w:sz w:val="24"/>
          <w:szCs w:val="24"/>
        </w:rPr>
        <w:t xml:space="preserve"> II.</w:t>
      </w:r>
      <w:r w:rsidRPr="00242122">
        <w:rPr>
          <w:rFonts w:ascii="Arial" w:hAnsi="Arial" w:cs="Arial"/>
          <w:b/>
          <w:i/>
          <w:iCs/>
          <w:sz w:val="24"/>
          <w:szCs w:val="24"/>
        </w:rPr>
        <w:t xml:space="preserve">1.1.3.3: </w:t>
      </w:r>
      <w:r w:rsidRPr="00242122">
        <w:rPr>
          <w:rFonts w:ascii="Arial" w:hAnsi="Arial" w:cs="Arial"/>
          <w:i/>
          <w:sz w:val="24"/>
          <w:szCs w:val="24"/>
          <w:lang w:val="it-IT"/>
        </w:rPr>
        <w:t>Valorile caracteristice ale lunilor septembrie, octombrie şi noiembrie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2"/>
        <w:gridCol w:w="1814"/>
        <w:gridCol w:w="1633"/>
        <w:gridCol w:w="1755"/>
      </w:tblGrid>
      <w:tr w:rsidR="00924A0A" w:rsidRPr="00242122" w:rsidTr="00B8293F">
        <w:trPr>
          <w:trHeight w:val="235"/>
          <w:jc w:val="center"/>
        </w:trPr>
        <w:tc>
          <w:tcPr>
            <w:tcW w:w="2732" w:type="dxa"/>
            <w:vMerge w:val="restart"/>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Valori caracteristice</w:t>
            </w:r>
          </w:p>
        </w:tc>
        <w:tc>
          <w:tcPr>
            <w:tcW w:w="5202" w:type="dxa"/>
            <w:gridSpan w:val="3"/>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Luna</w:t>
            </w:r>
          </w:p>
        </w:tc>
      </w:tr>
      <w:tr w:rsidR="00924A0A" w:rsidRPr="00242122" w:rsidTr="00B8293F">
        <w:trPr>
          <w:trHeight w:val="235"/>
          <w:jc w:val="center"/>
        </w:trPr>
        <w:tc>
          <w:tcPr>
            <w:tcW w:w="2732" w:type="dxa"/>
            <w:vMerge/>
            <w:tcBorders>
              <w:bottom w:val="single" w:sz="4" w:space="0" w:color="auto"/>
            </w:tcBorders>
            <w:shd w:val="clear" w:color="auto" w:fill="auto"/>
            <w:vAlign w:val="center"/>
          </w:tcPr>
          <w:p w:rsidR="00924A0A" w:rsidRPr="00242122" w:rsidRDefault="00924A0A" w:rsidP="00B8293F">
            <w:pPr>
              <w:suppressAutoHyphens/>
              <w:snapToGrid w:val="0"/>
              <w:spacing w:after="0" w:line="240" w:lineRule="auto"/>
              <w:jc w:val="center"/>
              <w:rPr>
                <w:rFonts w:ascii="Arial" w:hAnsi="Arial" w:cs="Arial"/>
                <w:b/>
                <w:sz w:val="24"/>
                <w:szCs w:val="24"/>
                <w:lang w:val="en-US" w:eastAsia="zh-CN"/>
              </w:rPr>
            </w:pPr>
          </w:p>
        </w:tc>
        <w:tc>
          <w:tcPr>
            <w:tcW w:w="1814"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Septembrie</w:t>
            </w:r>
          </w:p>
        </w:tc>
        <w:tc>
          <w:tcPr>
            <w:tcW w:w="1633"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Octombrie</w:t>
            </w:r>
          </w:p>
        </w:tc>
        <w:tc>
          <w:tcPr>
            <w:tcW w:w="1755"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Noiembrie</w:t>
            </w:r>
          </w:p>
        </w:tc>
      </w:tr>
      <w:tr w:rsidR="00924A0A" w:rsidRPr="00242122" w:rsidTr="00B8293F">
        <w:trPr>
          <w:trHeight w:val="397"/>
          <w:jc w:val="center"/>
        </w:trPr>
        <w:tc>
          <w:tcPr>
            <w:tcW w:w="2732"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 xml:space="preserve">Medii lunare multianuale </w:t>
            </w:r>
          </w:p>
        </w:tc>
        <w:tc>
          <w:tcPr>
            <w:tcW w:w="1814"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3800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633"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3850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755"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4650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r>
      <w:tr w:rsidR="00924A0A" w:rsidRPr="00242122" w:rsidTr="00B8293F">
        <w:trPr>
          <w:trHeight w:val="339"/>
          <w:jc w:val="center"/>
        </w:trPr>
        <w:tc>
          <w:tcPr>
            <w:tcW w:w="2732"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Minime lunare 2021</w:t>
            </w:r>
          </w:p>
        </w:tc>
        <w:tc>
          <w:tcPr>
            <w:tcW w:w="1814"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2500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633"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2300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755"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2200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r>
      <w:tr w:rsidR="00924A0A" w:rsidRPr="00242122" w:rsidTr="00B8293F">
        <w:trPr>
          <w:trHeight w:val="397"/>
          <w:jc w:val="center"/>
        </w:trPr>
        <w:tc>
          <w:tcPr>
            <w:tcW w:w="2732"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Medii lunare 2021</w:t>
            </w:r>
          </w:p>
        </w:tc>
        <w:tc>
          <w:tcPr>
            <w:tcW w:w="1814"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3260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633"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2700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755"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3100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 xml:space="preserve">/s </w:t>
            </w:r>
          </w:p>
        </w:tc>
      </w:tr>
      <w:tr w:rsidR="00924A0A" w:rsidRPr="00242122" w:rsidTr="00B8293F">
        <w:trPr>
          <w:trHeight w:val="397"/>
          <w:jc w:val="center"/>
        </w:trPr>
        <w:tc>
          <w:tcPr>
            <w:tcW w:w="2732"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Maxime lunare 2021</w:t>
            </w:r>
          </w:p>
        </w:tc>
        <w:tc>
          <w:tcPr>
            <w:tcW w:w="1814"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4400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633"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3400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c>
          <w:tcPr>
            <w:tcW w:w="1755" w:type="dxa"/>
            <w:shd w:val="clear" w:color="auto" w:fill="auto"/>
            <w:vAlign w:val="center"/>
          </w:tcPr>
          <w:p w:rsidR="00924A0A" w:rsidRPr="00242122" w:rsidRDefault="00924A0A" w:rsidP="00B8293F">
            <w:pPr>
              <w:suppressAutoHyphens/>
              <w:spacing w:after="0" w:line="240" w:lineRule="auto"/>
              <w:jc w:val="center"/>
              <w:rPr>
                <w:rFonts w:ascii="Arial" w:hAnsi="Arial" w:cs="Arial"/>
                <w:b/>
                <w:sz w:val="24"/>
                <w:szCs w:val="24"/>
                <w:lang w:val="en-US" w:eastAsia="zh-CN"/>
              </w:rPr>
            </w:pPr>
            <w:r w:rsidRPr="00242122">
              <w:rPr>
                <w:rFonts w:ascii="Arial" w:hAnsi="Arial" w:cs="Arial"/>
                <w:b/>
                <w:sz w:val="24"/>
                <w:szCs w:val="24"/>
                <w:lang w:val="en-US" w:eastAsia="zh-CN"/>
              </w:rPr>
              <w:t>4600 m</w:t>
            </w:r>
            <w:r w:rsidRPr="00242122">
              <w:rPr>
                <w:rFonts w:ascii="Arial" w:hAnsi="Arial" w:cs="Arial"/>
                <w:b/>
                <w:sz w:val="24"/>
                <w:szCs w:val="24"/>
                <w:vertAlign w:val="superscript"/>
                <w:lang w:val="en-US" w:eastAsia="zh-CN"/>
              </w:rPr>
              <w:t>3</w:t>
            </w:r>
            <w:r w:rsidRPr="00242122">
              <w:rPr>
                <w:rFonts w:ascii="Arial" w:hAnsi="Arial" w:cs="Arial"/>
                <w:b/>
                <w:sz w:val="24"/>
                <w:szCs w:val="24"/>
                <w:lang w:val="en-US" w:eastAsia="zh-CN"/>
              </w:rPr>
              <w:t>/s</w:t>
            </w:r>
          </w:p>
        </w:tc>
      </w:tr>
    </w:tbl>
    <w:p w:rsidR="00924A0A" w:rsidRPr="00242122" w:rsidRDefault="00924A0A" w:rsidP="00924A0A">
      <w:pPr>
        <w:spacing w:after="0" w:line="240" w:lineRule="auto"/>
        <w:ind w:firstLine="720"/>
        <w:jc w:val="both"/>
        <w:rPr>
          <w:rFonts w:ascii="Arial" w:hAnsi="Arial" w:cs="Arial"/>
          <w:sz w:val="24"/>
          <w:szCs w:val="24"/>
        </w:rPr>
      </w:pP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rPr>
        <w:t xml:space="preserve">În luna </w:t>
      </w:r>
      <w:r w:rsidRPr="00242122">
        <w:rPr>
          <w:rFonts w:ascii="Arial" w:hAnsi="Arial" w:cs="Arial"/>
          <w:b/>
          <w:sz w:val="24"/>
          <w:szCs w:val="24"/>
        </w:rPr>
        <w:t>octombrie</w:t>
      </w:r>
      <w:r w:rsidRPr="00242122">
        <w:rPr>
          <w:rFonts w:ascii="Arial" w:hAnsi="Arial" w:cs="Arial"/>
          <w:sz w:val="24"/>
          <w:szCs w:val="24"/>
        </w:rPr>
        <w:t xml:space="preserve"> 2021 d</w:t>
      </w:r>
      <w:r w:rsidRPr="00242122">
        <w:rPr>
          <w:rFonts w:ascii="Arial" w:hAnsi="Arial" w:cs="Arial"/>
          <w:sz w:val="24"/>
          <w:szCs w:val="24"/>
          <w:lang w:eastAsia="zh-CN"/>
        </w:rPr>
        <w:t xml:space="preserve">ebitele la intrarea în ţară (secţiunea Baziaş) au fost staţionare </w:t>
      </w:r>
      <w:r w:rsidRPr="00242122">
        <w:rPr>
          <w:rFonts w:ascii="Arial" w:hAnsi="Arial" w:cs="Arial"/>
          <w:sz w:val="24"/>
          <w:szCs w:val="24"/>
          <w:lang w:eastAsia="x-none"/>
        </w:rPr>
        <w:t xml:space="preserve">în primele şase zile ale lunii, având valoarea </w:t>
      </w:r>
      <w:r w:rsidRPr="00242122">
        <w:rPr>
          <w:rFonts w:ascii="Arial" w:hAnsi="Arial" w:cs="Arial"/>
          <w:sz w:val="24"/>
          <w:szCs w:val="24"/>
          <w:lang w:eastAsia="zh-CN"/>
        </w:rPr>
        <w:t xml:space="preserve">de 2500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scădere uşoară până la valoarea de 2300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înregistrată în zilele de 9 şi 10 octombrie (valoarea minimă lunară), în creştere până la valoarea de 3400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înregistrată în zilele de 16 şi 17 octombrie (valoarea maximă lunară) şi apoi în scădere până la valoarea de 2350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ultimele patru zile ale lunii.</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În luna </w:t>
      </w:r>
      <w:r w:rsidRPr="00242122">
        <w:rPr>
          <w:rFonts w:ascii="Arial" w:hAnsi="Arial" w:cs="Arial"/>
          <w:b/>
          <w:sz w:val="24"/>
          <w:szCs w:val="24"/>
          <w:lang w:eastAsia="x-none"/>
        </w:rPr>
        <w:t>noiembrie</w:t>
      </w:r>
      <w:r w:rsidRPr="00242122">
        <w:rPr>
          <w:rFonts w:ascii="Arial" w:hAnsi="Arial" w:cs="Arial"/>
          <w:sz w:val="24"/>
          <w:szCs w:val="24"/>
          <w:lang w:eastAsia="x-none"/>
        </w:rPr>
        <w:t xml:space="preserve"> 2021 d</w:t>
      </w:r>
      <w:r w:rsidRPr="00242122">
        <w:rPr>
          <w:rFonts w:ascii="Arial" w:hAnsi="Arial" w:cs="Arial"/>
          <w:sz w:val="24"/>
          <w:szCs w:val="24"/>
          <w:lang w:eastAsia="zh-CN"/>
        </w:rPr>
        <w:t xml:space="preserve">ebitele la intrarea în ţară (secţiunea Baziaş) au fost în scădere </w:t>
      </w:r>
      <w:r w:rsidRPr="00242122">
        <w:rPr>
          <w:rFonts w:ascii="Arial" w:hAnsi="Arial" w:cs="Arial"/>
          <w:sz w:val="24"/>
          <w:szCs w:val="24"/>
          <w:lang w:eastAsia="x-none"/>
        </w:rPr>
        <w:t xml:space="preserve">în primele trei zile ale lunii, de la valoarea de </w:t>
      </w:r>
      <w:r w:rsidRPr="00242122">
        <w:rPr>
          <w:rFonts w:ascii="Arial" w:hAnsi="Arial" w:cs="Arial"/>
          <w:sz w:val="24"/>
          <w:szCs w:val="24"/>
          <w:lang w:eastAsia="zh-CN"/>
        </w:rPr>
        <w:t xml:space="preserve">2400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/s până la valoarea de 2200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înregistrată în intervalul 3-5 noiembrie (valoarea minimă lunară), în creştere până la valoarea de 4600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 xml:space="preserve">/s, înregistrată în zilele de 11 şi 12 octombrie (valoarea maximă lunară), în scădere până la valoarea de </w:t>
      </w:r>
      <w:bookmarkStart w:id="11" w:name="_Hlk89071222"/>
      <w:r w:rsidRPr="00242122">
        <w:rPr>
          <w:rFonts w:ascii="Arial" w:hAnsi="Arial" w:cs="Arial"/>
          <w:sz w:val="24"/>
          <w:szCs w:val="24"/>
          <w:lang w:eastAsia="x-none"/>
        </w:rPr>
        <w:t>2500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 xml:space="preserve">/s în </w:t>
      </w:r>
      <w:bookmarkEnd w:id="11"/>
      <w:r w:rsidRPr="00242122">
        <w:rPr>
          <w:rFonts w:ascii="Arial" w:hAnsi="Arial" w:cs="Arial"/>
          <w:sz w:val="24"/>
          <w:szCs w:val="24"/>
          <w:lang w:eastAsia="x-none"/>
        </w:rPr>
        <w:t>data de 29 noiembrie şi apoi în creştere uşoară până la 2600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/s în ultima zi a lunii.</w:t>
      </w:r>
    </w:p>
    <w:p w:rsidR="00924A0A" w:rsidRPr="00242122" w:rsidRDefault="00924A0A" w:rsidP="00924A0A">
      <w:pPr>
        <w:spacing w:after="0" w:line="240" w:lineRule="auto"/>
        <w:ind w:firstLine="720"/>
        <w:jc w:val="both"/>
        <w:rPr>
          <w:rFonts w:ascii="Arial" w:hAnsi="Arial" w:cs="Arial"/>
          <w:b/>
          <w:sz w:val="24"/>
          <w:szCs w:val="24"/>
          <w:lang w:eastAsia="x-none"/>
        </w:rPr>
      </w:pPr>
    </w:p>
    <w:p w:rsidR="00924A0A" w:rsidRPr="00242122" w:rsidRDefault="00924A0A" w:rsidP="00924A0A">
      <w:pPr>
        <w:spacing w:after="0" w:line="240" w:lineRule="auto"/>
        <w:ind w:right="-567"/>
        <w:rPr>
          <w:rFonts w:ascii="Arial" w:hAnsi="Arial" w:cs="Arial"/>
          <w:b/>
          <w:sz w:val="24"/>
          <w:szCs w:val="24"/>
        </w:rPr>
      </w:pPr>
      <w:r w:rsidRPr="00242122">
        <w:rPr>
          <w:rFonts w:ascii="Arial" w:hAnsi="Arial" w:cs="Arial"/>
          <w:b/>
          <w:sz w:val="24"/>
          <w:szCs w:val="24"/>
        </w:rPr>
        <w:t>Caracterizarea regimului hidrologic al Dunării în luna decembrie 2021</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Pe Dunăre la intrarea în ţară (secţiunea Baziaş) debitul mediu realizat în luna decembrie 2021 a fost de 4900 </w:t>
      </w:r>
      <w:r w:rsidRPr="00242122">
        <w:rPr>
          <w:rFonts w:ascii="Arial" w:hAnsi="Arial" w:cs="Arial"/>
          <w:sz w:val="24"/>
          <w:szCs w:val="24"/>
        </w:rPr>
        <w:t>m</w:t>
      </w:r>
      <w:r w:rsidRPr="00242122">
        <w:rPr>
          <w:rFonts w:ascii="Arial" w:hAnsi="Arial" w:cs="Arial"/>
          <w:sz w:val="24"/>
          <w:szCs w:val="24"/>
          <w:vertAlign w:val="superscript"/>
        </w:rPr>
        <w:t>3</w:t>
      </w:r>
      <w:r w:rsidRPr="00242122">
        <w:rPr>
          <w:rFonts w:ascii="Arial" w:hAnsi="Arial" w:cs="Arial"/>
          <w:sz w:val="24"/>
          <w:szCs w:val="24"/>
        </w:rPr>
        <w:t>/s</w:t>
      </w:r>
      <w:r w:rsidRPr="00242122">
        <w:rPr>
          <w:rFonts w:ascii="Arial" w:hAnsi="Arial" w:cs="Arial"/>
          <w:sz w:val="24"/>
          <w:szCs w:val="24"/>
          <w:lang w:eastAsia="x-none"/>
        </w:rPr>
        <w:t xml:space="preserve">, valoare situată la 94% din media multianuală lunară (5200 </w:t>
      </w:r>
      <w:r w:rsidRPr="00242122">
        <w:rPr>
          <w:rFonts w:ascii="Arial" w:hAnsi="Arial" w:cs="Arial"/>
          <w:sz w:val="24"/>
          <w:szCs w:val="24"/>
        </w:rPr>
        <w:t>m</w:t>
      </w:r>
      <w:r w:rsidRPr="00242122">
        <w:rPr>
          <w:rFonts w:ascii="Arial" w:hAnsi="Arial" w:cs="Arial"/>
          <w:sz w:val="24"/>
          <w:szCs w:val="24"/>
          <w:vertAlign w:val="superscript"/>
        </w:rPr>
        <w:t>3</w:t>
      </w:r>
      <w:r w:rsidRPr="00242122">
        <w:rPr>
          <w:rFonts w:ascii="Arial" w:hAnsi="Arial" w:cs="Arial"/>
          <w:sz w:val="24"/>
          <w:szCs w:val="24"/>
        </w:rPr>
        <w:t>/s</w:t>
      </w:r>
      <w:r w:rsidRPr="00242122">
        <w:rPr>
          <w:rFonts w:ascii="Arial" w:hAnsi="Arial" w:cs="Arial"/>
          <w:sz w:val="24"/>
          <w:szCs w:val="24"/>
          <w:lang w:eastAsia="x-none"/>
        </w:rPr>
        <w:t>).</w:t>
      </w:r>
    </w:p>
    <w:p w:rsidR="00924A0A" w:rsidRPr="00242122" w:rsidRDefault="00924A0A" w:rsidP="00924A0A">
      <w:pPr>
        <w:spacing w:after="0" w:line="240" w:lineRule="auto"/>
        <w:ind w:firstLine="720"/>
        <w:jc w:val="both"/>
        <w:rPr>
          <w:rFonts w:ascii="Arial" w:hAnsi="Arial" w:cs="Arial"/>
          <w:sz w:val="24"/>
          <w:szCs w:val="24"/>
          <w:lang w:eastAsia="x-none"/>
        </w:rPr>
      </w:pPr>
      <w:r w:rsidRPr="00242122">
        <w:rPr>
          <w:rFonts w:ascii="Arial" w:hAnsi="Arial" w:cs="Arial"/>
          <w:sz w:val="24"/>
          <w:szCs w:val="24"/>
          <w:lang w:eastAsia="x-none"/>
        </w:rPr>
        <w:t xml:space="preserve">Debitele la intrarea în ţară (secţiunea Baziaş) au fost în creştere de la valoarea de 2700 </w:t>
      </w:r>
      <w:r w:rsidRPr="00242122">
        <w:rPr>
          <w:rFonts w:ascii="Arial" w:hAnsi="Arial" w:cs="Arial"/>
          <w:sz w:val="24"/>
          <w:szCs w:val="24"/>
        </w:rPr>
        <w:t>m</w:t>
      </w:r>
      <w:r w:rsidRPr="00242122">
        <w:rPr>
          <w:rFonts w:ascii="Arial" w:hAnsi="Arial" w:cs="Arial"/>
          <w:sz w:val="24"/>
          <w:szCs w:val="24"/>
          <w:vertAlign w:val="superscript"/>
        </w:rPr>
        <w:t>3</w:t>
      </w:r>
      <w:r w:rsidRPr="00242122">
        <w:rPr>
          <w:rFonts w:ascii="Arial" w:hAnsi="Arial" w:cs="Arial"/>
          <w:sz w:val="24"/>
          <w:szCs w:val="24"/>
        </w:rPr>
        <w:t xml:space="preserve">/s </w:t>
      </w:r>
      <w:r w:rsidRPr="00242122">
        <w:rPr>
          <w:rFonts w:ascii="Arial" w:hAnsi="Arial" w:cs="Arial"/>
          <w:sz w:val="24"/>
          <w:szCs w:val="24"/>
          <w:lang w:eastAsia="x-none"/>
        </w:rPr>
        <w:t xml:space="preserve">(valoarea minimă lunară), până la valoarea de 6200 </w:t>
      </w:r>
      <w:r w:rsidRPr="00242122">
        <w:rPr>
          <w:rFonts w:ascii="Arial" w:hAnsi="Arial" w:cs="Arial"/>
          <w:sz w:val="24"/>
          <w:szCs w:val="24"/>
        </w:rPr>
        <w:t>m</w:t>
      </w:r>
      <w:r w:rsidRPr="00242122">
        <w:rPr>
          <w:rFonts w:ascii="Arial" w:hAnsi="Arial" w:cs="Arial"/>
          <w:sz w:val="24"/>
          <w:szCs w:val="24"/>
          <w:vertAlign w:val="superscript"/>
        </w:rPr>
        <w:t>3</w:t>
      </w:r>
      <w:r w:rsidRPr="00242122">
        <w:rPr>
          <w:rFonts w:ascii="Arial" w:hAnsi="Arial" w:cs="Arial"/>
          <w:sz w:val="24"/>
          <w:szCs w:val="24"/>
        </w:rPr>
        <w:t xml:space="preserve">/s </w:t>
      </w:r>
      <w:r w:rsidRPr="00242122">
        <w:rPr>
          <w:rFonts w:ascii="Arial" w:hAnsi="Arial" w:cs="Arial"/>
          <w:sz w:val="24"/>
          <w:szCs w:val="24"/>
          <w:lang w:eastAsia="x-none"/>
        </w:rPr>
        <w:t xml:space="preserve">înregistrată în intervalul 11-14 decembrie (valoarea maximă lunară), apoi în scădere până la valoarea de 4200 </w:t>
      </w:r>
      <w:r w:rsidRPr="00242122">
        <w:rPr>
          <w:rFonts w:ascii="Arial" w:hAnsi="Arial" w:cs="Arial"/>
          <w:sz w:val="24"/>
          <w:szCs w:val="24"/>
        </w:rPr>
        <w:t>m</w:t>
      </w:r>
      <w:r w:rsidRPr="00242122">
        <w:rPr>
          <w:rFonts w:ascii="Arial" w:hAnsi="Arial" w:cs="Arial"/>
          <w:sz w:val="24"/>
          <w:szCs w:val="24"/>
          <w:vertAlign w:val="superscript"/>
        </w:rPr>
        <w:t>3</w:t>
      </w:r>
      <w:r w:rsidRPr="00242122">
        <w:rPr>
          <w:rFonts w:ascii="Arial" w:hAnsi="Arial" w:cs="Arial"/>
          <w:sz w:val="24"/>
          <w:szCs w:val="24"/>
        </w:rPr>
        <w:t xml:space="preserve">/s </w:t>
      </w:r>
      <w:r w:rsidRPr="00242122">
        <w:rPr>
          <w:rFonts w:ascii="Arial" w:hAnsi="Arial" w:cs="Arial"/>
          <w:sz w:val="24"/>
          <w:szCs w:val="24"/>
          <w:lang w:eastAsia="x-none"/>
        </w:rPr>
        <w:t xml:space="preserve">în intervalul 26-28 decembrie şi apoi din nou în creştere până la valoarea de 5500 </w:t>
      </w:r>
      <w:r w:rsidRPr="00242122">
        <w:rPr>
          <w:rFonts w:ascii="Arial" w:hAnsi="Arial" w:cs="Arial"/>
          <w:sz w:val="24"/>
          <w:szCs w:val="24"/>
        </w:rPr>
        <w:t>m</w:t>
      </w:r>
      <w:r w:rsidRPr="00242122">
        <w:rPr>
          <w:rFonts w:ascii="Arial" w:hAnsi="Arial" w:cs="Arial"/>
          <w:sz w:val="24"/>
          <w:szCs w:val="24"/>
          <w:vertAlign w:val="superscript"/>
        </w:rPr>
        <w:t>3</w:t>
      </w:r>
      <w:r w:rsidRPr="00242122">
        <w:rPr>
          <w:rFonts w:ascii="Arial" w:hAnsi="Arial" w:cs="Arial"/>
          <w:sz w:val="24"/>
          <w:szCs w:val="24"/>
        </w:rPr>
        <w:t xml:space="preserve">/s </w:t>
      </w:r>
      <w:r w:rsidRPr="00242122">
        <w:rPr>
          <w:rFonts w:ascii="Arial" w:hAnsi="Arial" w:cs="Arial"/>
          <w:sz w:val="24"/>
          <w:szCs w:val="24"/>
          <w:lang w:eastAsia="x-none"/>
        </w:rPr>
        <w:t>în ultima zi a lunii.</w:t>
      </w:r>
    </w:p>
    <w:p w:rsidR="00924A0A" w:rsidRPr="00242122" w:rsidRDefault="00924A0A" w:rsidP="00924A0A">
      <w:pPr>
        <w:suppressAutoHyphens/>
        <w:spacing w:after="0" w:line="240" w:lineRule="auto"/>
        <w:ind w:firstLine="720"/>
        <w:jc w:val="both"/>
        <w:rPr>
          <w:rFonts w:ascii="Arial" w:hAnsi="Arial" w:cs="Arial"/>
          <w:sz w:val="24"/>
          <w:szCs w:val="24"/>
          <w:lang w:eastAsia="zh-CN"/>
        </w:rPr>
      </w:pPr>
      <w:r w:rsidRPr="00242122">
        <w:rPr>
          <w:rFonts w:ascii="Arial" w:hAnsi="Arial" w:cs="Arial"/>
          <w:sz w:val="24"/>
          <w:szCs w:val="24"/>
        </w:rPr>
        <w:t xml:space="preserve">În anul 2021 debitul mediu înregistrat pe Dunăre la intrarea în ţară (secţiunea Baziaş) s-a situat la 93% din media multianuală, valoare rezultată din faptul că debitele medii lunare realizate </w:t>
      </w:r>
      <w:r w:rsidRPr="00242122">
        <w:rPr>
          <w:rFonts w:ascii="Arial" w:hAnsi="Arial" w:cs="Arial"/>
          <w:sz w:val="24"/>
          <w:szCs w:val="24"/>
          <w:lang w:eastAsia="zh-CN"/>
        </w:rPr>
        <w:t>în zece luni din intervalul celor douăsprezece luni analizate</w:t>
      </w:r>
      <w:r w:rsidRPr="00242122">
        <w:rPr>
          <w:rFonts w:ascii="Arial" w:hAnsi="Arial" w:cs="Arial"/>
          <w:sz w:val="24"/>
          <w:szCs w:val="24"/>
        </w:rPr>
        <w:t xml:space="preserve"> au avut valori situate sub mediile lunare multianuale. </w:t>
      </w:r>
      <w:r w:rsidRPr="00242122">
        <w:rPr>
          <w:rFonts w:ascii="Arial" w:hAnsi="Arial" w:cs="Arial"/>
          <w:sz w:val="24"/>
          <w:szCs w:val="24"/>
          <w:lang w:eastAsia="zh-CN"/>
        </w:rPr>
        <w:t xml:space="preserve">De asemenea, din celelalte două luni în care s-au realizat valori ale debitelor medii peste normalele lunare, numai în luna februarie, valoarea medie de 9000 </w:t>
      </w:r>
      <w:r w:rsidRPr="00242122">
        <w:rPr>
          <w:rFonts w:ascii="Arial" w:hAnsi="Arial" w:cs="Arial"/>
          <w:sz w:val="24"/>
          <w:szCs w:val="24"/>
          <w:lang w:eastAsia="x-none"/>
        </w:rPr>
        <w:t>m</w:t>
      </w:r>
      <w:r w:rsidRPr="00242122">
        <w:rPr>
          <w:rFonts w:ascii="Arial" w:hAnsi="Arial" w:cs="Arial"/>
          <w:sz w:val="24"/>
          <w:szCs w:val="24"/>
          <w:vertAlign w:val="superscript"/>
          <w:lang w:eastAsia="x-none"/>
        </w:rPr>
        <w:t>3</w:t>
      </w:r>
      <w:r w:rsidRPr="00242122">
        <w:rPr>
          <w:rFonts w:ascii="Arial" w:hAnsi="Arial" w:cs="Arial"/>
          <w:sz w:val="24"/>
          <w:szCs w:val="24"/>
          <w:lang w:eastAsia="x-none"/>
        </w:rPr>
        <w:t xml:space="preserve">/s a fost cu mult peste </w:t>
      </w:r>
      <w:r w:rsidRPr="00242122">
        <w:rPr>
          <w:rFonts w:ascii="Arial" w:hAnsi="Arial" w:cs="Arial"/>
          <w:sz w:val="24"/>
          <w:szCs w:val="24"/>
          <w:lang w:eastAsia="zh-CN"/>
        </w:rPr>
        <w:t>normala lunară (170%).</w:t>
      </w:r>
    </w:p>
    <w:p w:rsidR="00924A0A" w:rsidRPr="00242122" w:rsidRDefault="00924A0A" w:rsidP="00924A0A">
      <w:pPr>
        <w:suppressAutoHyphens/>
        <w:spacing w:after="0" w:line="240" w:lineRule="auto"/>
        <w:ind w:firstLine="720"/>
        <w:jc w:val="both"/>
        <w:rPr>
          <w:rFonts w:ascii="Arial" w:hAnsi="Arial" w:cs="Arial"/>
          <w:sz w:val="24"/>
          <w:szCs w:val="24"/>
        </w:rPr>
      </w:pPr>
      <w:r w:rsidRPr="00242122">
        <w:rPr>
          <w:rFonts w:ascii="Arial" w:hAnsi="Arial" w:cs="Arial"/>
          <w:sz w:val="24"/>
          <w:szCs w:val="24"/>
        </w:rPr>
        <w:t xml:space="preserve">O caracteristică aparte a regimului hidrologic al Dunării la intrarea în ţară (secţiunea Baziaş) o constituie faptul că în lunile de primăvară, luni caracterizate printr-o scurgere  bogată, s-a înregistrat un regim hidologic sub normalul lunilor respective, datorită deficitului pluviometric şi a aportului redus al afluenţilor din bazinul superior şi mjlociu al Dunării, rezultat din cedarea apei din stratul de zăpadă. </w:t>
      </w:r>
    </w:p>
    <w:p w:rsidR="00924A0A" w:rsidRPr="00242122" w:rsidRDefault="00924A0A" w:rsidP="00924A0A">
      <w:pPr>
        <w:spacing w:after="0" w:line="240" w:lineRule="auto"/>
        <w:ind w:firstLine="720"/>
        <w:jc w:val="both"/>
        <w:rPr>
          <w:rFonts w:ascii="Arial" w:hAnsi="Arial" w:cs="Arial"/>
          <w:b/>
          <w:spacing w:val="-20"/>
          <w:sz w:val="24"/>
          <w:szCs w:val="24"/>
        </w:rPr>
      </w:pPr>
      <w:r w:rsidRPr="00242122">
        <w:rPr>
          <w:rFonts w:ascii="Arial" w:hAnsi="Arial" w:cs="Arial"/>
          <w:sz w:val="24"/>
          <w:szCs w:val="24"/>
        </w:rPr>
        <w:t>V</w:t>
      </w:r>
      <w:r w:rsidRPr="00242122">
        <w:rPr>
          <w:rFonts w:ascii="Arial" w:hAnsi="Arial" w:cs="Arial"/>
          <w:sz w:val="24"/>
          <w:szCs w:val="24"/>
          <w:lang w:eastAsia="x-none"/>
        </w:rPr>
        <w:t xml:space="preserve">aloarea debitului maxim înregistrată </w:t>
      </w:r>
      <w:r w:rsidRPr="00242122">
        <w:rPr>
          <w:rFonts w:ascii="Arial" w:hAnsi="Arial" w:cs="Arial"/>
          <w:sz w:val="24"/>
          <w:szCs w:val="24"/>
          <w:lang w:eastAsia="zh-CN"/>
        </w:rPr>
        <w:t xml:space="preserve">pe Dunăre la intrarea în ţară </w:t>
      </w:r>
      <w:r w:rsidRPr="00242122">
        <w:rPr>
          <w:rFonts w:ascii="Arial" w:hAnsi="Arial" w:cs="Arial"/>
          <w:iCs/>
          <w:sz w:val="24"/>
          <w:szCs w:val="24"/>
          <w:lang w:eastAsia="zh-CN"/>
        </w:rPr>
        <w:t>(secţiunea Baziaş)</w:t>
      </w:r>
      <w:r w:rsidRPr="00242122">
        <w:rPr>
          <w:rFonts w:ascii="Arial" w:hAnsi="Arial" w:cs="Arial"/>
          <w:sz w:val="24"/>
          <w:szCs w:val="24"/>
          <w:lang w:eastAsia="x-none"/>
        </w:rPr>
        <w:t xml:space="preserve"> în luna februarie 2021 (10500 m</w:t>
      </w:r>
      <w:r w:rsidRPr="00242122">
        <w:rPr>
          <w:rFonts w:ascii="Arial" w:hAnsi="Arial" w:cs="Arial"/>
          <w:sz w:val="24"/>
          <w:szCs w:val="24"/>
          <w:vertAlign w:val="superscript"/>
          <w:lang w:eastAsia="x-none"/>
        </w:rPr>
        <w:t>3</w:t>
      </w:r>
      <w:r w:rsidRPr="00242122">
        <w:rPr>
          <w:rFonts w:ascii="Arial" w:hAnsi="Arial" w:cs="Arial"/>
          <w:sz w:val="24"/>
          <w:szCs w:val="24"/>
          <w:lang w:eastAsia="x-none"/>
        </w:rPr>
        <w:t xml:space="preserve">/s) este apropiată de valorile maxime înregistrate în această lună şi reprezintă a şasea valoare </w:t>
      </w:r>
      <w:r w:rsidRPr="00242122">
        <w:rPr>
          <w:rFonts w:ascii="Arial" w:hAnsi="Arial" w:cs="Arial"/>
          <w:sz w:val="24"/>
          <w:szCs w:val="24"/>
        </w:rPr>
        <w:t>din şirul de observaţii, valoarea maximă istorică fiind cea de 11700 m</w:t>
      </w:r>
      <w:r w:rsidRPr="00242122">
        <w:rPr>
          <w:rFonts w:ascii="Arial" w:hAnsi="Arial" w:cs="Arial"/>
          <w:sz w:val="24"/>
          <w:szCs w:val="24"/>
          <w:vertAlign w:val="superscript"/>
        </w:rPr>
        <w:t>3</w:t>
      </w:r>
      <w:r w:rsidRPr="00242122">
        <w:rPr>
          <w:rFonts w:ascii="Arial" w:hAnsi="Arial" w:cs="Arial"/>
          <w:sz w:val="24"/>
          <w:szCs w:val="24"/>
        </w:rPr>
        <w:t>/s din luna februarie 1978.</w:t>
      </w:r>
    </w:p>
    <w:p w:rsidR="000B4FCA" w:rsidRPr="00242122" w:rsidRDefault="000B4FCA" w:rsidP="000B4FCA">
      <w:pPr>
        <w:rPr>
          <w:rFonts w:ascii="Arial" w:eastAsia="Times New Roman" w:hAnsi="Arial" w:cs="Arial"/>
          <w:color w:val="FF0000"/>
          <w:sz w:val="24"/>
          <w:szCs w:val="24"/>
          <w:lang w:eastAsia="ro-RO"/>
        </w:rPr>
      </w:pPr>
    </w:p>
    <w:p w:rsidR="00924A0A" w:rsidRPr="00242122" w:rsidRDefault="00924A0A" w:rsidP="00924A0A">
      <w:pPr>
        <w:pStyle w:val="Default"/>
        <w:jc w:val="both"/>
      </w:pPr>
    </w:p>
    <w:p w:rsidR="00FD3D76" w:rsidRDefault="00FD3D76" w:rsidP="00924A0A">
      <w:pPr>
        <w:pStyle w:val="Default"/>
        <w:ind w:firstLine="567"/>
        <w:jc w:val="both"/>
        <w:rPr>
          <w:b/>
        </w:rPr>
      </w:pPr>
    </w:p>
    <w:p w:rsidR="00FD3D76" w:rsidRDefault="00FD3D76" w:rsidP="00924A0A">
      <w:pPr>
        <w:pStyle w:val="Default"/>
        <w:ind w:firstLine="567"/>
        <w:jc w:val="both"/>
        <w:rPr>
          <w:b/>
        </w:rPr>
      </w:pPr>
    </w:p>
    <w:p w:rsidR="00FD3D76" w:rsidRDefault="00FD3D76" w:rsidP="00924A0A">
      <w:pPr>
        <w:pStyle w:val="Default"/>
        <w:ind w:firstLine="567"/>
        <w:jc w:val="both"/>
        <w:rPr>
          <w:b/>
        </w:rPr>
      </w:pPr>
    </w:p>
    <w:p w:rsidR="00FD3D76" w:rsidRDefault="00FD3D76" w:rsidP="00924A0A">
      <w:pPr>
        <w:pStyle w:val="Default"/>
        <w:ind w:firstLine="567"/>
        <w:jc w:val="both"/>
        <w:rPr>
          <w:b/>
        </w:rPr>
      </w:pPr>
    </w:p>
    <w:p w:rsidR="00FD3D76" w:rsidRDefault="00FD3D76" w:rsidP="00924A0A">
      <w:pPr>
        <w:pStyle w:val="Default"/>
        <w:ind w:firstLine="567"/>
        <w:jc w:val="both"/>
        <w:rPr>
          <w:b/>
        </w:rPr>
      </w:pPr>
    </w:p>
    <w:p w:rsidR="00924A0A" w:rsidRPr="00242122" w:rsidRDefault="00924A0A" w:rsidP="00924A0A">
      <w:pPr>
        <w:pStyle w:val="Default"/>
        <w:ind w:firstLine="567"/>
        <w:jc w:val="both"/>
        <w:rPr>
          <w:b/>
        </w:rPr>
      </w:pPr>
      <w:r w:rsidRPr="00242122">
        <w:rPr>
          <w:b/>
        </w:rPr>
        <w:t>II.1.1.4 Schimbări hidromorfologice ale cursurilor de apă</w:t>
      </w:r>
    </w:p>
    <w:p w:rsidR="00924A0A" w:rsidRPr="00242122" w:rsidRDefault="00924A0A" w:rsidP="00924A0A">
      <w:pPr>
        <w:pStyle w:val="Default"/>
        <w:ind w:firstLine="567"/>
        <w:jc w:val="both"/>
      </w:pPr>
    </w:p>
    <w:p w:rsidR="00924A0A" w:rsidRPr="00242122" w:rsidRDefault="00924A0A" w:rsidP="00924A0A">
      <w:pPr>
        <w:pStyle w:val="Default"/>
        <w:ind w:firstLine="567"/>
        <w:jc w:val="both"/>
      </w:pPr>
      <w:r w:rsidRPr="00242122">
        <w:t xml:space="preserve">Modificările caracteristicilor hidromorfologice ale cursurilor de apă (schimbări ale cursurilor naturale, schimbări ale regimului hidrologic, deteriorarea biodiversităţii acvatice, etc.) sunt rezultatul prezenței presiunilor hidromorfologice care produc un impact asupra stării ecosistemelor acvatice şi pot contribui la neatingerea obiectivelor de mediu ale corpurilor de apă. </w:t>
      </w:r>
    </w:p>
    <w:p w:rsidR="00924A0A" w:rsidRPr="00242122" w:rsidRDefault="00924A0A" w:rsidP="00924A0A">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Conform Directivei Cadru Apă 2000/60/CE, corpurile de apă puternic modificate sunt acele corpuri de apă de suprafaţă care datorită „alterărilor fizice” şi-au schimbat substanţial caracterul lor natural. </w:t>
      </w:r>
      <w:r w:rsidRPr="00242122">
        <w:rPr>
          <w:rFonts w:ascii="Arial" w:hAnsi="Arial" w:cs="Arial"/>
          <w:noProof/>
        </w:rPr>
        <w:t>Alterarea trebuie să fie la o scară largă a corpului de apă, profundă, permanentă</w:t>
      </w:r>
      <w:r w:rsidRPr="00242122">
        <w:rPr>
          <w:rFonts w:ascii="Arial" w:hAnsi="Arial" w:cs="Arial"/>
          <w:sz w:val="24"/>
          <w:szCs w:val="24"/>
        </w:rPr>
        <w:t xml:space="preserve"> Conform Art. 2.8 din Directiva Cadru a Apei, corpurile de apă artificiale sunt corpurile de apă de suprafaţă create prin activitatea umană. </w:t>
      </w:r>
    </w:p>
    <w:p w:rsidR="00924A0A" w:rsidRPr="00242122" w:rsidRDefault="00924A0A" w:rsidP="00924A0A">
      <w:pPr>
        <w:spacing w:before="120" w:after="120" w:line="240" w:lineRule="auto"/>
        <w:ind w:firstLine="567"/>
        <w:jc w:val="both"/>
        <w:rPr>
          <w:rFonts w:ascii="Arial" w:hAnsi="Arial" w:cs="Arial"/>
          <w:sz w:val="24"/>
          <w:szCs w:val="24"/>
        </w:rPr>
      </w:pPr>
      <w:r w:rsidRPr="00242122">
        <w:rPr>
          <w:rFonts w:ascii="Arial" w:hAnsi="Arial" w:cs="Arial"/>
          <w:sz w:val="24"/>
          <w:szCs w:val="24"/>
        </w:rPr>
        <w:t>Corpurile de apă puternic modificate si corpurile de apă artificiale au ca obiectiv atingerea unui „potenţial ecologic bun”, precum şi atingerea „stării chimice bune”.</w:t>
      </w:r>
    </w:p>
    <w:p w:rsidR="00924A0A" w:rsidRPr="00242122" w:rsidRDefault="00924A0A" w:rsidP="00924A0A">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Un corp de apă care nu este în stare ecologică bună, consecinţă a alterărilor hidromorfologice semnificative, au fost parcurse etapele testului de desemnare, conform cerințelor art. 4.3 al Directivei Cadru </w:t>
      </w:r>
    </w:p>
    <w:p w:rsidR="00924A0A" w:rsidRPr="00242122" w:rsidRDefault="00924A0A" w:rsidP="00924A0A">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Construcţiile hidrotehnice cu barare transversală (baraje, stavilare, praguri de fund) întrerup conectivitatea longitudinală a râurilor cu efecte asupra regimului hidrologic, transportului de sedimente, dar mai ales asupra migrării biotei. Lucrările în lungul râului (îndiguirile, lucrări de regularizare şi consolidare maluri) întrerup conectivitatea laterală a corpurilor de apă cu luncile inundabile şi zonele de reproducere ce au ca rezultat deteriorarea stării </w:t>
      </w:r>
      <w:r w:rsidRPr="00242122">
        <w:rPr>
          <w:rFonts w:ascii="Arial" w:hAnsi="Arial" w:cs="Arial"/>
          <w:noProof/>
          <w:sz w:val="24"/>
          <w:szCs w:val="24"/>
          <w:lang w:eastAsia="en-GB"/>
        </w:rPr>
        <w:t>ecologice</w:t>
      </w:r>
      <w:r w:rsidRPr="00242122">
        <w:rPr>
          <w:rFonts w:ascii="Arial" w:hAnsi="Arial" w:cs="Arial"/>
          <w:sz w:val="24"/>
          <w:szCs w:val="24"/>
        </w:rPr>
        <w:t>. Prelevările şi restituţiile semnificative au efecte asupra regimului hidrologic, dar şi asupra biotei.</w:t>
      </w:r>
    </w:p>
    <w:p w:rsidR="00924A0A" w:rsidRPr="00242122" w:rsidRDefault="00924A0A" w:rsidP="00924A0A">
      <w:pPr>
        <w:spacing w:before="120" w:after="120" w:line="240" w:lineRule="auto"/>
        <w:ind w:firstLine="567"/>
        <w:jc w:val="both"/>
        <w:rPr>
          <w:rFonts w:ascii="Arial" w:hAnsi="Arial" w:cs="Arial"/>
          <w:sz w:val="24"/>
          <w:szCs w:val="24"/>
        </w:rPr>
      </w:pPr>
      <w:r w:rsidRPr="00242122">
        <w:rPr>
          <w:rFonts w:ascii="Arial" w:hAnsi="Arial" w:cs="Arial"/>
          <w:sz w:val="24"/>
          <w:szCs w:val="24"/>
        </w:rPr>
        <w:tab/>
        <w:t xml:space="preserve">Astfel, impactul alterărilor hidromorfologice asupra stării corpurilor de apă se poate exprima prin afectarea migrării speciilor de peşti migratori, declinul reproducerii naturale a populaţiilor de peşti, reducerea biodiversităţii şi abundenţei speciilor, precum şi alterarea compoziţiei populaţiilor. </w:t>
      </w:r>
    </w:p>
    <w:p w:rsidR="00924A0A" w:rsidRPr="00242122" w:rsidRDefault="00924A0A" w:rsidP="00924A0A">
      <w:pPr>
        <w:spacing w:before="120" w:after="120" w:line="240" w:lineRule="auto"/>
        <w:ind w:firstLine="567"/>
        <w:jc w:val="both"/>
        <w:rPr>
          <w:rFonts w:ascii="Arial" w:hAnsi="Arial" w:cs="Arial"/>
          <w:sz w:val="24"/>
          <w:szCs w:val="24"/>
        </w:rPr>
      </w:pPr>
      <w:r w:rsidRPr="00242122">
        <w:rPr>
          <w:rFonts w:ascii="Arial" w:hAnsi="Arial" w:cs="Arial"/>
          <w:sz w:val="24"/>
          <w:szCs w:val="24"/>
        </w:rPr>
        <w:t>În tabelul următor se prezintă evoluţia procentuală a clasificării corpurilor de apă, la nivel naţional, pentru perioada 2004-2021, observându-se că predomină corpurile de apă naturale.</w:t>
      </w:r>
    </w:p>
    <w:p w:rsidR="00924A0A" w:rsidRDefault="00924A0A" w:rsidP="00924A0A">
      <w:pPr>
        <w:pStyle w:val="Default"/>
        <w:spacing w:before="120" w:after="120"/>
        <w:ind w:firstLine="567"/>
        <w:jc w:val="both"/>
        <w:rPr>
          <w:color w:val="auto"/>
        </w:rPr>
      </w:pPr>
      <w:r w:rsidRPr="00242122">
        <w:rPr>
          <w:color w:val="auto"/>
        </w:rPr>
        <w:t xml:space="preserve">Numărul total al corpurilor de apă s-a modificat (Tabel II.1.1.4.1) având în vedere aplicarea criteriilor din Planurile de management ale bazinelor/spațiilor hidrografice, aprobate prin HG nr. 80/2011 pentru aprobarea Planului naţional de management aferent porţiunii din bazinul hidrografic internaţional al fluviului Dunărea care este cuprinsă în teritoriul României și HG nr. 859/2016 pentru aprobarea Planului naţional de management actualizat aferent porţiunii din bazinul hidrografic internaţional al fluviului Dunărea care este cuprinsă în teritoriul României. </w:t>
      </w:r>
    </w:p>
    <w:p w:rsidR="00FD3D76" w:rsidRDefault="00FD3D76" w:rsidP="00924A0A">
      <w:pPr>
        <w:pStyle w:val="Default"/>
        <w:spacing w:before="120" w:after="120"/>
        <w:ind w:firstLine="567"/>
        <w:jc w:val="both"/>
        <w:rPr>
          <w:color w:val="auto"/>
        </w:rPr>
      </w:pPr>
    </w:p>
    <w:p w:rsidR="00FD3D76" w:rsidRDefault="00FD3D76" w:rsidP="00924A0A">
      <w:pPr>
        <w:pStyle w:val="Default"/>
        <w:spacing w:before="120" w:after="120"/>
        <w:ind w:firstLine="567"/>
        <w:jc w:val="both"/>
        <w:rPr>
          <w:color w:val="auto"/>
        </w:rPr>
      </w:pPr>
    </w:p>
    <w:p w:rsidR="00FD3D76" w:rsidRDefault="00FD3D76" w:rsidP="00924A0A">
      <w:pPr>
        <w:pStyle w:val="Default"/>
        <w:spacing w:before="120" w:after="120"/>
        <w:ind w:firstLine="567"/>
        <w:jc w:val="both"/>
        <w:rPr>
          <w:color w:val="auto"/>
        </w:rPr>
      </w:pPr>
    </w:p>
    <w:p w:rsidR="00FD3D76" w:rsidRDefault="00FD3D76" w:rsidP="00924A0A">
      <w:pPr>
        <w:pStyle w:val="Default"/>
        <w:spacing w:before="120" w:after="120"/>
        <w:ind w:firstLine="567"/>
        <w:jc w:val="both"/>
        <w:rPr>
          <w:color w:val="auto"/>
        </w:rPr>
      </w:pPr>
    </w:p>
    <w:p w:rsidR="00FD3D76" w:rsidRDefault="00FD3D76" w:rsidP="00924A0A">
      <w:pPr>
        <w:pStyle w:val="Default"/>
        <w:spacing w:before="120" w:after="120"/>
        <w:ind w:firstLine="567"/>
        <w:jc w:val="both"/>
        <w:rPr>
          <w:color w:val="auto"/>
        </w:rPr>
      </w:pPr>
    </w:p>
    <w:p w:rsidR="00FD3D76" w:rsidRDefault="00FD3D76" w:rsidP="00924A0A">
      <w:pPr>
        <w:pStyle w:val="Default"/>
        <w:spacing w:before="120" w:after="120"/>
        <w:ind w:firstLine="567"/>
        <w:jc w:val="both"/>
        <w:rPr>
          <w:color w:val="auto"/>
        </w:rPr>
      </w:pPr>
    </w:p>
    <w:p w:rsidR="00FD3D76" w:rsidRDefault="00FD3D76" w:rsidP="00924A0A">
      <w:pPr>
        <w:pStyle w:val="Default"/>
        <w:spacing w:before="120" w:after="120"/>
        <w:ind w:firstLine="567"/>
        <w:jc w:val="both"/>
        <w:rPr>
          <w:color w:val="auto"/>
        </w:rPr>
      </w:pPr>
    </w:p>
    <w:p w:rsidR="00FD3D76" w:rsidRDefault="00FD3D76" w:rsidP="00924A0A">
      <w:pPr>
        <w:pStyle w:val="Default"/>
        <w:spacing w:before="120" w:after="120"/>
        <w:ind w:firstLine="567"/>
        <w:jc w:val="both"/>
        <w:rPr>
          <w:color w:val="auto"/>
        </w:rPr>
      </w:pPr>
    </w:p>
    <w:p w:rsidR="00FD3D76" w:rsidRPr="00242122" w:rsidRDefault="00FD3D76" w:rsidP="00924A0A">
      <w:pPr>
        <w:pStyle w:val="Default"/>
        <w:spacing w:before="120" w:after="120"/>
        <w:ind w:firstLine="567"/>
        <w:jc w:val="both"/>
        <w:rPr>
          <w:color w:val="auto"/>
        </w:rPr>
      </w:pPr>
    </w:p>
    <w:p w:rsidR="00924A0A" w:rsidRPr="00242122" w:rsidRDefault="00924A0A" w:rsidP="00924A0A">
      <w:pPr>
        <w:pStyle w:val="Default"/>
        <w:spacing w:before="120" w:after="120"/>
        <w:jc w:val="center"/>
        <w:rPr>
          <w:b/>
          <w:color w:val="auto"/>
        </w:rPr>
      </w:pPr>
      <w:r w:rsidRPr="00242122">
        <w:rPr>
          <w:b/>
          <w:color w:val="auto"/>
        </w:rPr>
        <w:t>Clasificarea corpurilor de apă la nivel național în perioada 2004-2020</w:t>
      </w:r>
    </w:p>
    <w:tbl>
      <w:tblPr>
        <w:tblW w:w="0" w:type="auto"/>
        <w:tblInd w:w="39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276"/>
        <w:gridCol w:w="2046"/>
        <w:gridCol w:w="1858"/>
        <w:gridCol w:w="1858"/>
        <w:gridCol w:w="1467"/>
      </w:tblGrid>
      <w:tr w:rsidR="00924A0A" w:rsidRPr="00242122" w:rsidTr="00B8293F">
        <w:trPr>
          <w:trHeight w:val="433"/>
        </w:trPr>
        <w:tc>
          <w:tcPr>
            <w:tcW w:w="1276" w:type="dxa"/>
            <w:vMerge w:val="restart"/>
            <w:shd w:val="clear" w:color="auto" w:fill="B6DDE8"/>
          </w:tcPr>
          <w:p w:rsidR="00924A0A" w:rsidRPr="00242122" w:rsidRDefault="00924A0A" w:rsidP="00B8293F">
            <w:pPr>
              <w:pStyle w:val="Default"/>
              <w:jc w:val="center"/>
              <w:rPr>
                <w:b/>
                <w:color w:val="auto"/>
              </w:rPr>
            </w:pPr>
            <w:r w:rsidRPr="00242122">
              <w:rPr>
                <w:b/>
                <w:color w:val="auto"/>
              </w:rPr>
              <w:t>Anul</w:t>
            </w:r>
          </w:p>
        </w:tc>
        <w:tc>
          <w:tcPr>
            <w:tcW w:w="7229" w:type="dxa"/>
            <w:gridSpan w:val="4"/>
            <w:shd w:val="clear" w:color="auto" w:fill="B6DDE8"/>
          </w:tcPr>
          <w:p w:rsidR="00924A0A" w:rsidRPr="00242122" w:rsidRDefault="00924A0A" w:rsidP="00B8293F">
            <w:pPr>
              <w:pStyle w:val="Default"/>
              <w:jc w:val="center"/>
              <w:rPr>
                <w:b/>
                <w:color w:val="auto"/>
              </w:rPr>
            </w:pPr>
            <w:r w:rsidRPr="00242122">
              <w:rPr>
                <w:b/>
                <w:color w:val="auto"/>
              </w:rPr>
              <w:t>Categoria corpului de apă</w:t>
            </w:r>
          </w:p>
        </w:tc>
      </w:tr>
      <w:tr w:rsidR="00924A0A" w:rsidRPr="00242122" w:rsidTr="00B8293F">
        <w:tc>
          <w:tcPr>
            <w:tcW w:w="1276" w:type="dxa"/>
            <w:vMerge/>
            <w:shd w:val="clear" w:color="auto" w:fill="B6DDE8"/>
          </w:tcPr>
          <w:p w:rsidR="00924A0A" w:rsidRPr="00242122" w:rsidRDefault="00924A0A" w:rsidP="00B8293F">
            <w:pPr>
              <w:pStyle w:val="Default"/>
              <w:jc w:val="both"/>
              <w:rPr>
                <w:color w:val="auto"/>
              </w:rPr>
            </w:pPr>
          </w:p>
        </w:tc>
        <w:tc>
          <w:tcPr>
            <w:tcW w:w="2046" w:type="dxa"/>
            <w:shd w:val="clear" w:color="auto" w:fill="B6DDE8"/>
          </w:tcPr>
          <w:p w:rsidR="00924A0A" w:rsidRPr="00242122" w:rsidRDefault="00924A0A" w:rsidP="00B8293F">
            <w:pPr>
              <w:pStyle w:val="Default"/>
              <w:jc w:val="center"/>
              <w:rPr>
                <w:b/>
                <w:color w:val="auto"/>
              </w:rPr>
            </w:pPr>
            <w:r w:rsidRPr="00242122">
              <w:rPr>
                <w:b/>
                <w:color w:val="auto"/>
              </w:rPr>
              <w:t>% nr. corpuri de apă naturale</w:t>
            </w:r>
          </w:p>
        </w:tc>
        <w:tc>
          <w:tcPr>
            <w:tcW w:w="1858" w:type="dxa"/>
            <w:shd w:val="clear" w:color="auto" w:fill="B6DDE8"/>
          </w:tcPr>
          <w:p w:rsidR="00924A0A" w:rsidRPr="00242122" w:rsidRDefault="00924A0A" w:rsidP="00B8293F">
            <w:pPr>
              <w:pStyle w:val="Default"/>
              <w:jc w:val="center"/>
              <w:rPr>
                <w:b/>
                <w:color w:val="auto"/>
              </w:rPr>
            </w:pPr>
            <w:r w:rsidRPr="00242122">
              <w:rPr>
                <w:b/>
                <w:color w:val="auto"/>
              </w:rPr>
              <w:t>% nr. corpuri de apă artificiale</w:t>
            </w:r>
          </w:p>
        </w:tc>
        <w:tc>
          <w:tcPr>
            <w:tcW w:w="1858" w:type="dxa"/>
            <w:shd w:val="clear" w:color="auto" w:fill="B6DDE8"/>
          </w:tcPr>
          <w:p w:rsidR="00924A0A" w:rsidRPr="00242122" w:rsidRDefault="00924A0A" w:rsidP="00B8293F">
            <w:pPr>
              <w:pStyle w:val="Default"/>
              <w:jc w:val="center"/>
              <w:rPr>
                <w:b/>
                <w:color w:val="auto"/>
              </w:rPr>
            </w:pPr>
            <w:r w:rsidRPr="00242122">
              <w:rPr>
                <w:b/>
                <w:color w:val="auto"/>
              </w:rPr>
              <w:t>% nr. corpuri de apă puternic modificate</w:t>
            </w:r>
          </w:p>
        </w:tc>
        <w:tc>
          <w:tcPr>
            <w:tcW w:w="1467" w:type="dxa"/>
            <w:shd w:val="clear" w:color="auto" w:fill="B6DDE8"/>
          </w:tcPr>
          <w:p w:rsidR="00924A0A" w:rsidRPr="00242122" w:rsidRDefault="00924A0A" w:rsidP="00B8293F">
            <w:pPr>
              <w:pStyle w:val="Default"/>
              <w:jc w:val="center"/>
              <w:rPr>
                <w:b/>
                <w:color w:val="auto"/>
              </w:rPr>
            </w:pPr>
            <w:r w:rsidRPr="00242122">
              <w:rPr>
                <w:b/>
                <w:color w:val="auto"/>
              </w:rPr>
              <w:t>Total</w:t>
            </w:r>
          </w:p>
        </w:tc>
      </w:tr>
      <w:tr w:rsidR="00924A0A" w:rsidRPr="00242122" w:rsidTr="00B8293F">
        <w:tc>
          <w:tcPr>
            <w:tcW w:w="1276" w:type="dxa"/>
            <w:shd w:val="clear" w:color="auto" w:fill="auto"/>
          </w:tcPr>
          <w:p w:rsidR="00924A0A" w:rsidRPr="00242122" w:rsidRDefault="00924A0A" w:rsidP="00B8293F">
            <w:pPr>
              <w:pStyle w:val="Default"/>
              <w:jc w:val="both"/>
              <w:rPr>
                <w:color w:val="auto"/>
              </w:rPr>
            </w:pPr>
            <w:r w:rsidRPr="00242122">
              <w:rPr>
                <w:color w:val="auto"/>
              </w:rPr>
              <w:t>2004</w:t>
            </w:r>
          </w:p>
        </w:tc>
        <w:tc>
          <w:tcPr>
            <w:tcW w:w="2046" w:type="dxa"/>
            <w:shd w:val="clear" w:color="auto" w:fill="auto"/>
          </w:tcPr>
          <w:p w:rsidR="00924A0A" w:rsidRPr="00242122" w:rsidRDefault="00924A0A" w:rsidP="00B8293F">
            <w:pPr>
              <w:pStyle w:val="Default"/>
              <w:jc w:val="center"/>
              <w:rPr>
                <w:color w:val="auto"/>
              </w:rPr>
            </w:pPr>
            <w:r w:rsidRPr="00242122">
              <w:rPr>
                <w:color w:val="auto"/>
              </w:rPr>
              <w:t>76,91</w:t>
            </w:r>
          </w:p>
        </w:tc>
        <w:tc>
          <w:tcPr>
            <w:tcW w:w="1858" w:type="dxa"/>
            <w:shd w:val="clear" w:color="auto" w:fill="auto"/>
          </w:tcPr>
          <w:p w:rsidR="00924A0A" w:rsidRPr="00242122" w:rsidRDefault="00924A0A" w:rsidP="00B8293F">
            <w:pPr>
              <w:pStyle w:val="Default"/>
              <w:jc w:val="center"/>
              <w:rPr>
                <w:color w:val="auto"/>
              </w:rPr>
            </w:pPr>
            <w:r w:rsidRPr="00242122">
              <w:rPr>
                <w:color w:val="auto"/>
              </w:rPr>
              <w:t>2,07</w:t>
            </w:r>
          </w:p>
        </w:tc>
        <w:tc>
          <w:tcPr>
            <w:tcW w:w="1858" w:type="dxa"/>
            <w:shd w:val="clear" w:color="auto" w:fill="auto"/>
          </w:tcPr>
          <w:p w:rsidR="00924A0A" w:rsidRPr="00242122" w:rsidRDefault="00924A0A" w:rsidP="00B8293F">
            <w:pPr>
              <w:pStyle w:val="Default"/>
              <w:jc w:val="center"/>
              <w:rPr>
                <w:color w:val="auto"/>
              </w:rPr>
            </w:pPr>
            <w:r w:rsidRPr="00242122">
              <w:rPr>
                <w:color w:val="auto"/>
              </w:rPr>
              <w:t xml:space="preserve">  21,03*</w:t>
            </w:r>
          </w:p>
        </w:tc>
        <w:tc>
          <w:tcPr>
            <w:tcW w:w="1467" w:type="dxa"/>
            <w:shd w:val="clear" w:color="auto" w:fill="auto"/>
          </w:tcPr>
          <w:p w:rsidR="00924A0A" w:rsidRPr="00242122" w:rsidRDefault="00924A0A" w:rsidP="00B8293F">
            <w:pPr>
              <w:pStyle w:val="Default"/>
              <w:jc w:val="center"/>
              <w:rPr>
                <w:color w:val="auto"/>
              </w:rPr>
            </w:pPr>
            <w:r w:rsidRPr="00242122">
              <w:rPr>
                <w:color w:val="auto"/>
              </w:rPr>
              <w:t>100</w:t>
            </w:r>
          </w:p>
        </w:tc>
      </w:tr>
      <w:tr w:rsidR="00924A0A" w:rsidRPr="00242122" w:rsidTr="00B8293F">
        <w:tc>
          <w:tcPr>
            <w:tcW w:w="1276" w:type="dxa"/>
            <w:shd w:val="clear" w:color="auto" w:fill="auto"/>
          </w:tcPr>
          <w:p w:rsidR="00924A0A" w:rsidRPr="00242122" w:rsidRDefault="00924A0A" w:rsidP="00B8293F">
            <w:pPr>
              <w:pStyle w:val="Default"/>
              <w:jc w:val="both"/>
              <w:rPr>
                <w:color w:val="auto"/>
              </w:rPr>
            </w:pPr>
            <w:r w:rsidRPr="00242122">
              <w:rPr>
                <w:color w:val="auto"/>
              </w:rPr>
              <w:t>2007</w:t>
            </w:r>
          </w:p>
        </w:tc>
        <w:tc>
          <w:tcPr>
            <w:tcW w:w="2046" w:type="dxa"/>
            <w:shd w:val="clear" w:color="auto" w:fill="auto"/>
          </w:tcPr>
          <w:p w:rsidR="00924A0A" w:rsidRPr="00242122" w:rsidRDefault="00924A0A" w:rsidP="00B8293F">
            <w:pPr>
              <w:pStyle w:val="Default"/>
              <w:jc w:val="center"/>
              <w:rPr>
                <w:color w:val="auto"/>
              </w:rPr>
            </w:pPr>
            <w:r w:rsidRPr="00242122">
              <w:rPr>
                <w:color w:val="auto"/>
              </w:rPr>
              <w:t>82,11</w:t>
            </w:r>
          </w:p>
        </w:tc>
        <w:tc>
          <w:tcPr>
            <w:tcW w:w="1858" w:type="dxa"/>
            <w:shd w:val="clear" w:color="auto" w:fill="auto"/>
          </w:tcPr>
          <w:p w:rsidR="00924A0A" w:rsidRPr="00242122" w:rsidRDefault="00924A0A" w:rsidP="00B8293F">
            <w:pPr>
              <w:pStyle w:val="Default"/>
              <w:jc w:val="center"/>
              <w:rPr>
                <w:color w:val="auto"/>
              </w:rPr>
            </w:pPr>
            <w:r w:rsidRPr="00242122">
              <w:rPr>
                <w:color w:val="auto"/>
              </w:rPr>
              <w:t>2,79</w:t>
            </w:r>
          </w:p>
        </w:tc>
        <w:tc>
          <w:tcPr>
            <w:tcW w:w="1858" w:type="dxa"/>
            <w:shd w:val="clear" w:color="auto" w:fill="auto"/>
          </w:tcPr>
          <w:p w:rsidR="00924A0A" w:rsidRPr="00242122" w:rsidRDefault="00924A0A" w:rsidP="00B8293F">
            <w:pPr>
              <w:pStyle w:val="Default"/>
              <w:jc w:val="center"/>
              <w:rPr>
                <w:color w:val="auto"/>
              </w:rPr>
            </w:pPr>
            <w:r w:rsidRPr="00242122">
              <w:rPr>
                <w:color w:val="auto"/>
              </w:rPr>
              <w:t>15,09</w:t>
            </w:r>
          </w:p>
        </w:tc>
        <w:tc>
          <w:tcPr>
            <w:tcW w:w="1467" w:type="dxa"/>
            <w:shd w:val="clear" w:color="auto" w:fill="auto"/>
          </w:tcPr>
          <w:p w:rsidR="00924A0A" w:rsidRPr="00242122" w:rsidRDefault="00924A0A" w:rsidP="00B8293F">
            <w:pPr>
              <w:pStyle w:val="Default"/>
              <w:jc w:val="center"/>
              <w:rPr>
                <w:color w:val="auto"/>
              </w:rPr>
            </w:pPr>
            <w:r w:rsidRPr="00242122">
              <w:rPr>
                <w:color w:val="auto"/>
              </w:rPr>
              <w:t>100</w:t>
            </w:r>
          </w:p>
        </w:tc>
      </w:tr>
      <w:tr w:rsidR="00924A0A" w:rsidRPr="00242122" w:rsidTr="00B8293F">
        <w:tc>
          <w:tcPr>
            <w:tcW w:w="1276" w:type="dxa"/>
            <w:shd w:val="clear" w:color="auto" w:fill="auto"/>
          </w:tcPr>
          <w:p w:rsidR="00924A0A" w:rsidRPr="00242122" w:rsidRDefault="00924A0A" w:rsidP="00B8293F">
            <w:pPr>
              <w:pStyle w:val="Default"/>
              <w:jc w:val="both"/>
              <w:rPr>
                <w:color w:val="auto"/>
              </w:rPr>
            </w:pPr>
            <w:r w:rsidRPr="00242122">
              <w:rPr>
                <w:color w:val="auto"/>
              </w:rPr>
              <w:t>2012</w:t>
            </w:r>
          </w:p>
        </w:tc>
        <w:tc>
          <w:tcPr>
            <w:tcW w:w="2046" w:type="dxa"/>
            <w:shd w:val="clear" w:color="auto" w:fill="auto"/>
          </w:tcPr>
          <w:p w:rsidR="00924A0A" w:rsidRPr="00242122" w:rsidRDefault="00924A0A" w:rsidP="00B8293F">
            <w:pPr>
              <w:pStyle w:val="Default"/>
              <w:jc w:val="center"/>
              <w:rPr>
                <w:color w:val="auto"/>
              </w:rPr>
            </w:pPr>
            <w:r w:rsidRPr="00242122">
              <w:rPr>
                <w:color w:val="auto"/>
              </w:rPr>
              <w:t>80,86</w:t>
            </w:r>
          </w:p>
        </w:tc>
        <w:tc>
          <w:tcPr>
            <w:tcW w:w="1858" w:type="dxa"/>
            <w:shd w:val="clear" w:color="auto" w:fill="auto"/>
          </w:tcPr>
          <w:p w:rsidR="00924A0A" w:rsidRPr="00242122" w:rsidRDefault="00924A0A" w:rsidP="00B8293F">
            <w:pPr>
              <w:pStyle w:val="Default"/>
              <w:jc w:val="center"/>
              <w:rPr>
                <w:color w:val="auto"/>
              </w:rPr>
            </w:pPr>
            <w:r w:rsidRPr="00242122">
              <w:rPr>
                <w:color w:val="auto"/>
              </w:rPr>
              <w:t>3,01</w:t>
            </w:r>
          </w:p>
        </w:tc>
        <w:tc>
          <w:tcPr>
            <w:tcW w:w="1858" w:type="dxa"/>
            <w:shd w:val="clear" w:color="auto" w:fill="auto"/>
          </w:tcPr>
          <w:p w:rsidR="00924A0A" w:rsidRPr="00242122" w:rsidRDefault="00924A0A" w:rsidP="00B8293F">
            <w:pPr>
              <w:pStyle w:val="Default"/>
              <w:jc w:val="center"/>
              <w:rPr>
                <w:color w:val="auto"/>
              </w:rPr>
            </w:pPr>
            <w:r w:rsidRPr="00242122">
              <w:rPr>
                <w:color w:val="auto"/>
              </w:rPr>
              <w:t>16,13</w:t>
            </w:r>
          </w:p>
        </w:tc>
        <w:tc>
          <w:tcPr>
            <w:tcW w:w="1467" w:type="dxa"/>
            <w:shd w:val="clear" w:color="auto" w:fill="auto"/>
          </w:tcPr>
          <w:p w:rsidR="00924A0A" w:rsidRPr="00242122" w:rsidRDefault="00924A0A" w:rsidP="00B8293F">
            <w:pPr>
              <w:pStyle w:val="Default"/>
              <w:jc w:val="center"/>
              <w:rPr>
                <w:color w:val="auto"/>
              </w:rPr>
            </w:pPr>
            <w:r w:rsidRPr="00242122">
              <w:rPr>
                <w:color w:val="auto"/>
              </w:rPr>
              <w:t>100</w:t>
            </w:r>
          </w:p>
        </w:tc>
      </w:tr>
      <w:tr w:rsidR="00924A0A" w:rsidRPr="00242122" w:rsidTr="00B8293F">
        <w:tc>
          <w:tcPr>
            <w:tcW w:w="1276" w:type="dxa"/>
            <w:shd w:val="clear" w:color="auto" w:fill="auto"/>
          </w:tcPr>
          <w:p w:rsidR="00924A0A" w:rsidRPr="00242122" w:rsidRDefault="00924A0A" w:rsidP="00B8293F">
            <w:pPr>
              <w:pStyle w:val="Default"/>
              <w:jc w:val="both"/>
              <w:rPr>
                <w:color w:val="auto"/>
              </w:rPr>
            </w:pPr>
            <w:r w:rsidRPr="00242122">
              <w:rPr>
                <w:color w:val="auto"/>
              </w:rPr>
              <w:t>2013</w:t>
            </w:r>
          </w:p>
        </w:tc>
        <w:tc>
          <w:tcPr>
            <w:tcW w:w="2046" w:type="dxa"/>
            <w:shd w:val="clear" w:color="auto" w:fill="auto"/>
          </w:tcPr>
          <w:p w:rsidR="00924A0A" w:rsidRPr="00242122" w:rsidRDefault="00924A0A" w:rsidP="00B8293F">
            <w:pPr>
              <w:pStyle w:val="Default"/>
              <w:jc w:val="center"/>
              <w:rPr>
                <w:color w:val="auto"/>
              </w:rPr>
            </w:pPr>
            <w:r w:rsidRPr="00242122">
              <w:rPr>
                <w:color w:val="auto"/>
              </w:rPr>
              <w:t>81,64</w:t>
            </w:r>
          </w:p>
        </w:tc>
        <w:tc>
          <w:tcPr>
            <w:tcW w:w="1858" w:type="dxa"/>
            <w:shd w:val="clear" w:color="auto" w:fill="auto"/>
          </w:tcPr>
          <w:p w:rsidR="00924A0A" w:rsidRPr="00242122" w:rsidRDefault="00924A0A" w:rsidP="00B8293F">
            <w:pPr>
              <w:pStyle w:val="Default"/>
              <w:jc w:val="center"/>
              <w:rPr>
                <w:color w:val="auto"/>
              </w:rPr>
            </w:pPr>
            <w:r w:rsidRPr="00242122">
              <w:rPr>
                <w:color w:val="auto"/>
              </w:rPr>
              <w:t>2,43</w:t>
            </w:r>
          </w:p>
        </w:tc>
        <w:tc>
          <w:tcPr>
            <w:tcW w:w="1858" w:type="dxa"/>
            <w:shd w:val="clear" w:color="auto" w:fill="auto"/>
          </w:tcPr>
          <w:p w:rsidR="00924A0A" w:rsidRPr="00242122" w:rsidRDefault="00924A0A" w:rsidP="00B8293F">
            <w:pPr>
              <w:pStyle w:val="Default"/>
              <w:jc w:val="center"/>
              <w:rPr>
                <w:color w:val="auto"/>
              </w:rPr>
            </w:pPr>
            <w:r w:rsidRPr="00242122">
              <w:rPr>
                <w:color w:val="auto"/>
              </w:rPr>
              <w:t>15,93</w:t>
            </w:r>
          </w:p>
        </w:tc>
        <w:tc>
          <w:tcPr>
            <w:tcW w:w="1467" w:type="dxa"/>
            <w:shd w:val="clear" w:color="auto" w:fill="auto"/>
          </w:tcPr>
          <w:p w:rsidR="00924A0A" w:rsidRPr="00242122" w:rsidRDefault="00924A0A" w:rsidP="00B8293F">
            <w:pPr>
              <w:pStyle w:val="Default"/>
              <w:jc w:val="center"/>
              <w:rPr>
                <w:color w:val="auto"/>
              </w:rPr>
            </w:pPr>
            <w:r w:rsidRPr="00242122">
              <w:rPr>
                <w:color w:val="auto"/>
              </w:rPr>
              <w:t>100</w:t>
            </w:r>
          </w:p>
        </w:tc>
      </w:tr>
      <w:tr w:rsidR="00924A0A" w:rsidRPr="00242122" w:rsidTr="00B8293F">
        <w:tc>
          <w:tcPr>
            <w:tcW w:w="1276" w:type="dxa"/>
            <w:shd w:val="clear" w:color="auto" w:fill="auto"/>
          </w:tcPr>
          <w:p w:rsidR="00924A0A" w:rsidRPr="00242122" w:rsidRDefault="00924A0A" w:rsidP="00B8293F">
            <w:pPr>
              <w:pStyle w:val="Default"/>
              <w:jc w:val="both"/>
              <w:rPr>
                <w:color w:val="auto"/>
              </w:rPr>
            </w:pPr>
            <w:r w:rsidRPr="00242122">
              <w:rPr>
                <w:color w:val="auto"/>
              </w:rPr>
              <w:t>2015</w:t>
            </w:r>
          </w:p>
        </w:tc>
        <w:tc>
          <w:tcPr>
            <w:tcW w:w="2046" w:type="dxa"/>
            <w:shd w:val="clear" w:color="auto" w:fill="auto"/>
          </w:tcPr>
          <w:p w:rsidR="00924A0A" w:rsidRPr="00242122" w:rsidRDefault="00924A0A" w:rsidP="00B8293F">
            <w:pPr>
              <w:pStyle w:val="Default"/>
              <w:jc w:val="center"/>
              <w:rPr>
                <w:color w:val="auto"/>
              </w:rPr>
            </w:pPr>
            <w:r w:rsidRPr="00242122">
              <w:rPr>
                <w:color w:val="auto"/>
              </w:rPr>
              <w:t>81,60</w:t>
            </w:r>
          </w:p>
        </w:tc>
        <w:tc>
          <w:tcPr>
            <w:tcW w:w="1858" w:type="dxa"/>
            <w:shd w:val="clear" w:color="auto" w:fill="auto"/>
          </w:tcPr>
          <w:p w:rsidR="00924A0A" w:rsidRPr="00242122" w:rsidRDefault="00924A0A" w:rsidP="00B8293F">
            <w:pPr>
              <w:pStyle w:val="Default"/>
              <w:jc w:val="center"/>
              <w:rPr>
                <w:color w:val="auto"/>
              </w:rPr>
            </w:pPr>
            <w:r w:rsidRPr="00242122">
              <w:rPr>
                <w:color w:val="auto"/>
              </w:rPr>
              <w:t>2,28</w:t>
            </w:r>
          </w:p>
        </w:tc>
        <w:tc>
          <w:tcPr>
            <w:tcW w:w="1858" w:type="dxa"/>
            <w:shd w:val="clear" w:color="auto" w:fill="auto"/>
          </w:tcPr>
          <w:p w:rsidR="00924A0A" w:rsidRPr="00242122" w:rsidRDefault="00924A0A" w:rsidP="00B8293F">
            <w:pPr>
              <w:pStyle w:val="Default"/>
              <w:jc w:val="center"/>
              <w:rPr>
                <w:color w:val="auto"/>
              </w:rPr>
            </w:pPr>
            <w:r w:rsidRPr="00242122">
              <w:rPr>
                <w:color w:val="auto"/>
              </w:rPr>
              <w:t>16,12</w:t>
            </w:r>
          </w:p>
        </w:tc>
        <w:tc>
          <w:tcPr>
            <w:tcW w:w="1467" w:type="dxa"/>
            <w:shd w:val="clear" w:color="auto" w:fill="auto"/>
          </w:tcPr>
          <w:p w:rsidR="00924A0A" w:rsidRPr="00242122" w:rsidRDefault="00924A0A" w:rsidP="00B8293F">
            <w:pPr>
              <w:pStyle w:val="Default"/>
              <w:jc w:val="center"/>
              <w:rPr>
                <w:color w:val="auto"/>
              </w:rPr>
            </w:pPr>
            <w:r w:rsidRPr="00242122">
              <w:rPr>
                <w:color w:val="auto"/>
              </w:rPr>
              <w:t>100</w:t>
            </w:r>
          </w:p>
        </w:tc>
      </w:tr>
      <w:tr w:rsidR="00924A0A" w:rsidRPr="00242122" w:rsidTr="00B8293F">
        <w:tc>
          <w:tcPr>
            <w:tcW w:w="1276" w:type="dxa"/>
            <w:shd w:val="clear" w:color="auto" w:fill="auto"/>
          </w:tcPr>
          <w:p w:rsidR="00924A0A" w:rsidRPr="00242122" w:rsidRDefault="00924A0A" w:rsidP="00B8293F">
            <w:pPr>
              <w:pStyle w:val="Default"/>
              <w:jc w:val="both"/>
              <w:rPr>
                <w:color w:val="auto"/>
              </w:rPr>
            </w:pPr>
            <w:r w:rsidRPr="00242122">
              <w:rPr>
                <w:color w:val="auto"/>
              </w:rPr>
              <w:t>2016</w:t>
            </w:r>
          </w:p>
        </w:tc>
        <w:tc>
          <w:tcPr>
            <w:tcW w:w="2046" w:type="dxa"/>
            <w:shd w:val="clear" w:color="auto" w:fill="auto"/>
          </w:tcPr>
          <w:p w:rsidR="00924A0A" w:rsidRPr="00242122" w:rsidRDefault="00924A0A" w:rsidP="00B8293F">
            <w:pPr>
              <w:pStyle w:val="Default"/>
              <w:jc w:val="center"/>
              <w:rPr>
                <w:color w:val="auto"/>
              </w:rPr>
            </w:pPr>
            <w:r w:rsidRPr="00242122">
              <w:t>81,60</w:t>
            </w:r>
          </w:p>
        </w:tc>
        <w:tc>
          <w:tcPr>
            <w:tcW w:w="1858" w:type="dxa"/>
            <w:shd w:val="clear" w:color="auto" w:fill="auto"/>
          </w:tcPr>
          <w:p w:rsidR="00924A0A" w:rsidRPr="00242122" w:rsidRDefault="00924A0A" w:rsidP="00B8293F">
            <w:pPr>
              <w:pStyle w:val="Default"/>
              <w:jc w:val="center"/>
              <w:rPr>
                <w:color w:val="auto"/>
              </w:rPr>
            </w:pPr>
            <w:r w:rsidRPr="00242122">
              <w:t>2,28</w:t>
            </w:r>
          </w:p>
        </w:tc>
        <w:tc>
          <w:tcPr>
            <w:tcW w:w="1858" w:type="dxa"/>
            <w:shd w:val="clear" w:color="auto" w:fill="auto"/>
          </w:tcPr>
          <w:p w:rsidR="00924A0A" w:rsidRPr="00242122" w:rsidRDefault="00924A0A" w:rsidP="00B8293F">
            <w:pPr>
              <w:pStyle w:val="Default"/>
              <w:jc w:val="center"/>
              <w:rPr>
                <w:color w:val="auto"/>
              </w:rPr>
            </w:pPr>
            <w:r w:rsidRPr="00242122">
              <w:t>16,12</w:t>
            </w:r>
          </w:p>
        </w:tc>
        <w:tc>
          <w:tcPr>
            <w:tcW w:w="1467" w:type="dxa"/>
            <w:shd w:val="clear" w:color="auto" w:fill="auto"/>
          </w:tcPr>
          <w:p w:rsidR="00924A0A" w:rsidRPr="00242122" w:rsidRDefault="00924A0A" w:rsidP="00B8293F">
            <w:pPr>
              <w:pStyle w:val="Default"/>
              <w:jc w:val="center"/>
              <w:rPr>
                <w:color w:val="auto"/>
              </w:rPr>
            </w:pPr>
            <w:r w:rsidRPr="00242122">
              <w:t>100</w:t>
            </w:r>
          </w:p>
        </w:tc>
      </w:tr>
      <w:tr w:rsidR="00924A0A" w:rsidRPr="00242122" w:rsidTr="00B8293F">
        <w:tc>
          <w:tcPr>
            <w:tcW w:w="1276" w:type="dxa"/>
            <w:shd w:val="clear" w:color="auto" w:fill="auto"/>
          </w:tcPr>
          <w:p w:rsidR="00924A0A" w:rsidRPr="00242122" w:rsidRDefault="00924A0A" w:rsidP="00B8293F">
            <w:pPr>
              <w:pStyle w:val="Default"/>
              <w:jc w:val="both"/>
              <w:rPr>
                <w:color w:val="auto"/>
              </w:rPr>
            </w:pPr>
            <w:r w:rsidRPr="00242122">
              <w:rPr>
                <w:color w:val="auto"/>
              </w:rPr>
              <w:t>2017</w:t>
            </w:r>
          </w:p>
        </w:tc>
        <w:tc>
          <w:tcPr>
            <w:tcW w:w="2046" w:type="dxa"/>
            <w:shd w:val="clear" w:color="auto" w:fill="auto"/>
          </w:tcPr>
          <w:p w:rsidR="00924A0A" w:rsidRPr="00242122" w:rsidRDefault="00924A0A" w:rsidP="00B8293F">
            <w:pPr>
              <w:pStyle w:val="Default"/>
              <w:jc w:val="center"/>
            </w:pPr>
            <w:r w:rsidRPr="00242122">
              <w:t>81,60</w:t>
            </w:r>
          </w:p>
        </w:tc>
        <w:tc>
          <w:tcPr>
            <w:tcW w:w="1858" w:type="dxa"/>
            <w:shd w:val="clear" w:color="auto" w:fill="auto"/>
          </w:tcPr>
          <w:p w:rsidR="00924A0A" w:rsidRPr="00242122" w:rsidRDefault="00924A0A" w:rsidP="00B8293F">
            <w:pPr>
              <w:pStyle w:val="Default"/>
              <w:jc w:val="center"/>
            </w:pPr>
            <w:r w:rsidRPr="00242122">
              <w:t>2,28</w:t>
            </w:r>
          </w:p>
        </w:tc>
        <w:tc>
          <w:tcPr>
            <w:tcW w:w="1858" w:type="dxa"/>
            <w:shd w:val="clear" w:color="auto" w:fill="auto"/>
          </w:tcPr>
          <w:p w:rsidR="00924A0A" w:rsidRPr="00242122" w:rsidRDefault="00924A0A" w:rsidP="00B8293F">
            <w:pPr>
              <w:pStyle w:val="Default"/>
              <w:jc w:val="center"/>
            </w:pPr>
            <w:r w:rsidRPr="00242122">
              <w:t>16,12</w:t>
            </w:r>
          </w:p>
        </w:tc>
        <w:tc>
          <w:tcPr>
            <w:tcW w:w="1467" w:type="dxa"/>
            <w:shd w:val="clear" w:color="auto" w:fill="auto"/>
          </w:tcPr>
          <w:p w:rsidR="00924A0A" w:rsidRPr="00242122" w:rsidRDefault="00924A0A" w:rsidP="00B8293F">
            <w:pPr>
              <w:pStyle w:val="Default"/>
              <w:jc w:val="center"/>
            </w:pPr>
            <w:r w:rsidRPr="00242122">
              <w:t>100</w:t>
            </w:r>
          </w:p>
        </w:tc>
      </w:tr>
      <w:tr w:rsidR="00924A0A" w:rsidRPr="00242122" w:rsidTr="00B8293F">
        <w:tc>
          <w:tcPr>
            <w:tcW w:w="1276" w:type="dxa"/>
            <w:shd w:val="clear" w:color="auto" w:fill="auto"/>
          </w:tcPr>
          <w:p w:rsidR="00924A0A" w:rsidRPr="00242122" w:rsidRDefault="00924A0A" w:rsidP="00B8293F">
            <w:pPr>
              <w:pStyle w:val="Default"/>
              <w:jc w:val="both"/>
              <w:rPr>
                <w:color w:val="auto"/>
              </w:rPr>
            </w:pPr>
            <w:r w:rsidRPr="00242122">
              <w:rPr>
                <w:color w:val="auto"/>
              </w:rPr>
              <w:t>2018</w:t>
            </w:r>
          </w:p>
        </w:tc>
        <w:tc>
          <w:tcPr>
            <w:tcW w:w="2046" w:type="dxa"/>
            <w:shd w:val="clear" w:color="auto" w:fill="auto"/>
          </w:tcPr>
          <w:p w:rsidR="00924A0A" w:rsidRPr="00242122" w:rsidRDefault="00924A0A" w:rsidP="00B8293F">
            <w:pPr>
              <w:pStyle w:val="Default"/>
              <w:jc w:val="center"/>
            </w:pPr>
            <w:r w:rsidRPr="00242122">
              <w:t>81,60</w:t>
            </w:r>
          </w:p>
        </w:tc>
        <w:tc>
          <w:tcPr>
            <w:tcW w:w="1858" w:type="dxa"/>
            <w:shd w:val="clear" w:color="auto" w:fill="auto"/>
          </w:tcPr>
          <w:p w:rsidR="00924A0A" w:rsidRPr="00242122" w:rsidRDefault="00924A0A" w:rsidP="00B8293F">
            <w:pPr>
              <w:pStyle w:val="Default"/>
              <w:jc w:val="center"/>
            </w:pPr>
            <w:r w:rsidRPr="00242122">
              <w:t>2,28</w:t>
            </w:r>
          </w:p>
        </w:tc>
        <w:tc>
          <w:tcPr>
            <w:tcW w:w="1858" w:type="dxa"/>
            <w:shd w:val="clear" w:color="auto" w:fill="auto"/>
          </w:tcPr>
          <w:p w:rsidR="00924A0A" w:rsidRPr="00242122" w:rsidRDefault="00924A0A" w:rsidP="00B8293F">
            <w:pPr>
              <w:pStyle w:val="Default"/>
              <w:jc w:val="center"/>
            </w:pPr>
            <w:r w:rsidRPr="00242122">
              <w:t>16,12</w:t>
            </w:r>
          </w:p>
        </w:tc>
        <w:tc>
          <w:tcPr>
            <w:tcW w:w="1467" w:type="dxa"/>
            <w:shd w:val="clear" w:color="auto" w:fill="auto"/>
          </w:tcPr>
          <w:p w:rsidR="00924A0A" w:rsidRPr="00242122" w:rsidRDefault="00924A0A" w:rsidP="00B8293F">
            <w:pPr>
              <w:pStyle w:val="Default"/>
              <w:jc w:val="center"/>
            </w:pPr>
            <w:r w:rsidRPr="00242122">
              <w:t>100</w:t>
            </w:r>
          </w:p>
        </w:tc>
      </w:tr>
      <w:tr w:rsidR="00924A0A" w:rsidRPr="00242122" w:rsidTr="00B8293F">
        <w:tc>
          <w:tcPr>
            <w:tcW w:w="1276" w:type="dxa"/>
            <w:shd w:val="clear" w:color="auto" w:fill="auto"/>
          </w:tcPr>
          <w:p w:rsidR="00924A0A" w:rsidRPr="00242122" w:rsidRDefault="00924A0A" w:rsidP="00B8293F">
            <w:pPr>
              <w:pStyle w:val="Default"/>
              <w:jc w:val="both"/>
              <w:rPr>
                <w:color w:val="auto"/>
              </w:rPr>
            </w:pPr>
            <w:r w:rsidRPr="00242122">
              <w:rPr>
                <w:color w:val="auto"/>
              </w:rPr>
              <w:t>2019</w:t>
            </w:r>
          </w:p>
        </w:tc>
        <w:tc>
          <w:tcPr>
            <w:tcW w:w="2046" w:type="dxa"/>
            <w:shd w:val="clear" w:color="auto" w:fill="auto"/>
          </w:tcPr>
          <w:p w:rsidR="00924A0A" w:rsidRPr="00242122" w:rsidRDefault="00924A0A" w:rsidP="00B8293F">
            <w:pPr>
              <w:pStyle w:val="Default"/>
              <w:jc w:val="center"/>
            </w:pPr>
            <w:r w:rsidRPr="00242122">
              <w:t>81,60</w:t>
            </w:r>
          </w:p>
        </w:tc>
        <w:tc>
          <w:tcPr>
            <w:tcW w:w="1858" w:type="dxa"/>
            <w:shd w:val="clear" w:color="auto" w:fill="auto"/>
          </w:tcPr>
          <w:p w:rsidR="00924A0A" w:rsidRPr="00242122" w:rsidRDefault="00924A0A" w:rsidP="00B8293F">
            <w:pPr>
              <w:pStyle w:val="Default"/>
              <w:jc w:val="center"/>
            </w:pPr>
            <w:r w:rsidRPr="00242122">
              <w:t>2,28</w:t>
            </w:r>
          </w:p>
        </w:tc>
        <w:tc>
          <w:tcPr>
            <w:tcW w:w="1858" w:type="dxa"/>
            <w:shd w:val="clear" w:color="auto" w:fill="auto"/>
          </w:tcPr>
          <w:p w:rsidR="00924A0A" w:rsidRPr="00242122" w:rsidRDefault="00924A0A" w:rsidP="00B8293F">
            <w:pPr>
              <w:pStyle w:val="Default"/>
              <w:jc w:val="center"/>
            </w:pPr>
            <w:r w:rsidRPr="00242122">
              <w:t>16,12</w:t>
            </w:r>
          </w:p>
        </w:tc>
        <w:tc>
          <w:tcPr>
            <w:tcW w:w="1467" w:type="dxa"/>
            <w:shd w:val="clear" w:color="auto" w:fill="auto"/>
          </w:tcPr>
          <w:p w:rsidR="00924A0A" w:rsidRPr="00242122" w:rsidRDefault="00924A0A" w:rsidP="00B8293F">
            <w:pPr>
              <w:pStyle w:val="Default"/>
              <w:jc w:val="center"/>
            </w:pPr>
            <w:r w:rsidRPr="00242122">
              <w:t>100</w:t>
            </w:r>
          </w:p>
        </w:tc>
      </w:tr>
      <w:tr w:rsidR="00924A0A" w:rsidRPr="00242122" w:rsidTr="00B8293F">
        <w:tc>
          <w:tcPr>
            <w:tcW w:w="1276" w:type="dxa"/>
            <w:shd w:val="clear" w:color="auto" w:fill="auto"/>
          </w:tcPr>
          <w:p w:rsidR="00924A0A" w:rsidRPr="00242122" w:rsidRDefault="00924A0A" w:rsidP="00B8293F">
            <w:pPr>
              <w:pStyle w:val="Default"/>
              <w:jc w:val="both"/>
              <w:rPr>
                <w:color w:val="auto"/>
              </w:rPr>
            </w:pPr>
            <w:r w:rsidRPr="00242122">
              <w:rPr>
                <w:color w:val="auto"/>
              </w:rPr>
              <w:t>2020**</w:t>
            </w:r>
          </w:p>
        </w:tc>
        <w:tc>
          <w:tcPr>
            <w:tcW w:w="2046" w:type="dxa"/>
            <w:shd w:val="clear" w:color="auto" w:fill="auto"/>
          </w:tcPr>
          <w:p w:rsidR="00924A0A" w:rsidRPr="00242122" w:rsidRDefault="00924A0A" w:rsidP="00B8293F">
            <w:pPr>
              <w:pStyle w:val="Default"/>
              <w:jc w:val="center"/>
            </w:pPr>
            <w:r w:rsidRPr="00242122">
              <w:t>81,32</w:t>
            </w:r>
          </w:p>
        </w:tc>
        <w:tc>
          <w:tcPr>
            <w:tcW w:w="1858" w:type="dxa"/>
            <w:shd w:val="clear" w:color="auto" w:fill="auto"/>
          </w:tcPr>
          <w:p w:rsidR="00924A0A" w:rsidRPr="00242122" w:rsidRDefault="00924A0A" w:rsidP="00B8293F">
            <w:pPr>
              <w:pStyle w:val="Default"/>
              <w:jc w:val="center"/>
            </w:pPr>
            <w:r w:rsidRPr="00242122">
              <w:t>2,28</w:t>
            </w:r>
          </w:p>
        </w:tc>
        <w:tc>
          <w:tcPr>
            <w:tcW w:w="1858" w:type="dxa"/>
            <w:shd w:val="clear" w:color="auto" w:fill="auto"/>
          </w:tcPr>
          <w:p w:rsidR="00924A0A" w:rsidRPr="00242122" w:rsidRDefault="00924A0A" w:rsidP="00B8293F">
            <w:pPr>
              <w:pStyle w:val="Default"/>
              <w:jc w:val="center"/>
            </w:pPr>
            <w:r w:rsidRPr="00242122">
              <w:t>16,40</w:t>
            </w:r>
          </w:p>
        </w:tc>
        <w:tc>
          <w:tcPr>
            <w:tcW w:w="1467" w:type="dxa"/>
            <w:shd w:val="clear" w:color="auto" w:fill="auto"/>
          </w:tcPr>
          <w:p w:rsidR="00924A0A" w:rsidRPr="00242122" w:rsidRDefault="00924A0A" w:rsidP="00B8293F">
            <w:pPr>
              <w:pStyle w:val="Default"/>
              <w:jc w:val="center"/>
            </w:pPr>
            <w:r w:rsidRPr="00242122">
              <w:t>100</w:t>
            </w:r>
          </w:p>
        </w:tc>
      </w:tr>
      <w:tr w:rsidR="00924A0A" w:rsidRPr="00242122" w:rsidTr="00B8293F">
        <w:tc>
          <w:tcPr>
            <w:tcW w:w="1276" w:type="dxa"/>
            <w:shd w:val="clear" w:color="auto" w:fill="auto"/>
          </w:tcPr>
          <w:p w:rsidR="00924A0A" w:rsidRPr="00242122" w:rsidRDefault="00924A0A" w:rsidP="00B8293F">
            <w:pPr>
              <w:pStyle w:val="Default"/>
              <w:jc w:val="both"/>
              <w:rPr>
                <w:color w:val="auto"/>
              </w:rPr>
            </w:pPr>
            <w:r w:rsidRPr="00242122">
              <w:rPr>
                <w:color w:val="auto"/>
              </w:rPr>
              <w:t>2021**</w:t>
            </w:r>
          </w:p>
        </w:tc>
        <w:tc>
          <w:tcPr>
            <w:tcW w:w="2046" w:type="dxa"/>
            <w:shd w:val="clear" w:color="auto" w:fill="auto"/>
          </w:tcPr>
          <w:p w:rsidR="00924A0A" w:rsidRPr="00242122" w:rsidRDefault="00924A0A" w:rsidP="00B8293F">
            <w:pPr>
              <w:pStyle w:val="Default"/>
              <w:jc w:val="center"/>
            </w:pPr>
            <w:r w:rsidRPr="00242122">
              <w:t>81,19</w:t>
            </w:r>
          </w:p>
        </w:tc>
        <w:tc>
          <w:tcPr>
            <w:tcW w:w="1858" w:type="dxa"/>
            <w:shd w:val="clear" w:color="auto" w:fill="auto"/>
          </w:tcPr>
          <w:p w:rsidR="00924A0A" w:rsidRPr="00242122" w:rsidRDefault="00924A0A" w:rsidP="00B8293F">
            <w:pPr>
              <w:pStyle w:val="Default"/>
              <w:jc w:val="center"/>
            </w:pPr>
            <w:r w:rsidRPr="00242122">
              <w:t>2,28</w:t>
            </w:r>
          </w:p>
        </w:tc>
        <w:tc>
          <w:tcPr>
            <w:tcW w:w="1858" w:type="dxa"/>
            <w:shd w:val="clear" w:color="auto" w:fill="auto"/>
          </w:tcPr>
          <w:p w:rsidR="00924A0A" w:rsidRPr="00242122" w:rsidRDefault="00924A0A" w:rsidP="00B8293F">
            <w:pPr>
              <w:pStyle w:val="Default"/>
              <w:jc w:val="center"/>
            </w:pPr>
            <w:r w:rsidRPr="00242122">
              <w:t>16,53</w:t>
            </w:r>
          </w:p>
        </w:tc>
        <w:tc>
          <w:tcPr>
            <w:tcW w:w="1467" w:type="dxa"/>
            <w:shd w:val="clear" w:color="auto" w:fill="auto"/>
          </w:tcPr>
          <w:p w:rsidR="00924A0A" w:rsidRPr="00242122" w:rsidRDefault="00924A0A" w:rsidP="00B8293F">
            <w:pPr>
              <w:pStyle w:val="Default"/>
              <w:jc w:val="center"/>
            </w:pPr>
            <w:r w:rsidRPr="00242122">
              <w:t>100</w:t>
            </w:r>
          </w:p>
        </w:tc>
      </w:tr>
    </w:tbl>
    <w:p w:rsidR="00924A0A" w:rsidRPr="00242122" w:rsidRDefault="00924A0A" w:rsidP="00924A0A">
      <w:pPr>
        <w:spacing w:after="0" w:line="240" w:lineRule="auto"/>
        <w:ind w:left="426" w:hanging="142"/>
        <w:rPr>
          <w:rFonts w:ascii="Arial" w:hAnsi="Arial" w:cs="Arial"/>
          <w:i/>
          <w:sz w:val="20"/>
          <w:szCs w:val="20"/>
        </w:rPr>
      </w:pPr>
      <w:r w:rsidRPr="00242122">
        <w:rPr>
          <w:rFonts w:ascii="Arial" w:hAnsi="Arial" w:cs="Arial"/>
          <w:i/>
          <w:sz w:val="20"/>
          <w:szCs w:val="20"/>
        </w:rPr>
        <w:t>* inclusiv corpurile de apă considerate posibil a fi puternic modificate, conform nivelului de informații disponibile la acel moment (2004)</w:t>
      </w:r>
    </w:p>
    <w:p w:rsidR="00924A0A" w:rsidRPr="00242122" w:rsidRDefault="00924A0A" w:rsidP="00924A0A">
      <w:pPr>
        <w:spacing w:after="0" w:line="240" w:lineRule="auto"/>
        <w:ind w:left="426" w:hanging="142"/>
        <w:rPr>
          <w:rFonts w:ascii="Arial" w:hAnsi="Arial" w:cs="Arial"/>
          <w:i/>
          <w:sz w:val="20"/>
          <w:szCs w:val="20"/>
        </w:rPr>
      </w:pPr>
      <w:r w:rsidRPr="00242122">
        <w:rPr>
          <w:rFonts w:ascii="Arial" w:hAnsi="Arial" w:cs="Arial"/>
          <w:i/>
          <w:sz w:val="20"/>
          <w:szCs w:val="20"/>
        </w:rPr>
        <w:t xml:space="preserve">** potrivit Planului Național de management actualizat 2021 </w:t>
      </w:r>
      <w:bookmarkStart w:id="12" w:name="_Hlk76479484"/>
      <w:r w:rsidRPr="00242122">
        <w:rPr>
          <w:rFonts w:ascii="Arial" w:hAnsi="Arial" w:cs="Arial"/>
          <w:i/>
          <w:sz w:val="20"/>
          <w:szCs w:val="20"/>
        </w:rPr>
        <w:t>(</w:t>
      </w:r>
      <w:hyperlink r:id="rId43" w:history="1">
        <w:r w:rsidRPr="00242122">
          <w:rPr>
            <w:rStyle w:val="Hyperlink"/>
            <w:rFonts w:ascii="Arial" w:hAnsi="Arial" w:cs="Arial"/>
            <w:i/>
            <w:sz w:val="20"/>
            <w:szCs w:val="20"/>
          </w:rPr>
          <w:t>https://rowater.ro/despre-noi/descrierea-activitatii/managementul-european-integrat-resurse-de-apa/planurile-de-management-ale-bazinelor-hidrografice/planuri-de-management-nationale/</w:t>
        </w:r>
      </w:hyperlink>
      <w:r w:rsidRPr="00242122">
        <w:rPr>
          <w:rFonts w:ascii="Arial" w:hAnsi="Arial" w:cs="Arial"/>
          <w:i/>
          <w:sz w:val="20"/>
          <w:szCs w:val="20"/>
        </w:rPr>
        <w:t>)</w:t>
      </w:r>
    </w:p>
    <w:p w:rsidR="00924A0A" w:rsidRPr="00242122" w:rsidRDefault="00924A0A" w:rsidP="00924A0A">
      <w:pPr>
        <w:spacing w:before="120" w:after="120" w:line="240" w:lineRule="auto"/>
        <w:ind w:firstLine="6946"/>
        <w:jc w:val="both"/>
        <w:rPr>
          <w:rFonts w:ascii="Arial" w:hAnsi="Arial" w:cs="Arial"/>
          <w:b/>
          <w:sz w:val="24"/>
          <w:szCs w:val="24"/>
        </w:rPr>
      </w:pPr>
      <w:bookmarkStart w:id="13" w:name="_Hlk105575998"/>
      <w:bookmarkEnd w:id="12"/>
      <w:r w:rsidRPr="00242122">
        <w:rPr>
          <w:rFonts w:ascii="Arial" w:hAnsi="Arial" w:cs="Arial"/>
          <w:b/>
          <w:sz w:val="24"/>
          <w:szCs w:val="24"/>
        </w:rPr>
        <w:t>Tabel II.1.1.4.1</w:t>
      </w:r>
    </w:p>
    <w:bookmarkEnd w:id="13"/>
    <w:p w:rsidR="00924A0A" w:rsidRPr="00242122" w:rsidRDefault="00924A0A" w:rsidP="00924A0A">
      <w:pPr>
        <w:spacing w:before="120" w:after="120" w:line="240" w:lineRule="auto"/>
        <w:jc w:val="both"/>
        <w:rPr>
          <w:rFonts w:ascii="Arial" w:hAnsi="Arial" w:cs="Arial"/>
          <w:i/>
          <w:sz w:val="24"/>
          <w:szCs w:val="24"/>
        </w:rPr>
      </w:pPr>
      <w:r w:rsidRPr="00242122">
        <w:rPr>
          <w:rFonts w:ascii="Arial" w:hAnsi="Arial" w:cs="Arial"/>
          <w:i/>
          <w:sz w:val="24"/>
          <w:szCs w:val="24"/>
        </w:rPr>
        <w:t>(Sursa datelor: Administrația Națională „Apele Române”, rapoarte conform cerințelor art. 5 și 13 ale Directivei Cadru Apă 2000/60/CE)</w:t>
      </w:r>
    </w:p>
    <w:p w:rsidR="00924A0A" w:rsidRPr="00242122" w:rsidRDefault="00924A0A" w:rsidP="00924A0A">
      <w:pPr>
        <w:spacing w:before="120" w:after="120" w:line="240" w:lineRule="auto"/>
        <w:ind w:firstLine="567"/>
        <w:jc w:val="both"/>
        <w:rPr>
          <w:rFonts w:ascii="Arial" w:hAnsi="Arial" w:cs="Arial"/>
          <w:sz w:val="24"/>
          <w:szCs w:val="24"/>
        </w:rPr>
      </w:pPr>
      <w:r w:rsidRPr="00242122">
        <w:rPr>
          <w:rFonts w:ascii="Arial" w:hAnsi="Arial" w:cs="Arial"/>
          <w:sz w:val="24"/>
          <w:szCs w:val="24"/>
        </w:rPr>
        <w:t>Criteriile pentru identificarea presiunilor hidromorfologice utilizate în cadrul Planului de Management actualizat (definite în cadrul Proiectului Regional UNDP-GEF al Dunării), au fost utilizate și în  proiectul Planului de Management actualizat 2021, ținând cont de tipul de presiune, intensitatea presiunii, stabilită pe baza unor parametrii abiotici, precum și efectul acestora asupra biotei.</w:t>
      </w:r>
    </w:p>
    <w:p w:rsidR="00924A0A" w:rsidRPr="00242122" w:rsidRDefault="00924A0A" w:rsidP="00924A0A">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Astfel, în cadrul celui de-al treilea Plan Național de Management al bazinelor/spațiilor hidrografice din România, au fost inventariate tipurile de presiuni hidromorfologice potențial semnificative identificate la nivel naţional </w:t>
      </w:r>
      <w:r w:rsidRPr="00242122">
        <w:rPr>
          <w:rFonts w:ascii="Arial" w:hAnsi="Arial" w:cs="Arial"/>
          <w:i/>
          <w:sz w:val="24"/>
          <w:szCs w:val="24"/>
        </w:rPr>
        <w:t>(Tabel II.1.1.4.2)</w:t>
      </w:r>
      <w:r w:rsidRPr="00242122">
        <w:rPr>
          <w:rFonts w:ascii="Arial" w:hAnsi="Arial" w:cs="Arial"/>
          <w:sz w:val="24"/>
          <w:szCs w:val="24"/>
        </w:rPr>
        <w:t xml:space="preserve">, datorate următoarelor categorii de lucrări: </w:t>
      </w:r>
    </w:p>
    <w:p w:rsidR="00924A0A" w:rsidRPr="00242122" w:rsidRDefault="00924A0A" w:rsidP="00924A0A">
      <w:pPr>
        <w:spacing w:before="120" w:after="120" w:line="240" w:lineRule="auto"/>
        <w:ind w:left="284" w:hanging="284"/>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Lucrări de barare transversală situate pe corpul de apă – de tip baraje, praguri de priză de alimentare cu apă, irigații, praguri de cădere sau rupere de pantă, praguri pentru corecție sau stabilizare talveg, cu efecte asupra regimului hidrologic, stabilității albiei, transportului sedimentelor și a migrării biotei și care întrerup conectivitatea longitudinală a corpului de apă;</w:t>
      </w:r>
    </w:p>
    <w:p w:rsidR="00924A0A" w:rsidRPr="00242122" w:rsidRDefault="00924A0A" w:rsidP="00924A0A">
      <w:pPr>
        <w:spacing w:before="120" w:after="120" w:line="240" w:lineRule="auto"/>
        <w:ind w:left="284" w:hanging="284"/>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Lucrări în lungul râului - de tip diguri, amenajări agricole și piscicole, lucrări de regularizare și consolidare maluri, tăieri de meandre - cu efecte asupra morfologiei albiei  si a zonei ripariene, a luncii inundabile, a vegetației din lunca inundabilă și a zonelor de reproducere și asupra profilului longitudinal al râului, structurii substratului și biotei, care conduc la pierderea conectivității laterale;</w:t>
      </w:r>
    </w:p>
    <w:p w:rsidR="00924A0A" w:rsidRPr="00242122" w:rsidRDefault="00924A0A" w:rsidP="00924A0A">
      <w:pPr>
        <w:spacing w:before="120" w:after="120" w:line="240" w:lineRule="auto"/>
        <w:ind w:left="284" w:hanging="284"/>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Prelevări și restituții/ derivații - prize de apă, restituții folosințe (evacuări), derivații cu efecte asupra curgerii minime, stabilității albiei și biotei;</w:t>
      </w:r>
    </w:p>
    <w:p w:rsidR="00924A0A" w:rsidRPr="00242122" w:rsidRDefault="00924A0A" w:rsidP="00924A0A">
      <w:pPr>
        <w:spacing w:before="120" w:after="120" w:line="240" w:lineRule="auto"/>
        <w:ind w:left="284" w:hanging="284"/>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 xml:space="preserve"> Șenale navigabile – cu efecte asupra stabilității albiei și biotei.</w:t>
      </w:r>
    </w:p>
    <w:p w:rsidR="00924A0A" w:rsidRPr="00242122" w:rsidRDefault="00924A0A" w:rsidP="00924A0A">
      <w:pPr>
        <w:spacing w:before="120" w:after="120" w:line="240" w:lineRule="auto"/>
        <w:ind w:firstLine="567"/>
        <w:jc w:val="both"/>
        <w:rPr>
          <w:rFonts w:ascii="Arial" w:hAnsi="Arial" w:cs="Arial"/>
          <w:sz w:val="24"/>
          <w:szCs w:val="24"/>
        </w:rPr>
      </w:pPr>
      <w:r w:rsidRPr="00242122">
        <w:rPr>
          <w:rFonts w:ascii="Arial" w:hAnsi="Arial" w:cs="Arial"/>
          <w:sz w:val="24"/>
          <w:szCs w:val="24"/>
        </w:rPr>
        <w:lastRenderedPageBreak/>
        <w:t xml:space="preserve">Aceste lucrări au fost executate pe corpurile de apă în diverse scopuri, și anume: protejarea populației împotriva inundațiilor, asigurarea cerinţei de apă, regularizarea debitelor naturale, producerea de energie prin hidrocentrale etc), cu efecte funcţionale pentru comunităţile umane. </w:t>
      </w:r>
    </w:p>
    <w:p w:rsidR="00924A0A" w:rsidRPr="00242122" w:rsidRDefault="00924A0A" w:rsidP="00924A0A">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Potrivit i Planului național de management actualizat 2021,  centralizarea la nivel naţional a presiunilor care afectează în mod semnificativ caracteristicile hidromorfologice ale corpurilor de apă este prezentată în continuare în </w:t>
      </w:r>
      <w:r w:rsidRPr="00242122">
        <w:rPr>
          <w:rFonts w:ascii="Arial" w:hAnsi="Arial" w:cs="Arial"/>
          <w:i/>
          <w:sz w:val="24"/>
          <w:szCs w:val="24"/>
        </w:rPr>
        <w:t>Tabelul II.1.1.4.2</w:t>
      </w:r>
      <w:r w:rsidRPr="00242122">
        <w:rPr>
          <w:rFonts w:ascii="Arial" w:hAnsi="Arial" w:cs="Arial"/>
          <w:sz w:val="24"/>
          <w:szCs w:val="24"/>
        </w:rPr>
        <w:t xml:space="preserve"> și </w:t>
      </w:r>
      <w:r w:rsidRPr="00242122">
        <w:rPr>
          <w:rFonts w:ascii="Arial" w:hAnsi="Arial" w:cs="Arial"/>
          <w:i/>
          <w:sz w:val="24"/>
          <w:szCs w:val="24"/>
        </w:rPr>
        <w:t xml:space="preserve">Figurile II.1.1.4-5. </w:t>
      </w:r>
      <w:r w:rsidRPr="00242122">
        <w:rPr>
          <w:rFonts w:ascii="Arial" w:hAnsi="Arial" w:cs="Arial"/>
          <w:sz w:val="24"/>
          <w:szCs w:val="24"/>
        </w:rPr>
        <w:t xml:space="preserve">Astfel, la nivel național s-au identificat 4950 presiuni hidromorfologice potențial semnificative. Se precizează că toate acest presiuni reprezintă presiuni </w:t>
      </w:r>
      <w:r w:rsidRPr="00242122">
        <w:rPr>
          <w:rFonts w:ascii="Arial" w:hAnsi="Arial" w:cs="Arial"/>
        </w:rPr>
        <w:t xml:space="preserve">punctuale </w:t>
      </w:r>
      <w:r w:rsidRPr="00242122">
        <w:rPr>
          <w:rFonts w:ascii="Arial" w:hAnsi="Arial" w:cs="Arial"/>
          <w:sz w:val="24"/>
          <w:szCs w:val="24"/>
        </w:rPr>
        <w:t>de natură hidromorfologică, situate pe corpurile de apă, aproape in totalitatea lor caracterul potential semnificativ fiind dat de cumulul aceluasi tip de presiune la nivelul corpului de apă</w:t>
      </w:r>
    </w:p>
    <w:p w:rsidR="00F6315F" w:rsidRPr="00FD3D76" w:rsidRDefault="00924A0A" w:rsidP="00FD3D76">
      <w:pPr>
        <w:spacing w:before="120" w:after="120" w:line="240" w:lineRule="auto"/>
        <w:ind w:firstLine="567"/>
        <w:jc w:val="both"/>
        <w:rPr>
          <w:rFonts w:ascii="Arial" w:hAnsi="Arial" w:cs="Arial"/>
          <w:i/>
          <w:sz w:val="24"/>
          <w:szCs w:val="24"/>
        </w:rPr>
      </w:pPr>
      <w:r w:rsidRPr="00242122">
        <w:rPr>
          <w:rFonts w:ascii="Arial" w:hAnsi="Arial" w:cs="Arial"/>
          <w:sz w:val="24"/>
          <w:szCs w:val="24"/>
        </w:rPr>
        <w:t>În urma aplicării procesului de validare a presiunilor potențial semnificative – alterări hidromorfologice cu atingerea obiectivelor de mediu de către corpurile de apă de suprafață, la nivel național s-a identificat un număr de 407 presiuni hidromorfologice semnificative</w:t>
      </w:r>
      <w:r w:rsidR="00FD3D76">
        <w:rPr>
          <w:rFonts w:ascii="Arial" w:hAnsi="Arial" w:cs="Arial"/>
          <w:i/>
          <w:sz w:val="24"/>
          <w:szCs w:val="24"/>
        </w:rPr>
        <w:t>.</w:t>
      </w:r>
    </w:p>
    <w:p w:rsidR="00924A0A" w:rsidRPr="00242122" w:rsidRDefault="00924A0A" w:rsidP="00924A0A">
      <w:pPr>
        <w:spacing w:before="120" w:after="120" w:line="240" w:lineRule="auto"/>
        <w:jc w:val="center"/>
        <w:rPr>
          <w:rFonts w:ascii="Arial" w:hAnsi="Arial" w:cs="Arial"/>
          <w:b/>
          <w:sz w:val="24"/>
          <w:szCs w:val="24"/>
        </w:rPr>
      </w:pPr>
      <w:r w:rsidRPr="00242122">
        <w:rPr>
          <w:rFonts w:ascii="Arial" w:hAnsi="Arial" w:cs="Arial"/>
          <w:b/>
          <w:sz w:val="24"/>
          <w:szCs w:val="24"/>
        </w:rPr>
        <w:t>Presiuni hidromorfologice potențial semnificative ale corpurilor de apă</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
        <w:gridCol w:w="1440"/>
        <w:gridCol w:w="1530"/>
        <w:gridCol w:w="1080"/>
        <w:gridCol w:w="1312"/>
        <w:gridCol w:w="3544"/>
      </w:tblGrid>
      <w:tr w:rsidR="00924A0A" w:rsidRPr="00242122" w:rsidTr="00B8293F">
        <w:trPr>
          <w:trHeight w:val="646"/>
          <w:tblHeader/>
        </w:trPr>
        <w:tc>
          <w:tcPr>
            <w:tcW w:w="592" w:type="dxa"/>
            <w:shd w:val="clear" w:color="auto" w:fill="92CDDC"/>
          </w:tcPr>
          <w:p w:rsidR="00924A0A" w:rsidRPr="00242122" w:rsidRDefault="00924A0A" w:rsidP="00B8293F">
            <w:pPr>
              <w:spacing w:after="0" w:line="240" w:lineRule="auto"/>
              <w:jc w:val="center"/>
              <w:rPr>
                <w:rFonts w:ascii="Arial" w:hAnsi="Arial" w:cs="Arial"/>
                <w:b/>
              </w:rPr>
            </w:pPr>
            <w:r w:rsidRPr="00242122">
              <w:rPr>
                <w:rFonts w:ascii="Arial" w:hAnsi="Arial" w:cs="Arial"/>
                <w:b/>
              </w:rPr>
              <w:t>Nr. crt.</w:t>
            </w:r>
          </w:p>
        </w:tc>
        <w:tc>
          <w:tcPr>
            <w:tcW w:w="2970" w:type="dxa"/>
            <w:gridSpan w:val="2"/>
            <w:shd w:val="clear" w:color="auto" w:fill="92CDDC"/>
          </w:tcPr>
          <w:p w:rsidR="00924A0A" w:rsidRPr="00242122" w:rsidRDefault="00924A0A" w:rsidP="00B8293F">
            <w:pPr>
              <w:spacing w:after="0" w:line="240" w:lineRule="auto"/>
              <w:jc w:val="center"/>
              <w:rPr>
                <w:rFonts w:ascii="Arial" w:hAnsi="Arial" w:cs="Arial"/>
                <w:b/>
              </w:rPr>
            </w:pPr>
            <w:r w:rsidRPr="00242122">
              <w:rPr>
                <w:rFonts w:ascii="Arial" w:hAnsi="Arial" w:cs="Arial"/>
                <w:b/>
              </w:rPr>
              <w:t>Presiuni hidromorfologice</w:t>
            </w:r>
          </w:p>
        </w:tc>
        <w:tc>
          <w:tcPr>
            <w:tcW w:w="1080" w:type="dxa"/>
            <w:shd w:val="clear" w:color="auto" w:fill="92CDDC"/>
          </w:tcPr>
          <w:p w:rsidR="00924A0A" w:rsidRPr="00242122" w:rsidRDefault="00924A0A" w:rsidP="00B8293F">
            <w:pPr>
              <w:spacing w:after="0" w:line="240" w:lineRule="auto"/>
              <w:jc w:val="center"/>
              <w:rPr>
                <w:rFonts w:ascii="Arial" w:hAnsi="Arial" w:cs="Arial"/>
                <w:b/>
              </w:rPr>
            </w:pPr>
            <w:r w:rsidRPr="00242122">
              <w:rPr>
                <w:rFonts w:ascii="Arial" w:hAnsi="Arial" w:cs="Arial"/>
                <w:b/>
              </w:rPr>
              <w:t>Număr</w:t>
            </w:r>
          </w:p>
        </w:tc>
        <w:tc>
          <w:tcPr>
            <w:tcW w:w="1312" w:type="dxa"/>
            <w:shd w:val="clear" w:color="auto" w:fill="92CDDC"/>
          </w:tcPr>
          <w:p w:rsidR="00924A0A" w:rsidRPr="00242122" w:rsidRDefault="00924A0A" w:rsidP="00B8293F">
            <w:pPr>
              <w:spacing w:after="0" w:line="240" w:lineRule="auto"/>
              <w:jc w:val="center"/>
              <w:rPr>
                <w:rFonts w:ascii="Arial" w:hAnsi="Arial" w:cs="Arial"/>
                <w:b/>
              </w:rPr>
            </w:pPr>
            <w:r w:rsidRPr="00242122">
              <w:rPr>
                <w:rFonts w:ascii="Arial" w:hAnsi="Arial" w:cs="Arial"/>
                <w:b/>
              </w:rPr>
              <w:t>Lungime (km)</w:t>
            </w:r>
          </w:p>
        </w:tc>
        <w:tc>
          <w:tcPr>
            <w:tcW w:w="3544" w:type="dxa"/>
            <w:shd w:val="clear" w:color="auto" w:fill="92CDDC"/>
          </w:tcPr>
          <w:p w:rsidR="00924A0A" w:rsidRPr="00242122" w:rsidRDefault="00924A0A" w:rsidP="00B8293F">
            <w:pPr>
              <w:spacing w:after="0" w:line="240" w:lineRule="auto"/>
              <w:jc w:val="center"/>
              <w:rPr>
                <w:rFonts w:ascii="Arial" w:hAnsi="Arial" w:cs="Arial"/>
                <w:b/>
              </w:rPr>
            </w:pPr>
            <w:r w:rsidRPr="00242122">
              <w:rPr>
                <w:rFonts w:ascii="Arial" w:hAnsi="Arial" w:cs="Arial"/>
                <w:b/>
              </w:rPr>
              <w:t>Exemple</w:t>
            </w:r>
          </w:p>
        </w:tc>
      </w:tr>
      <w:tr w:rsidR="00924A0A" w:rsidRPr="00242122" w:rsidTr="00B8293F">
        <w:trPr>
          <w:trHeight w:val="3378"/>
        </w:trPr>
        <w:tc>
          <w:tcPr>
            <w:tcW w:w="592" w:type="dxa"/>
            <w:shd w:val="clear" w:color="auto" w:fill="auto"/>
            <w:vAlign w:val="center"/>
          </w:tcPr>
          <w:p w:rsidR="00924A0A" w:rsidRPr="00242122" w:rsidRDefault="00924A0A" w:rsidP="00B8293F">
            <w:pPr>
              <w:spacing w:after="0" w:line="240" w:lineRule="auto"/>
              <w:jc w:val="center"/>
              <w:rPr>
                <w:rFonts w:ascii="Arial" w:hAnsi="Arial" w:cs="Arial"/>
              </w:rPr>
            </w:pPr>
            <w:r w:rsidRPr="00242122">
              <w:rPr>
                <w:rFonts w:ascii="Arial" w:hAnsi="Arial" w:cs="Arial"/>
              </w:rPr>
              <w:t>1</w:t>
            </w:r>
          </w:p>
        </w:tc>
        <w:tc>
          <w:tcPr>
            <w:tcW w:w="1440" w:type="dxa"/>
            <w:shd w:val="clear" w:color="auto" w:fill="auto"/>
          </w:tcPr>
          <w:p w:rsidR="00924A0A" w:rsidRPr="00242122" w:rsidRDefault="00924A0A" w:rsidP="00B8293F">
            <w:pPr>
              <w:spacing w:after="0" w:line="240" w:lineRule="auto"/>
              <w:rPr>
                <w:rFonts w:ascii="Arial" w:hAnsi="Arial" w:cs="Arial"/>
              </w:rPr>
            </w:pPr>
            <w:r w:rsidRPr="00242122">
              <w:rPr>
                <w:rFonts w:ascii="Arial" w:hAnsi="Arial" w:cs="Arial"/>
              </w:rPr>
              <w:t>Lucrări de barare transversală situate pe corpul de apă</w:t>
            </w:r>
          </w:p>
        </w:tc>
        <w:tc>
          <w:tcPr>
            <w:tcW w:w="1530" w:type="dxa"/>
            <w:shd w:val="clear" w:color="auto" w:fill="auto"/>
          </w:tcPr>
          <w:p w:rsidR="00924A0A" w:rsidRPr="00242122" w:rsidRDefault="00924A0A" w:rsidP="00B8293F">
            <w:pPr>
              <w:spacing w:after="0" w:line="240" w:lineRule="auto"/>
              <w:rPr>
                <w:rFonts w:ascii="Arial" w:hAnsi="Arial" w:cs="Arial"/>
              </w:rPr>
            </w:pPr>
            <w:r w:rsidRPr="00242122">
              <w:rPr>
                <w:rFonts w:ascii="Arial" w:hAnsi="Arial" w:cs="Arial"/>
              </w:rPr>
              <w:t>Lacuri de acumulare a căror suprafaţă este mai mare de 0,5 km</w:t>
            </w:r>
            <w:r w:rsidRPr="00242122">
              <w:rPr>
                <w:rFonts w:ascii="Arial" w:hAnsi="Arial" w:cs="Arial"/>
                <w:vertAlign w:val="superscript"/>
              </w:rPr>
              <w:t>2</w:t>
            </w:r>
          </w:p>
        </w:tc>
        <w:tc>
          <w:tcPr>
            <w:tcW w:w="1080" w:type="dxa"/>
            <w:shd w:val="clear" w:color="auto" w:fill="auto"/>
          </w:tcPr>
          <w:p w:rsidR="00924A0A" w:rsidRPr="00242122" w:rsidRDefault="00924A0A" w:rsidP="00B8293F">
            <w:pPr>
              <w:spacing w:after="0" w:line="240" w:lineRule="auto"/>
              <w:jc w:val="center"/>
              <w:rPr>
                <w:rFonts w:ascii="Arial" w:hAnsi="Arial" w:cs="Arial"/>
              </w:rPr>
            </w:pPr>
            <w:r w:rsidRPr="00242122">
              <w:rPr>
                <w:rFonts w:ascii="Arial" w:hAnsi="Arial" w:cs="Arial"/>
              </w:rPr>
              <w:t xml:space="preserve">2653 </w:t>
            </w:r>
          </w:p>
        </w:tc>
        <w:tc>
          <w:tcPr>
            <w:tcW w:w="1312" w:type="dxa"/>
            <w:shd w:val="clear" w:color="auto" w:fill="auto"/>
          </w:tcPr>
          <w:p w:rsidR="00924A0A" w:rsidRPr="00242122" w:rsidRDefault="00924A0A" w:rsidP="00B8293F">
            <w:pPr>
              <w:spacing w:after="0" w:line="240" w:lineRule="auto"/>
              <w:jc w:val="center"/>
              <w:rPr>
                <w:rFonts w:ascii="Arial" w:hAnsi="Arial" w:cs="Arial"/>
              </w:rPr>
            </w:pPr>
          </w:p>
        </w:tc>
        <w:tc>
          <w:tcPr>
            <w:tcW w:w="3544" w:type="dxa"/>
            <w:shd w:val="clear" w:color="auto" w:fill="auto"/>
          </w:tcPr>
          <w:p w:rsidR="00924A0A" w:rsidRPr="00242122" w:rsidRDefault="00924A0A" w:rsidP="00B8293F">
            <w:pPr>
              <w:rPr>
                <w:rFonts w:ascii="Arial" w:hAnsi="Arial" w:cs="Arial"/>
              </w:rPr>
            </w:pPr>
            <w:r w:rsidRPr="00242122">
              <w:rPr>
                <w:rFonts w:ascii="Arial" w:hAnsi="Arial" w:cs="Arial"/>
              </w:rPr>
              <w:t>Baraje, praguri  de priză de alimentare cu apă, irigații, praguri de cădere sau rupere de pantă, praguri pentru corecție sau stabilizare talveg, praguri de fund - care întrerup conectivitatea longitudinală a corpului de apă, cu efecte asupra regimului hidrologic, a stabilității albiei, transportului sedimentelor și a migrării biotei.</w:t>
            </w:r>
          </w:p>
        </w:tc>
      </w:tr>
      <w:tr w:rsidR="00924A0A" w:rsidRPr="00242122" w:rsidTr="00B8293F">
        <w:trPr>
          <w:trHeight w:val="1857"/>
        </w:trPr>
        <w:tc>
          <w:tcPr>
            <w:tcW w:w="592" w:type="dxa"/>
            <w:vMerge w:val="restart"/>
            <w:tcBorders>
              <w:top w:val="single" w:sz="4" w:space="0" w:color="auto"/>
              <w:left w:val="single" w:sz="4" w:space="0" w:color="auto"/>
              <w:right w:val="single" w:sz="4" w:space="0" w:color="auto"/>
            </w:tcBorders>
            <w:shd w:val="clear" w:color="auto" w:fill="auto"/>
            <w:vAlign w:val="center"/>
          </w:tcPr>
          <w:p w:rsidR="00924A0A" w:rsidRPr="00242122" w:rsidRDefault="00924A0A" w:rsidP="00B8293F">
            <w:pPr>
              <w:spacing w:after="0" w:line="240" w:lineRule="auto"/>
              <w:jc w:val="center"/>
              <w:rPr>
                <w:rFonts w:ascii="Arial" w:hAnsi="Arial" w:cs="Arial"/>
              </w:rPr>
            </w:pPr>
            <w:r w:rsidRPr="00242122">
              <w:rPr>
                <w:rFonts w:ascii="Arial" w:hAnsi="Arial" w:cs="Arial"/>
              </w:rPr>
              <w:t>2</w:t>
            </w:r>
          </w:p>
        </w:tc>
        <w:tc>
          <w:tcPr>
            <w:tcW w:w="1440" w:type="dxa"/>
            <w:vMerge w:val="restart"/>
            <w:tcBorders>
              <w:top w:val="single" w:sz="4" w:space="0" w:color="auto"/>
              <w:left w:val="single" w:sz="4" w:space="0" w:color="auto"/>
              <w:right w:val="single" w:sz="4" w:space="0" w:color="auto"/>
            </w:tcBorders>
            <w:shd w:val="clear" w:color="auto" w:fill="auto"/>
          </w:tcPr>
          <w:p w:rsidR="00924A0A" w:rsidRPr="00242122" w:rsidRDefault="00924A0A" w:rsidP="00B8293F">
            <w:pPr>
              <w:spacing w:after="0" w:line="240" w:lineRule="auto"/>
              <w:rPr>
                <w:rFonts w:ascii="Arial" w:hAnsi="Arial" w:cs="Arial"/>
              </w:rPr>
            </w:pPr>
            <w:r w:rsidRPr="00242122">
              <w:rPr>
                <w:rFonts w:ascii="Arial" w:hAnsi="Arial" w:cs="Arial"/>
              </w:rPr>
              <w:t xml:space="preserve">Lucrări în lungul cursurilor de apă </w:t>
            </w:r>
          </w:p>
        </w:tc>
        <w:tc>
          <w:tcPr>
            <w:tcW w:w="1530" w:type="dxa"/>
            <w:tcBorders>
              <w:top w:val="single" w:sz="4" w:space="0" w:color="auto"/>
              <w:left w:val="single" w:sz="4" w:space="0" w:color="auto"/>
              <w:bottom w:val="single" w:sz="4" w:space="0" w:color="auto"/>
              <w:right w:val="single" w:sz="4" w:space="0" w:color="auto"/>
            </w:tcBorders>
            <w:shd w:val="clear" w:color="auto" w:fill="auto"/>
          </w:tcPr>
          <w:p w:rsidR="00924A0A" w:rsidRPr="00242122" w:rsidRDefault="00924A0A" w:rsidP="00B8293F">
            <w:pPr>
              <w:spacing w:after="0" w:line="240" w:lineRule="auto"/>
              <w:rPr>
                <w:rFonts w:ascii="Arial" w:hAnsi="Arial" w:cs="Arial"/>
              </w:rPr>
            </w:pPr>
            <w:r w:rsidRPr="00242122">
              <w:rPr>
                <w:rFonts w:ascii="Arial" w:hAnsi="Arial" w:cs="Arial"/>
              </w:rPr>
              <w:t>Îndiguiri</w:t>
            </w:r>
          </w:p>
        </w:tc>
        <w:tc>
          <w:tcPr>
            <w:tcW w:w="1080" w:type="dxa"/>
            <w:vMerge w:val="restart"/>
            <w:tcBorders>
              <w:top w:val="single" w:sz="4" w:space="0" w:color="auto"/>
              <w:left w:val="single" w:sz="4" w:space="0" w:color="auto"/>
              <w:right w:val="single" w:sz="4" w:space="0" w:color="auto"/>
            </w:tcBorders>
            <w:shd w:val="clear" w:color="auto" w:fill="auto"/>
          </w:tcPr>
          <w:p w:rsidR="00924A0A" w:rsidRPr="00242122" w:rsidRDefault="00924A0A" w:rsidP="00B8293F">
            <w:pPr>
              <w:spacing w:after="0" w:line="240" w:lineRule="auto"/>
              <w:jc w:val="center"/>
              <w:rPr>
                <w:rFonts w:ascii="Arial" w:hAnsi="Arial" w:cs="Arial"/>
              </w:rPr>
            </w:pPr>
          </w:p>
          <w:p w:rsidR="00924A0A" w:rsidRPr="00242122" w:rsidRDefault="00924A0A" w:rsidP="00B8293F">
            <w:pPr>
              <w:spacing w:after="0" w:line="240" w:lineRule="auto"/>
              <w:jc w:val="center"/>
              <w:rPr>
                <w:rFonts w:ascii="Arial" w:hAnsi="Arial" w:cs="Arial"/>
              </w:rPr>
            </w:pPr>
          </w:p>
          <w:p w:rsidR="00924A0A" w:rsidRPr="00242122" w:rsidRDefault="00924A0A" w:rsidP="00B8293F">
            <w:pPr>
              <w:spacing w:after="0" w:line="240" w:lineRule="auto"/>
              <w:jc w:val="center"/>
              <w:rPr>
                <w:rFonts w:ascii="Arial" w:hAnsi="Arial" w:cs="Arial"/>
              </w:rPr>
            </w:pPr>
          </w:p>
          <w:p w:rsidR="00924A0A" w:rsidRPr="00242122" w:rsidRDefault="00924A0A" w:rsidP="00B8293F">
            <w:pPr>
              <w:spacing w:after="0" w:line="240" w:lineRule="auto"/>
              <w:jc w:val="center"/>
              <w:rPr>
                <w:rFonts w:ascii="Arial" w:hAnsi="Arial" w:cs="Arial"/>
              </w:rPr>
            </w:pPr>
          </w:p>
          <w:p w:rsidR="00924A0A" w:rsidRPr="00242122" w:rsidRDefault="00924A0A" w:rsidP="00B8293F">
            <w:pPr>
              <w:spacing w:after="0" w:line="240" w:lineRule="auto"/>
              <w:jc w:val="center"/>
              <w:rPr>
                <w:rFonts w:ascii="Arial" w:hAnsi="Arial" w:cs="Arial"/>
              </w:rPr>
            </w:pPr>
          </w:p>
          <w:p w:rsidR="00924A0A" w:rsidRPr="00242122" w:rsidRDefault="00924A0A" w:rsidP="00B8293F">
            <w:pPr>
              <w:spacing w:after="0" w:line="240" w:lineRule="auto"/>
              <w:jc w:val="center"/>
              <w:rPr>
                <w:rFonts w:ascii="Arial" w:hAnsi="Arial" w:cs="Arial"/>
              </w:rPr>
            </w:pPr>
          </w:p>
          <w:p w:rsidR="00924A0A" w:rsidRPr="00242122" w:rsidRDefault="00924A0A" w:rsidP="00B8293F">
            <w:pPr>
              <w:spacing w:after="0" w:line="240" w:lineRule="auto"/>
              <w:jc w:val="center"/>
              <w:rPr>
                <w:rFonts w:ascii="Arial" w:hAnsi="Arial" w:cs="Arial"/>
              </w:rPr>
            </w:pPr>
          </w:p>
          <w:p w:rsidR="00924A0A" w:rsidRPr="00242122" w:rsidRDefault="00924A0A" w:rsidP="00B8293F">
            <w:pPr>
              <w:spacing w:after="0" w:line="240" w:lineRule="auto"/>
              <w:jc w:val="center"/>
              <w:rPr>
                <w:rFonts w:ascii="Arial" w:hAnsi="Arial" w:cs="Arial"/>
              </w:rPr>
            </w:pPr>
            <w:r w:rsidRPr="00242122">
              <w:rPr>
                <w:rFonts w:ascii="Arial" w:hAnsi="Arial" w:cs="Arial"/>
              </w:rPr>
              <w:t>1647</w:t>
            </w:r>
          </w:p>
        </w:tc>
        <w:tc>
          <w:tcPr>
            <w:tcW w:w="1312" w:type="dxa"/>
            <w:tcBorders>
              <w:top w:val="single" w:sz="4" w:space="0" w:color="auto"/>
              <w:left w:val="single" w:sz="4" w:space="0" w:color="auto"/>
              <w:bottom w:val="single" w:sz="4" w:space="0" w:color="auto"/>
              <w:right w:val="single" w:sz="4" w:space="0" w:color="auto"/>
            </w:tcBorders>
            <w:shd w:val="clear" w:color="auto" w:fill="auto"/>
          </w:tcPr>
          <w:p w:rsidR="00924A0A" w:rsidRPr="00242122" w:rsidRDefault="00924A0A" w:rsidP="00B8293F">
            <w:pPr>
              <w:spacing w:after="0" w:line="240" w:lineRule="auto"/>
              <w:jc w:val="center"/>
              <w:rPr>
                <w:rFonts w:ascii="Arial" w:hAnsi="Arial" w:cs="Arial"/>
              </w:rPr>
            </w:pPr>
            <w:r w:rsidRPr="00242122">
              <w:rPr>
                <w:rFonts w:ascii="Arial" w:hAnsi="Arial" w:cs="Arial"/>
              </w:rPr>
              <w:t>9.309</w:t>
            </w:r>
          </w:p>
        </w:tc>
        <w:tc>
          <w:tcPr>
            <w:tcW w:w="3544" w:type="dxa"/>
            <w:vMerge w:val="restart"/>
            <w:tcBorders>
              <w:top w:val="single" w:sz="4" w:space="0" w:color="auto"/>
              <w:left w:val="single" w:sz="4" w:space="0" w:color="auto"/>
              <w:right w:val="single" w:sz="4" w:space="0" w:color="auto"/>
            </w:tcBorders>
            <w:shd w:val="clear" w:color="auto" w:fill="auto"/>
          </w:tcPr>
          <w:p w:rsidR="00924A0A" w:rsidRPr="00242122" w:rsidRDefault="00924A0A" w:rsidP="00B8293F">
            <w:pPr>
              <w:rPr>
                <w:rFonts w:ascii="Arial" w:hAnsi="Arial" w:cs="Arial"/>
              </w:rPr>
            </w:pPr>
            <w:r w:rsidRPr="00242122">
              <w:rPr>
                <w:rFonts w:ascii="Arial" w:hAnsi="Arial" w:cs="Arial"/>
              </w:rPr>
              <w:t>tip diguri, amenajări agricole și piscicole, lucrări de regularizare și consolidare maluri, tăieri de meandre - care conduc la pierderea conectivității laterale, cu efecte asupra morfologiei albiei și a zonei ripariene, a luncii inundabile, a vegetației din lunca inundabilă și a zonelor de reproducere și asupra profilului longitudinal al râului, structurii substratului și biotei; luncile inundabile, în starea lor naturală, reprezintă o componentă ecologică importantă a ecosistemului: filtrează și stochează apă, funcționează ca protecție împotriva inundațiilor, asigură o bună funcționare a râurilor și ajută la conservarea biodiversității</w:t>
            </w:r>
          </w:p>
        </w:tc>
      </w:tr>
      <w:tr w:rsidR="00924A0A" w:rsidRPr="00242122" w:rsidTr="00B8293F">
        <w:tc>
          <w:tcPr>
            <w:tcW w:w="592" w:type="dxa"/>
            <w:vMerge/>
            <w:tcBorders>
              <w:left w:val="single" w:sz="4" w:space="0" w:color="auto"/>
              <w:bottom w:val="single" w:sz="4" w:space="0" w:color="auto"/>
              <w:right w:val="single" w:sz="4" w:space="0" w:color="auto"/>
            </w:tcBorders>
            <w:shd w:val="clear" w:color="auto" w:fill="auto"/>
            <w:vAlign w:val="center"/>
          </w:tcPr>
          <w:p w:rsidR="00924A0A" w:rsidRPr="00242122" w:rsidRDefault="00924A0A" w:rsidP="00B8293F">
            <w:pPr>
              <w:spacing w:after="0" w:line="240" w:lineRule="auto"/>
              <w:jc w:val="center"/>
              <w:rPr>
                <w:rFonts w:ascii="Arial" w:hAnsi="Arial" w:cs="Arial"/>
              </w:rPr>
            </w:pPr>
          </w:p>
        </w:tc>
        <w:tc>
          <w:tcPr>
            <w:tcW w:w="1440" w:type="dxa"/>
            <w:vMerge/>
            <w:tcBorders>
              <w:left w:val="single" w:sz="4" w:space="0" w:color="auto"/>
              <w:bottom w:val="single" w:sz="4" w:space="0" w:color="auto"/>
              <w:right w:val="single" w:sz="4" w:space="0" w:color="auto"/>
            </w:tcBorders>
            <w:shd w:val="clear" w:color="auto" w:fill="auto"/>
          </w:tcPr>
          <w:p w:rsidR="00924A0A" w:rsidRPr="00242122" w:rsidRDefault="00924A0A" w:rsidP="00B8293F">
            <w:pPr>
              <w:spacing w:after="0" w:line="240" w:lineRule="auto"/>
              <w:rPr>
                <w:rFonts w:ascii="Arial" w:hAnsi="Arial" w:cs="Arial"/>
              </w:rPr>
            </w:pPr>
          </w:p>
        </w:tc>
        <w:tc>
          <w:tcPr>
            <w:tcW w:w="1530" w:type="dxa"/>
            <w:tcBorders>
              <w:top w:val="single" w:sz="4" w:space="0" w:color="auto"/>
              <w:left w:val="single" w:sz="4" w:space="0" w:color="auto"/>
              <w:bottom w:val="single" w:sz="4" w:space="0" w:color="auto"/>
              <w:right w:val="single" w:sz="4" w:space="0" w:color="auto"/>
            </w:tcBorders>
            <w:shd w:val="clear" w:color="auto" w:fill="auto"/>
          </w:tcPr>
          <w:p w:rsidR="00924A0A" w:rsidRPr="00242122" w:rsidRDefault="00924A0A" w:rsidP="00B8293F">
            <w:pPr>
              <w:spacing w:after="0" w:line="240" w:lineRule="auto"/>
              <w:rPr>
                <w:rFonts w:ascii="Arial" w:hAnsi="Arial" w:cs="Arial"/>
              </w:rPr>
            </w:pPr>
            <w:r w:rsidRPr="00242122">
              <w:rPr>
                <w:rFonts w:ascii="Arial" w:hAnsi="Arial" w:cs="Arial"/>
                <w:sz w:val="24"/>
                <w:szCs w:val="24"/>
              </w:rPr>
              <w:t>Lucrări de regularizare</w:t>
            </w:r>
          </w:p>
        </w:tc>
        <w:tc>
          <w:tcPr>
            <w:tcW w:w="1080" w:type="dxa"/>
            <w:vMerge/>
            <w:tcBorders>
              <w:left w:val="single" w:sz="4" w:space="0" w:color="auto"/>
              <w:bottom w:val="single" w:sz="4" w:space="0" w:color="auto"/>
              <w:right w:val="single" w:sz="4" w:space="0" w:color="auto"/>
            </w:tcBorders>
            <w:shd w:val="clear" w:color="auto" w:fill="auto"/>
          </w:tcPr>
          <w:p w:rsidR="00924A0A" w:rsidRPr="00242122" w:rsidRDefault="00924A0A" w:rsidP="00B8293F">
            <w:pPr>
              <w:spacing w:after="0" w:line="240" w:lineRule="auto"/>
              <w:jc w:val="center"/>
              <w:rPr>
                <w:rFonts w:ascii="Arial" w:hAnsi="Arial" w:cs="Arial"/>
              </w:rPr>
            </w:pPr>
          </w:p>
        </w:tc>
        <w:tc>
          <w:tcPr>
            <w:tcW w:w="1312" w:type="dxa"/>
            <w:tcBorders>
              <w:top w:val="single" w:sz="4" w:space="0" w:color="auto"/>
              <w:left w:val="single" w:sz="4" w:space="0" w:color="auto"/>
              <w:bottom w:val="single" w:sz="4" w:space="0" w:color="auto"/>
              <w:right w:val="single" w:sz="4" w:space="0" w:color="auto"/>
            </w:tcBorders>
            <w:shd w:val="clear" w:color="auto" w:fill="auto"/>
          </w:tcPr>
          <w:p w:rsidR="00924A0A" w:rsidRPr="00242122" w:rsidRDefault="00924A0A" w:rsidP="00B8293F">
            <w:pPr>
              <w:spacing w:after="0" w:line="240" w:lineRule="auto"/>
              <w:jc w:val="center"/>
              <w:rPr>
                <w:rFonts w:ascii="Arial" w:hAnsi="Arial" w:cs="Arial"/>
              </w:rPr>
            </w:pPr>
            <w:r w:rsidRPr="00242122">
              <w:rPr>
                <w:rFonts w:ascii="Arial" w:hAnsi="Arial" w:cs="Arial"/>
              </w:rPr>
              <w:t xml:space="preserve">10.002 </w:t>
            </w:r>
          </w:p>
        </w:tc>
        <w:tc>
          <w:tcPr>
            <w:tcW w:w="3544" w:type="dxa"/>
            <w:vMerge/>
            <w:tcBorders>
              <w:left w:val="single" w:sz="4" w:space="0" w:color="auto"/>
              <w:bottom w:val="single" w:sz="4" w:space="0" w:color="auto"/>
              <w:right w:val="single" w:sz="4" w:space="0" w:color="auto"/>
            </w:tcBorders>
            <w:shd w:val="clear" w:color="auto" w:fill="auto"/>
          </w:tcPr>
          <w:p w:rsidR="00924A0A" w:rsidRPr="00242122" w:rsidRDefault="00924A0A" w:rsidP="00B8293F">
            <w:pPr>
              <w:rPr>
                <w:rFonts w:ascii="Arial" w:hAnsi="Arial" w:cs="Arial"/>
              </w:rPr>
            </w:pPr>
          </w:p>
        </w:tc>
      </w:tr>
    </w:tbl>
    <w:p w:rsidR="00924A0A" w:rsidRPr="00242122" w:rsidRDefault="00924A0A" w:rsidP="00924A0A">
      <w:pPr>
        <w:spacing w:before="120" w:after="120" w:line="240" w:lineRule="auto"/>
        <w:jc w:val="center"/>
        <w:rPr>
          <w:rFonts w:ascii="Arial" w:hAnsi="Arial" w:cs="Arial"/>
          <w:b/>
          <w:sz w:val="24"/>
          <w:szCs w:val="24"/>
        </w:rPr>
      </w:pPr>
    </w:p>
    <w:p w:rsidR="00924A0A" w:rsidRPr="00242122" w:rsidRDefault="00924A0A" w:rsidP="00924A0A">
      <w:pPr>
        <w:spacing w:before="120" w:after="120" w:line="240" w:lineRule="auto"/>
        <w:jc w:val="center"/>
        <w:rPr>
          <w:rFonts w:ascii="Arial" w:hAnsi="Arial" w:cs="Arial"/>
          <w:b/>
          <w:sz w:val="24"/>
          <w:szCs w:val="24"/>
        </w:rPr>
      </w:pPr>
      <w:r w:rsidRPr="00242122">
        <w:rPr>
          <w:rFonts w:ascii="Arial" w:hAnsi="Arial" w:cs="Arial"/>
          <w:b/>
          <w:sz w:val="24"/>
          <w:szCs w:val="24"/>
        </w:rPr>
        <w:t xml:space="preserve">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418"/>
        <w:gridCol w:w="1559"/>
        <w:gridCol w:w="992"/>
        <w:gridCol w:w="1134"/>
        <w:gridCol w:w="3686"/>
      </w:tblGrid>
      <w:tr w:rsidR="00924A0A" w:rsidRPr="00242122" w:rsidTr="00B8293F">
        <w:trPr>
          <w:trHeight w:val="572"/>
        </w:trPr>
        <w:tc>
          <w:tcPr>
            <w:tcW w:w="709" w:type="dxa"/>
            <w:vMerge w:val="restart"/>
            <w:shd w:val="clear" w:color="auto" w:fill="auto"/>
            <w:vAlign w:val="center"/>
          </w:tcPr>
          <w:p w:rsidR="00924A0A" w:rsidRPr="00242122" w:rsidRDefault="00924A0A" w:rsidP="00B8293F">
            <w:pPr>
              <w:spacing w:after="0" w:line="240" w:lineRule="auto"/>
              <w:jc w:val="center"/>
              <w:rPr>
                <w:rFonts w:ascii="Arial" w:hAnsi="Arial" w:cs="Arial"/>
                <w:sz w:val="24"/>
                <w:szCs w:val="24"/>
              </w:rPr>
            </w:pPr>
            <w:r w:rsidRPr="00242122">
              <w:rPr>
                <w:rFonts w:ascii="Arial" w:hAnsi="Arial" w:cs="Arial"/>
                <w:sz w:val="24"/>
                <w:szCs w:val="24"/>
              </w:rPr>
              <w:t>3</w:t>
            </w:r>
          </w:p>
        </w:tc>
        <w:tc>
          <w:tcPr>
            <w:tcW w:w="1418" w:type="dxa"/>
            <w:vMerge w:val="restart"/>
            <w:shd w:val="clear" w:color="auto" w:fill="auto"/>
          </w:tcPr>
          <w:p w:rsidR="00924A0A" w:rsidRPr="00242122" w:rsidRDefault="00924A0A" w:rsidP="00B8293F">
            <w:pPr>
              <w:spacing w:after="0" w:line="240" w:lineRule="auto"/>
              <w:rPr>
                <w:rFonts w:ascii="Arial" w:hAnsi="Arial" w:cs="Arial"/>
                <w:sz w:val="24"/>
                <w:szCs w:val="24"/>
              </w:rPr>
            </w:pPr>
            <w:r w:rsidRPr="00242122">
              <w:rPr>
                <w:rFonts w:ascii="Arial" w:hAnsi="Arial" w:cs="Arial"/>
                <w:sz w:val="24"/>
                <w:szCs w:val="24"/>
              </w:rPr>
              <w:t>Lucrări de prelevare și restituție a apelor</w:t>
            </w:r>
          </w:p>
        </w:tc>
        <w:tc>
          <w:tcPr>
            <w:tcW w:w="1559" w:type="dxa"/>
            <w:shd w:val="clear" w:color="auto" w:fill="auto"/>
          </w:tcPr>
          <w:p w:rsidR="00924A0A" w:rsidRPr="00242122" w:rsidRDefault="00924A0A" w:rsidP="00B8293F">
            <w:pPr>
              <w:spacing w:after="0" w:line="240" w:lineRule="auto"/>
              <w:rPr>
                <w:rFonts w:ascii="Arial" w:hAnsi="Arial" w:cs="Arial"/>
                <w:sz w:val="24"/>
                <w:szCs w:val="24"/>
              </w:rPr>
            </w:pPr>
            <w:r w:rsidRPr="00242122">
              <w:rPr>
                <w:rFonts w:ascii="Arial" w:hAnsi="Arial" w:cs="Arial"/>
                <w:sz w:val="24"/>
                <w:szCs w:val="24"/>
              </w:rPr>
              <w:t>Prelevări de apă</w:t>
            </w:r>
          </w:p>
        </w:tc>
        <w:tc>
          <w:tcPr>
            <w:tcW w:w="992" w:type="dxa"/>
            <w:shd w:val="clear" w:color="auto" w:fill="auto"/>
          </w:tcPr>
          <w:p w:rsidR="00924A0A" w:rsidRPr="00242122" w:rsidRDefault="00924A0A" w:rsidP="00B8293F">
            <w:pPr>
              <w:spacing w:after="0" w:line="240" w:lineRule="auto"/>
              <w:jc w:val="center"/>
              <w:rPr>
                <w:rFonts w:ascii="Arial" w:hAnsi="Arial" w:cs="Arial"/>
                <w:sz w:val="24"/>
                <w:szCs w:val="24"/>
              </w:rPr>
            </w:pPr>
            <w:r w:rsidRPr="00242122">
              <w:rPr>
                <w:rFonts w:ascii="Arial" w:hAnsi="Arial" w:cs="Arial"/>
                <w:sz w:val="24"/>
                <w:szCs w:val="24"/>
              </w:rPr>
              <w:t>501</w:t>
            </w:r>
          </w:p>
          <w:p w:rsidR="00924A0A" w:rsidRPr="00242122" w:rsidRDefault="00924A0A" w:rsidP="00B8293F">
            <w:pPr>
              <w:spacing w:after="0" w:line="240" w:lineRule="auto"/>
              <w:rPr>
                <w:rFonts w:ascii="Arial" w:hAnsi="Arial" w:cs="Arial"/>
                <w:sz w:val="24"/>
                <w:szCs w:val="24"/>
              </w:rPr>
            </w:pPr>
          </w:p>
        </w:tc>
        <w:tc>
          <w:tcPr>
            <w:tcW w:w="1134" w:type="dxa"/>
            <w:shd w:val="clear" w:color="auto" w:fill="auto"/>
          </w:tcPr>
          <w:p w:rsidR="00924A0A" w:rsidRPr="00242122" w:rsidRDefault="00924A0A" w:rsidP="00B8293F">
            <w:pPr>
              <w:spacing w:after="0" w:line="240" w:lineRule="auto"/>
              <w:jc w:val="center"/>
              <w:rPr>
                <w:rFonts w:ascii="Arial" w:hAnsi="Arial" w:cs="Arial"/>
                <w:sz w:val="24"/>
                <w:szCs w:val="24"/>
              </w:rPr>
            </w:pPr>
          </w:p>
        </w:tc>
        <w:tc>
          <w:tcPr>
            <w:tcW w:w="3686" w:type="dxa"/>
            <w:shd w:val="clear" w:color="auto" w:fill="auto"/>
          </w:tcPr>
          <w:p w:rsidR="00924A0A" w:rsidRPr="00242122" w:rsidRDefault="00924A0A" w:rsidP="00B8293F">
            <w:pPr>
              <w:spacing w:after="0" w:line="240" w:lineRule="auto"/>
              <w:jc w:val="both"/>
              <w:rPr>
                <w:rFonts w:ascii="Arial" w:hAnsi="Arial" w:cs="Arial"/>
                <w:sz w:val="24"/>
                <w:szCs w:val="24"/>
              </w:rPr>
            </w:pPr>
            <w:r w:rsidRPr="00242122">
              <w:rPr>
                <w:rFonts w:ascii="Arial" w:hAnsi="Arial" w:cs="Arial"/>
                <w:sz w:val="24"/>
                <w:szCs w:val="24"/>
              </w:rPr>
              <w:t>Pentru următoarele folosințe: prelevări de apă, având ca scop prelevări de apă pentru folosințe alimentare cu apă, hidroenergie, industrie, agricultură, alimentare cu apă pentru populație, apă de răcire, producere de energie electrică, ferme piscicole, altele.</w:t>
            </w:r>
          </w:p>
        </w:tc>
      </w:tr>
      <w:tr w:rsidR="00924A0A" w:rsidRPr="00242122" w:rsidTr="00B8293F">
        <w:tc>
          <w:tcPr>
            <w:tcW w:w="709" w:type="dxa"/>
            <w:vMerge/>
            <w:shd w:val="clear" w:color="auto" w:fill="auto"/>
            <w:vAlign w:val="center"/>
          </w:tcPr>
          <w:p w:rsidR="00924A0A" w:rsidRPr="00242122" w:rsidRDefault="00924A0A" w:rsidP="00B8293F">
            <w:pPr>
              <w:spacing w:after="0" w:line="240" w:lineRule="auto"/>
              <w:jc w:val="center"/>
              <w:rPr>
                <w:rFonts w:ascii="Arial" w:hAnsi="Arial" w:cs="Arial"/>
                <w:sz w:val="24"/>
                <w:szCs w:val="24"/>
              </w:rPr>
            </w:pPr>
          </w:p>
        </w:tc>
        <w:tc>
          <w:tcPr>
            <w:tcW w:w="1418" w:type="dxa"/>
            <w:vMerge/>
            <w:shd w:val="clear" w:color="auto" w:fill="auto"/>
          </w:tcPr>
          <w:p w:rsidR="00924A0A" w:rsidRPr="00242122" w:rsidRDefault="00924A0A" w:rsidP="00B8293F">
            <w:pPr>
              <w:spacing w:after="0" w:line="240" w:lineRule="auto"/>
              <w:jc w:val="both"/>
              <w:rPr>
                <w:rFonts w:ascii="Arial" w:hAnsi="Arial" w:cs="Arial"/>
                <w:sz w:val="24"/>
                <w:szCs w:val="24"/>
              </w:rPr>
            </w:pPr>
          </w:p>
        </w:tc>
        <w:tc>
          <w:tcPr>
            <w:tcW w:w="1559" w:type="dxa"/>
            <w:shd w:val="clear" w:color="auto" w:fill="auto"/>
          </w:tcPr>
          <w:p w:rsidR="00924A0A" w:rsidRPr="00242122" w:rsidRDefault="00924A0A" w:rsidP="00B8293F">
            <w:pPr>
              <w:spacing w:after="0" w:line="240" w:lineRule="auto"/>
              <w:jc w:val="both"/>
              <w:rPr>
                <w:rFonts w:ascii="Arial" w:hAnsi="Arial" w:cs="Arial"/>
                <w:sz w:val="24"/>
                <w:szCs w:val="24"/>
              </w:rPr>
            </w:pPr>
            <w:r w:rsidRPr="00242122">
              <w:rPr>
                <w:rFonts w:ascii="Arial" w:hAnsi="Arial" w:cs="Arial"/>
                <w:sz w:val="24"/>
                <w:szCs w:val="24"/>
              </w:rPr>
              <w:t>Derivații și canale</w:t>
            </w:r>
          </w:p>
        </w:tc>
        <w:tc>
          <w:tcPr>
            <w:tcW w:w="992" w:type="dxa"/>
            <w:shd w:val="clear" w:color="auto" w:fill="auto"/>
          </w:tcPr>
          <w:p w:rsidR="00924A0A" w:rsidRPr="00242122" w:rsidRDefault="00924A0A" w:rsidP="00B8293F">
            <w:pPr>
              <w:spacing w:after="0" w:line="240" w:lineRule="auto"/>
              <w:jc w:val="center"/>
              <w:rPr>
                <w:rFonts w:ascii="Arial" w:hAnsi="Arial" w:cs="Arial"/>
                <w:sz w:val="24"/>
                <w:szCs w:val="24"/>
              </w:rPr>
            </w:pPr>
            <w:r w:rsidRPr="00242122">
              <w:rPr>
                <w:rFonts w:ascii="Arial" w:hAnsi="Arial" w:cs="Arial"/>
                <w:sz w:val="24"/>
                <w:szCs w:val="24"/>
              </w:rPr>
              <w:t>148</w:t>
            </w:r>
          </w:p>
          <w:p w:rsidR="00924A0A" w:rsidRPr="00242122" w:rsidRDefault="00924A0A" w:rsidP="00B8293F">
            <w:pPr>
              <w:spacing w:after="0" w:line="240" w:lineRule="auto"/>
              <w:jc w:val="center"/>
              <w:rPr>
                <w:rFonts w:ascii="Arial" w:hAnsi="Arial" w:cs="Arial"/>
                <w:sz w:val="24"/>
                <w:szCs w:val="24"/>
              </w:rPr>
            </w:pPr>
            <w:r w:rsidRPr="00242122">
              <w:rPr>
                <w:rFonts w:ascii="Arial" w:hAnsi="Arial" w:cs="Arial"/>
                <w:sz w:val="24"/>
                <w:szCs w:val="24"/>
              </w:rPr>
              <w:t xml:space="preserve"> </w:t>
            </w:r>
          </w:p>
        </w:tc>
        <w:tc>
          <w:tcPr>
            <w:tcW w:w="1134" w:type="dxa"/>
            <w:shd w:val="clear" w:color="auto" w:fill="auto"/>
          </w:tcPr>
          <w:p w:rsidR="00924A0A" w:rsidRPr="00242122" w:rsidRDefault="00924A0A" w:rsidP="00B8293F">
            <w:pPr>
              <w:spacing w:after="0" w:line="240" w:lineRule="auto"/>
              <w:jc w:val="center"/>
              <w:rPr>
                <w:rFonts w:ascii="Arial" w:hAnsi="Arial" w:cs="Arial"/>
                <w:sz w:val="24"/>
                <w:szCs w:val="24"/>
              </w:rPr>
            </w:pPr>
            <w:r w:rsidRPr="00242122">
              <w:rPr>
                <w:rFonts w:ascii="Arial" w:hAnsi="Arial" w:cs="Arial"/>
                <w:sz w:val="24"/>
                <w:szCs w:val="24"/>
              </w:rPr>
              <w:t xml:space="preserve">1162,62 </w:t>
            </w:r>
          </w:p>
        </w:tc>
        <w:tc>
          <w:tcPr>
            <w:tcW w:w="3686" w:type="dxa"/>
            <w:shd w:val="clear" w:color="auto" w:fill="auto"/>
          </w:tcPr>
          <w:p w:rsidR="00924A0A" w:rsidRPr="00242122" w:rsidRDefault="00924A0A" w:rsidP="00B8293F">
            <w:pPr>
              <w:spacing w:after="0" w:line="240" w:lineRule="auto"/>
              <w:jc w:val="both"/>
              <w:rPr>
                <w:rFonts w:ascii="Arial" w:hAnsi="Arial" w:cs="Arial"/>
                <w:sz w:val="24"/>
                <w:szCs w:val="24"/>
              </w:rPr>
            </w:pPr>
            <w:r w:rsidRPr="00242122">
              <w:rPr>
                <w:rFonts w:ascii="Arial" w:hAnsi="Arial" w:cs="Arial"/>
                <w:sz w:val="24"/>
                <w:szCs w:val="24"/>
              </w:rPr>
              <w:t>Derivații și canale având ca scop suplimentarea debitului afluent pentru anumite acumulări, asigurarea cerinţei de apă pentru folosinte de tip gospodărie comunală, industrie, agricultură</w:t>
            </w:r>
          </w:p>
        </w:tc>
      </w:tr>
      <w:tr w:rsidR="00924A0A" w:rsidRPr="00242122" w:rsidTr="00B8293F">
        <w:tc>
          <w:tcPr>
            <w:tcW w:w="709" w:type="dxa"/>
            <w:shd w:val="clear" w:color="auto" w:fill="auto"/>
            <w:vAlign w:val="center"/>
          </w:tcPr>
          <w:p w:rsidR="00924A0A" w:rsidRPr="00242122" w:rsidRDefault="00924A0A" w:rsidP="00B8293F">
            <w:pPr>
              <w:spacing w:after="0" w:line="240" w:lineRule="auto"/>
              <w:jc w:val="center"/>
              <w:rPr>
                <w:rFonts w:ascii="Arial" w:hAnsi="Arial" w:cs="Arial"/>
                <w:sz w:val="24"/>
                <w:szCs w:val="24"/>
              </w:rPr>
            </w:pPr>
            <w:r w:rsidRPr="00242122">
              <w:rPr>
                <w:rFonts w:ascii="Arial" w:hAnsi="Arial" w:cs="Arial"/>
                <w:sz w:val="24"/>
                <w:szCs w:val="24"/>
              </w:rPr>
              <w:t>4</w:t>
            </w:r>
          </w:p>
        </w:tc>
        <w:tc>
          <w:tcPr>
            <w:tcW w:w="1418" w:type="dxa"/>
            <w:shd w:val="clear" w:color="auto" w:fill="auto"/>
          </w:tcPr>
          <w:p w:rsidR="00924A0A" w:rsidRPr="00242122" w:rsidRDefault="00924A0A" w:rsidP="00B8293F">
            <w:pPr>
              <w:spacing w:after="0" w:line="240" w:lineRule="auto"/>
              <w:jc w:val="both"/>
              <w:rPr>
                <w:rFonts w:ascii="Arial" w:hAnsi="Arial" w:cs="Arial"/>
                <w:sz w:val="24"/>
                <w:szCs w:val="24"/>
              </w:rPr>
            </w:pPr>
            <w:r w:rsidRPr="00242122">
              <w:rPr>
                <w:rFonts w:ascii="Arial" w:hAnsi="Arial" w:cs="Arial"/>
                <w:sz w:val="24"/>
                <w:szCs w:val="24"/>
              </w:rPr>
              <w:t>Canale navigabile</w:t>
            </w:r>
          </w:p>
        </w:tc>
        <w:tc>
          <w:tcPr>
            <w:tcW w:w="1559" w:type="dxa"/>
            <w:shd w:val="clear" w:color="auto" w:fill="auto"/>
          </w:tcPr>
          <w:p w:rsidR="00924A0A" w:rsidRPr="00242122" w:rsidRDefault="00924A0A" w:rsidP="00B8293F">
            <w:pPr>
              <w:spacing w:after="0" w:line="240" w:lineRule="auto"/>
              <w:jc w:val="both"/>
              <w:rPr>
                <w:rFonts w:ascii="Arial" w:hAnsi="Arial" w:cs="Arial"/>
                <w:sz w:val="24"/>
                <w:szCs w:val="24"/>
              </w:rPr>
            </w:pPr>
          </w:p>
        </w:tc>
        <w:tc>
          <w:tcPr>
            <w:tcW w:w="992" w:type="dxa"/>
            <w:shd w:val="clear" w:color="auto" w:fill="auto"/>
          </w:tcPr>
          <w:p w:rsidR="00924A0A" w:rsidRPr="00242122" w:rsidRDefault="00924A0A" w:rsidP="00B8293F">
            <w:pPr>
              <w:spacing w:after="0" w:line="240" w:lineRule="auto"/>
              <w:jc w:val="center"/>
              <w:rPr>
                <w:rFonts w:ascii="Arial" w:hAnsi="Arial" w:cs="Arial"/>
                <w:sz w:val="24"/>
                <w:szCs w:val="24"/>
              </w:rPr>
            </w:pPr>
          </w:p>
        </w:tc>
        <w:tc>
          <w:tcPr>
            <w:tcW w:w="1134" w:type="dxa"/>
            <w:shd w:val="clear" w:color="auto" w:fill="auto"/>
          </w:tcPr>
          <w:p w:rsidR="00924A0A" w:rsidRPr="00242122" w:rsidRDefault="00924A0A" w:rsidP="00B8293F">
            <w:pPr>
              <w:spacing w:after="0" w:line="240" w:lineRule="auto"/>
              <w:jc w:val="center"/>
              <w:rPr>
                <w:rFonts w:ascii="Arial" w:hAnsi="Arial" w:cs="Arial"/>
                <w:sz w:val="24"/>
                <w:szCs w:val="24"/>
              </w:rPr>
            </w:pPr>
          </w:p>
        </w:tc>
        <w:tc>
          <w:tcPr>
            <w:tcW w:w="3686" w:type="dxa"/>
            <w:shd w:val="clear" w:color="auto" w:fill="auto"/>
          </w:tcPr>
          <w:p w:rsidR="00924A0A" w:rsidRPr="00242122" w:rsidRDefault="00924A0A" w:rsidP="00B8293F">
            <w:pPr>
              <w:spacing w:after="0" w:line="240" w:lineRule="auto"/>
              <w:jc w:val="both"/>
              <w:rPr>
                <w:rFonts w:ascii="Arial" w:hAnsi="Arial" w:cs="Arial"/>
                <w:sz w:val="24"/>
                <w:szCs w:val="24"/>
              </w:rPr>
            </w:pPr>
            <w:r w:rsidRPr="00242122">
              <w:rPr>
                <w:rFonts w:ascii="Arial" w:hAnsi="Arial" w:cs="Arial"/>
                <w:sz w:val="24"/>
                <w:szCs w:val="24"/>
              </w:rPr>
              <w:t>Fluviul Dunărea este principala rută navigabilă din România. Pe teritoriul românesc, calea navigabilă se împarte în Dunărea fluvială, de la intrarea în țară până la Tulcea, și Dunărea maritimă, de la Tulcea până la vărsarea în Marea Neagră. De asemenea, canalul Dunăre - Marea Neagră (CDMN) și canalul Poarta Albă - Midia - Năvodari (CPAMN) asigură conexiunea cu Marea Neagră. Navigaţia pe canalul Bega nu se mai desfăşoară din anul 1967. În prezent, pe canalul Bega se desfăşoară doar navigaţie de agrement, foarte redusă şi doar pe tronsonul Timişoara – Frontieră.</w:t>
            </w:r>
          </w:p>
        </w:tc>
      </w:tr>
    </w:tbl>
    <w:p w:rsidR="00924A0A" w:rsidRPr="00242122" w:rsidRDefault="00924A0A" w:rsidP="00924A0A">
      <w:pPr>
        <w:spacing w:after="0" w:line="240" w:lineRule="auto"/>
        <w:ind w:firstLine="7513"/>
        <w:jc w:val="both"/>
        <w:rPr>
          <w:rFonts w:ascii="Arial" w:hAnsi="Arial" w:cs="Arial"/>
          <w:b/>
          <w:sz w:val="24"/>
          <w:szCs w:val="24"/>
        </w:rPr>
      </w:pPr>
      <w:r w:rsidRPr="00242122">
        <w:rPr>
          <w:rFonts w:ascii="Arial" w:hAnsi="Arial" w:cs="Arial"/>
          <w:b/>
          <w:sz w:val="24"/>
          <w:szCs w:val="24"/>
        </w:rPr>
        <w:t>Tabel II.1.1.4.2</w:t>
      </w:r>
    </w:p>
    <w:p w:rsidR="00924A0A" w:rsidRPr="00242122" w:rsidRDefault="00924A0A" w:rsidP="00924A0A">
      <w:pPr>
        <w:spacing w:before="120" w:after="120" w:line="240" w:lineRule="auto"/>
        <w:jc w:val="both"/>
        <w:rPr>
          <w:rFonts w:ascii="Arial" w:hAnsi="Arial" w:cs="Arial"/>
        </w:rPr>
      </w:pPr>
      <w:r w:rsidRPr="00242122">
        <w:rPr>
          <w:rFonts w:ascii="Arial" w:hAnsi="Arial" w:cs="Arial"/>
          <w:i/>
        </w:rPr>
        <w:t>(Sursa datelor: Administrația Națională „Apele Române”, Planul Național de Management actualizat 2021 (</w:t>
      </w:r>
      <w:hyperlink r:id="rId44" w:history="1">
        <w:r w:rsidRPr="00242122">
          <w:rPr>
            <w:rStyle w:val="Hyperlink"/>
            <w:rFonts w:ascii="Arial" w:hAnsi="Arial" w:cs="Arial"/>
            <w:i/>
          </w:rPr>
          <w:t>https://rowater.ro/despre-noi/descrierea-activitatii/managementul-european-integrat-resurse-de-apa/planurile-de-management-ale-bazinelor-hidrografice/planuri-de-management-nationale/</w:t>
        </w:r>
      </w:hyperlink>
      <w:r w:rsidRPr="00242122">
        <w:rPr>
          <w:rFonts w:ascii="Arial" w:hAnsi="Arial" w:cs="Arial"/>
          <w:i/>
        </w:rPr>
        <w:t>) )</w:t>
      </w:r>
    </w:p>
    <w:p w:rsidR="00924A0A" w:rsidRPr="00242122" w:rsidRDefault="00924A0A" w:rsidP="00924A0A">
      <w:pPr>
        <w:pStyle w:val="Default"/>
        <w:jc w:val="both"/>
        <w:sectPr w:rsidR="00924A0A" w:rsidRPr="00242122" w:rsidSect="00B8293F">
          <w:pgSz w:w="11906" w:h="16838"/>
          <w:pgMar w:top="851" w:right="1134" w:bottom="851" w:left="1418" w:header="709" w:footer="709" w:gutter="0"/>
          <w:cols w:space="708"/>
          <w:docGrid w:linePitch="360"/>
        </w:sectPr>
      </w:pPr>
    </w:p>
    <w:p w:rsidR="00924A0A" w:rsidRPr="00242122" w:rsidRDefault="00924A0A" w:rsidP="00924A0A">
      <w:pPr>
        <w:pStyle w:val="Default"/>
        <w:jc w:val="center"/>
      </w:pPr>
      <w:r w:rsidRPr="00242122">
        <w:rPr>
          <w:noProof/>
          <w:lang w:eastAsia="ro-RO"/>
        </w:rPr>
        <w:lastRenderedPageBreak/>
        <w:drawing>
          <wp:inline distT="0" distB="0" distL="0" distR="0" wp14:anchorId="12186D87" wp14:editId="4E2E9814">
            <wp:extent cx="7190740" cy="50907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190740" cy="5090795"/>
                    </a:xfrm>
                    <a:prstGeom prst="rect">
                      <a:avLst/>
                    </a:prstGeom>
                    <a:noFill/>
                  </pic:spPr>
                </pic:pic>
              </a:graphicData>
            </a:graphic>
          </wp:inline>
        </w:drawing>
      </w:r>
    </w:p>
    <w:p w:rsidR="00924A0A" w:rsidRPr="00242122" w:rsidRDefault="00924A0A" w:rsidP="00924A0A">
      <w:pPr>
        <w:pStyle w:val="Default"/>
        <w:jc w:val="center"/>
        <w:rPr>
          <w:i/>
        </w:rPr>
      </w:pPr>
    </w:p>
    <w:p w:rsidR="00924A0A" w:rsidRPr="00242122" w:rsidRDefault="00924A0A" w:rsidP="00924A0A">
      <w:pPr>
        <w:pStyle w:val="Default"/>
        <w:jc w:val="center"/>
        <w:rPr>
          <w:b/>
          <w:i/>
        </w:rPr>
      </w:pPr>
      <w:r w:rsidRPr="00242122">
        <w:rPr>
          <w:i/>
        </w:rPr>
        <w:t>Figura II.1.1.4.</w:t>
      </w:r>
      <w:r w:rsidRPr="00242122">
        <w:rPr>
          <w:b/>
          <w:i/>
        </w:rPr>
        <w:t xml:space="preserve">Lucrări hidrotehnice – presiuni hidromorfologice potențial semnificative </w:t>
      </w:r>
    </w:p>
    <w:p w:rsidR="00924A0A" w:rsidRPr="00242122" w:rsidRDefault="00924A0A" w:rsidP="00924A0A">
      <w:pPr>
        <w:pStyle w:val="Default"/>
        <w:jc w:val="center"/>
        <w:rPr>
          <w:b/>
          <w:i/>
        </w:rPr>
      </w:pPr>
      <w:r w:rsidRPr="00242122">
        <w:rPr>
          <w:b/>
          <w:i/>
        </w:rPr>
        <w:t>(diguri, regularizări și derivații) în anul 2021</w:t>
      </w:r>
    </w:p>
    <w:p w:rsidR="00924A0A" w:rsidRPr="00242122" w:rsidRDefault="00924A0A" w:rsidP="00924A0A">
      <w:pPr>
        <w:spacing w:before="120" w:after="120" w:line="240" w:lineRule="auto"/>
        <w:jc w:val="center"/>
        <w:rPr>
          <w:rFonts w:ascii="Arial" w:hAnsi="Arial" w:cs="Arial"/>
          <w:i/>
          <w:sz w:val="24"/>
          <w:szCs w:val="24"/>
        </w:rPr>
      </w:pPr>
      <w:r w:rsidRPr="00242122">
        <w:rPr>
          <w:rFonts w:ascii="Arial" w:hAnsi="Arial" w:cs="Arial"/>
          <w:i/>
          <w:sz w:val="24"/>
          <w:szCs w:val="24"/>
        </w:rPr>
        <w:t>(</w:t>
      </w:r>
      <w:r w:rsidRPr="00242122">
        <w:rPr>
          <w:rFonts w:ascii="Arial" w:hAnsi="Arial" w:cs="Arial"/>
          <w:i/>
        </w:rPr>
        <w:t>Sursa datelor: Administrația Națională „Apele Române”, Planul Național de Management actualizat 2021</w:t>
      </w:r>
      <w:r w:rsidRPr="00242122">
        <w:rPr>
          <w:rFonts w:ascii="Arial" w:hAnsi="Arial" w:cs="Arial"/>
          <w:i/>
          <w:sz w:val="24"/>
          <w:szCs w:val="24"/>
        </w:rPr>
        <w:t>)</w:t>
      </w:r>
    </w:p>
    <w:p w:rsidR="00924A0A" w:rsidRPr="00242122" w:rsidRDefault="00924A0A" w:rsidP="00924A0A">
      <w:pPr>
        <w:spacing w:before="120" w:after="120" w:line="240" w:lineRule="auto"/>
        <w:jc w:val="center"/>
        <w:rPr>
          <w:rFonts w:ascii="Arial" w:hAnsi="Arial" w:cs="Arial"/>
          <w:i/>
          <w:sz w:val="24"/>
          <w:szCs w:val="24"/>
        </w:rPr>
      </w:pPr>
      <w:r w:rsidRPr="00242122">
        <w:rPr>
          <w:rFonts w:ascii="Arial" w:hAnsi="Arial" w:cs="Arial"/>
          <w:i/>
          <w:noProof/>
          <w:sz w:val="24"/>
          <w:szCs w:val="24"/>
          <w:lang w:eastAsia="ro-RO"/>
        </w:rPr>
        <w:lastRenderedPageBreak/>
        <w:drawing>
          <wp:inline distT="0" distB="0" distL="0" distR="0" wp14:anchorId="6C8D0E68" wp14:editId="7A6E8F22">
            <wp:extent cx="7623810" cy="53905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3810" cy="5390515"/>
                    </a:xfrm>
                    <a:prstGeom prst="rect">
                      <a:avLst/>
                    </a:prstGeom>
                    <a:noFill/>
                  </pic:spPr>
                </pic:pic>
              </a:graphicData>
            </a:graphic>
          </wp:inline>
        </w:drawing>
      </w:r>
    </w:p>
    <w:p w:rsidR="00924A0A" w:rsidRPr="00242122" w:rsidRDefault="00924A0A" w:rsidP="00924A0A">
      <w:pPr>
        <w:spacing w:before="120" w:after="120" w:line="240" w:lineRule="auto"/>
        <w:jc w:val="center"/>
        <w:rPr>
          <w:rFonts w:ascii="Arial" w:hAnsi="Arial" w:cs="Arial"/>
          <w:b/>
          <w:i/>
          <w:sz w:val="24"/>
          <w:szCs w:val="24"/>
        </w:rPr>
      </w:pPr>
      <w:r w:rsidRPr="00242122">
        <w:rPr>
          <w:rFonts w:ascii="Arial" w:hAnsi="Arial" w:cs="Arial"/>
          <w:i/>
          <w:sz w:val="24"/>
          <w:szCs w:val="24"/>
        </w:rPr>
        <w:t>Figura II.1.1.5.</w:t>
      </w:r>
      <w:r w:rsidRPr="00242122">
        <w:rPr>
          <w:rFonts w:ascii="Arial" w:hAnsi="Arial" w:cs="Arial"/>
          <w:sz w:val="24"/>
          <w:szCs w:val="24"/>
        </w:rPr>
        <w:t xml:space="preserve"> </w:t>
      </w:r>
      <w:r w:rsidRPr="00242122">
        <w:rPr>
          <w:rFonts w:ascii="Arial" w:hAnsi="Arial" w:cs="Arial"/>
          <w:i/>
          <w:sz w:val="24"/>
          <w:szCs w:val="24"/>
        </w:rPr>
        <w:t xml:space="preserve">Prelevările de apă de suprafață potențial semnificative la nivel național </w:t>
      </w:r>
      <w:r w:rsidRPr="00242122">
        <w:rPr>
          <w:rFonts w:ascii="Arial" w:hAnsi="Arial" w:cs="Arial"/>
          <w:b/>
          <w:i/>
          <w:sz w:val="24"/>
          <w:szCs w:val="24"/>
        </w:rPr>
        <w:t>în anul 2021</w:t>
      </w:r>
    </w:p>
    <w:p w:rsidR="00924A0A" w:rsidRPr="00242122" w:rsidRDefault="00924A0A" w:rsidP="00924A0A">
      <w:pPr>
        <w:spacing w:before="120" w:after="120" w:line="240" w:lineRule="auto"/>
        <w:jc w:val="center"/>
        <w:rPr>
          <w:rFonts w:ascii="Arial" w:hAnsi="Arial" w:cs="Arial"/>
          <w:i/>
          <w:sz w:val="24"/>
          <w:szCs w:val="24"/>
        </w:rPr>
      </w:pPr>
      <w:r w:rsidRPr="00242122">
        <w:rPr>
          <w:rFonts w:ascii="Arial" w:hAnsi="Arial" w:cs="Arial"/>
          <w:i/>
          <w:sz w:val="24"/>
          <w:szCs w:val="24"/>
        </w:rPr>
        <w:t>(Sursa datelor: Administrația Națională „Apele Române”, Planul Național de Management actualizat 2021)</w:t>
      </w:r>
    </w:p>
    <w:p w:rsidR="00924A0A" w:rsidRPr="00242122" w:rsidRDefault="00924A0A" w:rsidP="00924A0A">
      <w:pPr>
        <w:spacing w:before="120" w:after="120" w:line="240" w:lineRule="auto"/>
        <w:jc w:val="center"/>
        <w:rPr>
          <w:rFonts w:ascii="Arial" w:hAnsi="Arial" w:cs="Arial"/>
          <w:i/>
          <w:sz w:val="24"/>
          <w:szCs w:val="24"/>
        </w:rPr>
        <w:sectPr w:rsidR="00924A0A" w:rsidRPr="00242122" w:rsidSect="00B8293F">
          <w:pgSz w:w="16838" w:h="11906" w:orient="landscape"/>
          <w:pgMar w:top="1418" w:right="851" w:bottom="1134" w:left="851" w:header="709" w:footer="709" w:gutter="0"/>
          <w:cols w:space="708"/>
          <w:docGrid w:linePitch="360"/>
        </w:sectPr>
      </w:pPr>
    </w:p>
    <w:p w:rsidR="00924A0A" w:rsidRPr="00242122" w:rsidRDefault="00924A0A" w:rsidP="00924A0A">
      <w:pPr>
        <w:spacing w:after="0" w:line="240" w:lineRule="auto"/>
        <w:ind w:firstLine="567"/>
        <w:jc w:val="both"/>
        <w:rPr>
          <w:rFonts w:ascii="Arial" w:hAnsi="Arial" w:cs="Arial"/>
          <w:sz w:val="24"/>
          <w:szCs w:val="24"/>
        </w:rPr>
      </w:pPr>
      <w:r w:rsidRPr="00242122">
        <w:rPr>
          <w:rFonts w:ascii="Arial" w:hAnsi="Arial" w:cs="Arial"/>
          <w:sz w:val="24"/>
          <w:szCs w:val="24"/>
        </w:rPr>
        <w:lastRenderedPageBreak/>
        <w:t>Pe lângă impactul produs de alterările hidromorfologice existente asupra stării corpurilor de apă, există o serie de proiecte aflate în diferite stadii de planificare şi implementare, care pot contribui la alterarea fizică a corpurilor de apă. Proiectele viitoare de infrastructură fac subiectul, în principal a următoarelor tipuri de activități:</w:t>
      </w:r>
    </w:p>
    <w:p w:rsidR="00924A0A" w:rsidRPr="00242122" w:rsidRDefault="00924A0A" w:rsidP="00B12004">
      <w:pPr>
        <w:numPr>
          <w:ilvl w:val="0"/>
          <w:numId w:val="3"/>
        </w:numPr>
        <w:spacing w:after="0" w:line="240" w:lineRule="auto"/>
        <w:ind w:left="360"/>
        <w:jc w:val="both"/>
        <w:rPr>
          <w:rFonts w:ascii="Arial" w:hAnsi="Arial" w:cs="Arial"/>
          <w:sz w:val="24"/>
          <w:szCs w:val="24"/>
        </w:rPr>
      </w:pPr>
      <w:r w:rsidRPr="00242122">
        <w:rPr>
          <w:rFonts w:ascii="Arial" w:hAnsi="Arial" w:cs="Arial"/>
          <w:sz w:val="24"/>
          <w:szCs w:val="24"/>
        </w:rPr>
        <w:t>managementul riscului la inundații conform documentelor de planificare: Strategia Națională de Management al Riscului la Inundații (SNMRI) pe termen mediu și lung, Planurile de Management al Riscului la Inundații actualizate 2021, proiecte POIM,  RO-FLOODS;</w:t>
      </w:r>
      <w:r w:rsidRPr="00242122">
        <w:rPr>
          <w:rFonts w:ascii="Arial" w:hAnsi="Arial" w:cs="Arial"/>
        </w:rPr>
        <w:t xml:space="preserve"> </w:t>
      </w:r>
      <w:r w:rsidRPr="00242122">
        <w:rPr>
          <w:rFonts w:ascii="Arial" w:hAnsi="Arial" w:cs="Arial"/>
          <w:sz w:val="24"/>
          <w:szCs w:val="24"/>
        </w:rPr>
        <w:t>se precizează că la nivel național se au în vedere un număr de 172 obiective de investiții pe anul 2021, cu finanțare integrală sau parțială de la bugetul de stat, repartizate ANAR; tipurile de lucrări avute în vedere în cadrul obiectivelor de investiții sunt: punere în siguranță acumulări, acumulări nepermanente, consolidare faleze, îndiguiri, supraînălțări diguri, consolidări diguri, regularizări;</w:t>
      </w:r>
    </w:p>
    <w:p w:rsidR="00924A0A" w:rsidRPr="00242122" w:rsidRDefault="00924A0A" w:rsidP="00B12004">
      <w:pPr>
        <w:numPr>
          <w:ilvl w:val="0"/>
          <w:numId w:val="3"/>
        </w:numPr>
        <w:spacing w:after="0" w:line="240" w:lineRule="auto"/>
        <w:ind w:left="360"/>
        <w:jc w:val="both"/>
        <w:rPr>
          <w:rFonts w:ascii="Arial" w:hAnsi="Arial" w:cs="Arial"/>
          <w:sz w:val="24"/>
          <w:szCs w:val="24"/>
        </w:rPr>
      </w:pPr>
      <w:r w:rsidRPr="00242122">
        <w:rPr>
          <w:rFonts w:ascii="Arial" w:hAnsi="Arial" w:cs="Arial"/>
          <w:sz w:val="24"/>
          <w:szCs w:val="24"/>
        </w:rPr>
        <w:t>producerea de energie prin centrale hidroelectrice, având în vedere prevederile Strategiei Energetice a României 2020 - 2030, cu perspectiva anului 2050);</w:t>
      </w:r>
    </w:p>
    <w:p w:rsidR="00924A0A" w:rsidRPr="00242122" w:rsidRDefault="00924A0A" w:rsidP="00B12004">
      <w:pPr>
        <w:numPr>
          <w:ilvl w:val="0"/>
          <w:numId w:val="3"/>
        </w:numPr>
        <w:spacing w:after="0" w:line="240" w:lineRule="auto"/>
        <w:ind w:left="360"/>
        <w:jc w:val="both"/>
        <w:rPr>
          <w:rFonts w:ascii="Arial" w:hAnsi="Arial" w:cs="Arial"/>
          <w:sz w:val="24"/>
          <w:szCs w:val="24"/>
        </w:rPr>
      </w:pPr>
      <w:r w:rsidRPr="00242122">
        <w:rPr>
          <w:rFonts w:ascii="Arial" w:hAnsi="Arial" w:cs="Arial"/>
          <w:sz w:val="24"/>
          <w:szCs w:val="24"/>
        </w:rPr>
        <w:t>asigurarea apei pentru irigații potrivit Strategiei naţională de reabilitare și extindere a infrastructurii de irigații din România, Programului Național de Reabilitare a Infrastructurii principale de Irigații, proiecte PNDR și Program Național Strategic pot CAP 2023-2027);</w:t>
      </w:r>
    </w:p>
    <w:p w:rsidR="00924A0A" w:rsidRPr="00242122" w:rsidRDefault="00924A0A" w:rsidP="00B12004">
      <w:pPr>
        <w:numPr>
          <w:ilvl w:val="0"/>
          <w:numId w:val="3"/>
        </w:numPr>
        <w:spacing w:after="0" w:line="240" w:lineRule="auto"/>
        <w:ind w:left="360"/>
        <w:jc w:val="both"/>
        <w:rPr>
          <w:rFonts w:ascii="Arial" w:hAnsi="Arial" w:cs="Arial"/>
          <w:sz w:val="24"/>
          <w:szCs w:val="24"/>
        </w:rPr>
      </w:pPr>
      <w:r w:rsidRPr="00242122">
        <w:rPr>
          <w:rFonts w:ascii="Arial" w:hAnsi="Arial" w:cs="Arial"/>
          <w:sz w:val="24"/>
          <w:szCs w:val="24"/>
        </w:rPr>
        <w:t>asigurarea condițiilor de transport rutier, feroviar și navigație - Strategia națională pentru dezvoltarea durabilă a României 2030, proiecte</w:t>
      </w:r>
      <w:r w:rsidRPr="00242122">
        <w:rPr>
          <w:rFonts w:ascii="Arial" w:hAnsi="Arial" w:cs="Arial"/>
        </w:rPr>
        <w:t xml:space="preserve"> </w:t>
      </w:r>
      <w:r w:rsidRPr="00242122">
        <w:rPr>
          <w:rFonts w:ascii="Arial" w:hAnsi="Arial" w:cs="Arial"/>
          <w:sz w:val="24"/>
          <w:szCs w:val="24"/>
        </w:rPr>
        <w:t>care au făcut/fac subiectul reglementării din punct de vedere al gospodăririi apelor, alte proiecte internaționale;</w:t>
      </w:r>
    </w:p>
    <w:p w:rsidR="00924A0A" w:rsidRPr="00242122" w:rsidRDefault="00924A0A" w:rsidP="00B12004">
      <w:pPr>
        <w:numPr>
          <w:ilvl w:val="0"/>
          <w:numId w:val="3"/>
        </w:numPr>
        <w:spacing w:after="0" w:line="240" w:lineRule="auto"/>
        <w:ind w:left="360"/>
        <w:jc w:val="both"/>
        <w:rPr>
          <w:rFonts w:ascii="Arial" w:hAnsi="Arial" w:cs="Arial"/>
          <w:sz w:val="24"/>
          <w:szCs w:val="24"/>
        </w:rPr>
      </w:pPr>
      <w:r w:rsidRPr="00242122">
        <w:rPr>
          <w:rFonts w:ascii="Arial" w:hAnsi="Arial" w:cs="Arial"/>
          <w:sz w:val="24"/>
          <w:szCs w:val="24"/>
        </w:rPr>
        <w:t>reducerea eroziune costiere (proiectul Reducerea Eroziunii costiere Faza II, finanțat prin Programul Operațional Infrastructură Mare 2014-2020);</w:t>
      </w:r>
    </w:p>
    <w:p w:rsidR="00924A0A" w:rsidRPr="00242122" w:rsidRDefault="00924A0A" w:rsidP="00B12004">
      <w:pPr>
        <w:numPr>
          <w:ilvl w:val="0"/>
          <w:numId w:val="3"/>
        </w:numPr>
        <w:spacing w:after="0" w:line="240" w:lineRule="auto"/>
        <w:ind w:left="360"/>
        <w:jc w:val="both"/>
        <w:rPr>
          <w:rFonts w:ascii="Arial" w:hAnsi="Arial" w:cs="Arial"/>
          <w:sz w:val="24"/>
          <w:szCs w:val="24"/>
        </w:rPr>
      </w:pPr>
      <w:r w:rsidRPr="00242122">
        <w:rPr>
          <w:rFonts w:ascii="Arial" w:hAnsi="Arial" w:cs="Arial"/>
          <w:sz w:val="24"/>
          <w:szCs w:val="24"/>
        </w:rPr>
        <w:t>infrastructura pentru alimentare cu apă și canalizare – epurare (Programul Operațional Infrastructură Mare 2014-2020, Planul National de Reziliență 2021-2026, Programul Operațional Dezvoltare Durabilă 2021-2027, Programul Național „Anghel Saligny” și viitoarea Strategie națională privind alimentarea cu apă, colectarea și epurarea apelor uzate urbane).</w:t>
      </w:r>
    </w:p>
    <w:p w:rsidR="00924A0A" w:rsidRPr="00242122" w:rsidRDefault="00924A0A" w:rsidP="00924A0A">
      <w:pPr>
        <w:spacing w:before="120" w:after="120" w:line="240" w:lineRule="auto"/>
        <w:ind w:firstLine="567"/>
        <w:jc w:val="both"/>
        <w:rPr>
          <w:rFonts w:ascii="Arial" w:hAnsi="Arial" w:cs="Arial"/>
          <w:sz w:val="24"/>
          <w:szCs w:val="24"/>
        </w:rPr>
      </w:pPr>
      <w:r w:rsidRPr="00242122">
        <w:rPr>
          <w:rFonts w:ascii="Arial" w:hAnsi="Arial" w:cs="Arial"/>
          <w:sz w:val="24"/>
          <w:szCs w:val="24"/>
        </w:rPr>
        <w:t>Directiva Cadru a Apei subliniază rolul esențial al cantităţii şi dinamicii apei ca suport al calităţii ecosistemelor acvatice şi îndeplinirii obiectivelor de mediu. Conform acesteia, lista elementelor de calitate aferentă obiectivelor de mediu pentru fiecare categorie de apă de suprafață cuprinde: elemente hidromorfologice și elemente fizico-chimice și poluanţi specifici care reprezintă suport pentru elementele biologice. Regimul hidrologic este inclus în categoria elementelor hidromorfologice. La nivel european, preocupările în ceea ce privește definirea unui debit ecologic au apărut ca urmare a cerințelor Directivei Cadru a Apei cu privire la stabilirea unui regim hidrologic care să reprezinte suport pentru îndeplinirea obiectivelor de mediu („debit ecologic” – „ecological flow”).</w:t>
      </w:r>
    </w:p>
    <w:p w:rsidR="00924A0A" w:rsidRPr="00242122" w:rsidRDefault="00924A0A" w:rsidP="00924A0A">
      <w:pPr>
        <w:spacing w:before="120" w:after="120" w:line="240" w:lineRule="auto"/>
        <w:ind w:firstLine="567"/>
        <w:jc w:val="both"/>
        <w:rPr>
          <w:rFonts w:ascii="Arial" w:hAnsi="Arial" w:cs="Arial"/>
          <w:sz w:val="24"/>
          <w:szCs w:val="24"/>
        </w:rPr>
      </w:pPr>
      <w:r w:rsidRPr="00242122">
        <w:rPr>
          <w:rFonts w:ascii="Arial" w:hAnsi="Arial" w:cs="Arial"/>
          <w:sz w:val="24"/>
          <w:szCs w:val="24"/>
        </w:rPr>
        <w:t>Pentru a sprijini Statele Membre în identificarea unui regim hidrologic care să reprezinte suport pentru atingerea şi menţinerea stării bune a apelor sau pentru nedeteriorarea stării ecologice existente, la nivelul Comisiei Europene în cadrul Strategiei de Implementare Comună a Directivei Cadru a Apei a fost elaborat, în anul 2015, Ghidul nr. 31 - Debitele ecologice în implementarea Directivei Cadru a Apei/Ecological flows in the implementation of the Water Framework Directive - Guidance Document no. 31. Acest ghid prezintă noțiunea de „debit ecologic” în contextul implementării Directivei Cadru a Apei ca “un regim hidrologic care să asigure atingerea obiectivelor de mediu prevăzute de Directiva Cadru a Apei pentru corpurile naturale de apă de suprafaţă, aşa cum se menţionează în articolul 4(1)”. Prin urmare, debitul ecologic trebuie să fie stabilit astfel încât să menţină, într-o anumită măsură, dinamica naturală a curgerii apei, adică să fie variabil în timp și spațiu. Debitele ecologice trebuie să conducă la atingerea şi menţinerea stării ecologice bune pentru corpurile de apă naturale sau nedeteriorarea stării ecologice acolo unde este cazul.</w:t>
      </w:r>
    </w:p>
    <w:p w:rsidR="00924A0A" w:rsidRPr="00242122" w:rsidRDefault="00924A0A" w:rsidP="00924A0A">
      <w:pPr>
        <w:spacing w:before="120" w:after="120" w:line="240" w:lineRule="auto"/>
        <w:ind w:firstLine="540"/>
        <w:jc w:val="both"/>
        <w:rPr>
          <w:rFonts w:ascii="Arial" w:hAnsi="Arial" w:cs="Arial"/>
          <w:sz w:val="24"/>
          <w:szCs w:val="24"/>
        </w:rPr>
      </w:pPr>
      <w:r w:rsidRPr="00242122">
        <w:rPr>
          <w:rFonts w:ascii="Arial" w:hAnsi="Arial" w:cs="Arial"/>
          <w:sz w:val="24"/>
          <w:szCs w:val="24"/>
        </w:rPr>
        <w:lastRenderedPageBreak/>
        <w:t>În calitate de Stat Membru, România trebuie să răspundă tuturor cerințelor Uniunii Europene şi implicit cerinţei de asigurare a unui debit ecologic. Astfel, în contextul atingerii obiectivelor de mediu pentru corpurile de apă de suprafaţă s-a introdus în Legea Apelor 107/1996 cu modificările și completările ulterioare, noțiunea de debit ecologic, definit în conformitate cu recomandările europene. Ulterior prin aprobarea Hotărârii de Guvern 148/2020 s-a stabilit modul de determinare și de calcul al debitului ecologic, ce a avut la bază cerințele Ghidului WFD CIS nr. 31 , legislația națională, rezultatele recente din literatura de specialitate, precum și de posibilitățile de implementare în operativ.</w:t>
      </w:r>
    </w:p>
    <w:p w:rsidR="00924A0A" w:rsidRPr="00242122" w:rsidRDefault="00924A0A" w:rsidP="00924A0A">
      <w:pPr>
        <w:spacing w:before="120" w:after="120" w:line="240" w:lineRule="auto"/>
        <w:ind w:firstLine="540"/>
        <w:jc w:val="both"/>
        <w:rPr>
          <w:rFonts w:ascii="Arial" w:hAnsi="Arial" w:cs="Arial"/>
          <w:sz w:val="24"/>
          <w:szCs w:val="24"/>
        </w:rPr>
      </w:pPr>
      <w:r w:rsidRPr="00242122">
        <w:rPr>
          <w:rFonts w:ascii="Arial" w:hAnsi="Arial" w:cs="Arial"/>
          <w:sz w:val="24"/>
          <w:szCs w:val="24"/>
        </w:rPr>
        <w:t>De asemenea, din perspectiva conformării cu prevederile Directivei Cadru Apă și a implementării și respectării legislației naționale specifice în vigoare, pentru protecția și conservarea stării apelor, viitoarele lucrări și activități pe ape sau care au legătură cu apele sunt evaluate din perspectiva posibilului impact al acestora asupra corpurilor de apă, în procesul de reglementare din punct de vedere al gospodăririi apelor.</w:t>
      </w:r>
    </w:p>
    <w:p w:rsidR="00924A0A" w:rsidRPr="00242122" w:rsidRDefault="00924A0A" w:rsidP="00924A0A">
      <w:pPr>
        <w:spacing w:before="120" w:after="120" w:line="240" w:lineRule="auto"/>
        <w:ind w:firstLine="630"/>
        <w:jc w:val="both"/>
        <w:rPr>
          <w:rFonts w:ascii="Arial" w:hAnsi="Arial" w:cs="Arial"/>
        </w:rPr>
      </w:pPr>
      <w:r w:rsidRPr="00242122">
        <w:rPr>
          <w:rFonts w:ascii="Arial" w:hAnsi="Arial" w:cs="Arial"/>
          <w:sz w:val="24"/>
          <w:szCs w:val="24"/>
        </w:rPr>
        <w:t>În acest sens prin Ordinul nr. 828/2019 al Ministrului Apelor și Pădurilor, a fost reglementat conținutul cadru al Studiului de evaluare a impactului asupra corpurilor de apă. În conținutul cadru, o etapă importantă în contextul protecției și nedeteriorării stării corpurilor de apă, o reprezintă identificarea şi stabilirea de măsuri suplimentare practice/realizabile de atenuare/reducere a impactului, inclusiv a impactului cumulat, pentru corpurile de apă cu risc de deteriorare a stării. În situația în care respectivul proiect sau cumulat cu proiectele autorizate/în curs de autorizare/avizate/în curs de avizare/planificate conduce la deteriorarea stării corpului de apă, se aplică cerințele de conformare cu prevederile Articolului 4.7 al DCA, transpus în Legea Apelor prin Articolul 2.7.</w:t>
      </w:r>
      <w:r w:rsidRPr="00242122">
        <w:rPr>
          <w:rFonts w:ascii="Arial" w:hAnsi="Arial" w:cs="Arial"/>
        </w:rPr>
        <w:t xml:space="preserve"> </w:t>
      </w:r>
    </w:p>
    <w:p w:rsidR="00924A0A" w:rsidRPr="00242122" w:rsidRDefault="00924A0A" w:rsidP="00924A0A">
      <w:pPr>
        <w:spacing w:before="120" w:after="120" w:line="240" w:lineRule="auto"/>
        <w:ind w:firstLine="630"/>
        <w:jc w:val="both"/>
        <w:rPr>
          <w:rFonts w:ascii="Arial" w:hAnsi="Arial" w:cs="Arial"/>
          <w:sz w:val="24"/>
          <w:szCs w:val="24"/>
        </w:rPr>
      </w:pPr>
      <w:r w:rsidRPr="00242122">
        <w:rPr>
          <w:rFonts w:ascii="Arial" w:hAnsi="Arial" w:cs="Arial"/>
          <w:sz w:val="24"/>
          <w:szCs w:val="24"/>
        </w:rPr>
        <w:t>Deteriorarea/riscul de deteriorare a stării ecologice a corpurilor de apă în relaţie cu proiectele noi de infrastructură este permisă  numai cu respectarea prevederilor Art. 4.7 al Directivei Cadru Apă. Deteriorarea stării (ecologice) a corpurilor de apă se analizează la nivel de element de calitate al stării, cu aplicarea principiului “celei mai defavorabile situaţii/one out - all out”, având în vedere prevederile din Anexa V a DCA.</w:t>
      </w:r>
    </w:p>
    <w:p w:rsidR="00924A0A" w:rsidRPr="00242122" w:rsidRDefault="00924A0A" w:rsidP="00924A0A">
      <w:pPr>
        <w:spacing w:after="0" w:line="240" w:lineRule="auto"/>
        <w:ind w:firstLine="720"/>
        <w:jc w:val="both"/>
        <w:rPr>
          <w:rFonts w:ascii="Arial" w:eastAsia="Times New Roman" w:hAnsi="Arial" w:cs="Arial"/>
          <w:sz w:val="24"/>
          <w:szCs w:val="24"/>
          <w:lang w:val="it-IT"/>
        </w:rPr>
      </w:pPr>
      <w:r w:rsidRPr="00242122">
        <w:rPr>
          <w:rFonts w:ascii="Arial" w:eastAsia="Times New Roman" w:hAnsi="Arial" w:cs="Arial"/>
          <w:sz w:val="24"/>
          <w:szCs w:val="24"/>
          <w:lang w:val="it-IT"/>
        </w:rPr>
        <w:t>În estimarea deteriorării/riscului de deterioare a stării ecologice, impactul potențial cumulat al viitoarelor proiecte de infrastructură (cât şi a celor existente) este luat în considerare.</w:t>
      </w:r>
    </w:p>
    <w:p w:rsidR="00924A0A" w:rsidRPr="00242122" w:rsidRDefault="00924A0A" w:rsidP="00924A0A">
      <w:pPr>
        <w:spacing w:after="0" w:line="240" w:lineRule="auto"/>
        <w:ind w:firstLine="720"/>
        <w:jc w:val="both"/>
        <w:rPr>
          <w:rFonts w:ascii="Arial" w:eastAsia="Times New Roman" w:hAnsi="Arial" w:cs="Arial"/>
          <w:sz w:val="24"/>
          <w:szCs w:val="24"/>
        </w:rPr>
      </w:pPr>
      <w:r w:rsidRPr="00242122">
        <w:rPr>
          <w:rFonts w:ascii="Arial" w:eastAsia="Times New Roman" w:hAnsi="Arial" w:cs="Arial"/>
          <w:sz w:val="24"/>
          <w:szCs w:val="24"/>
        </w:rPr>
        <w:t>De asemenea, pentru cazurile în care va avea loc modificarea obiectivului de mediu prin trecerea corpului de apă din categoria corpurilor de apă naturale în corpuri de apă puternic modificate, aceasta se realizează prin respectarea cerinţelor Art. 4.7 şi ale Art. 4.3 ale DCA.</w:t>
      </w:r>
    </w:p>
    <w:p w:rsidR="00924A0A" w:rsidRPr="00242122" w:rsidRDefault="00924A0A" w:rsidP="00924A0A">
      <w:pPr>
        <w:spacing w:before="120" w:after="120" w:line="240" w:lineRule="auto"/>
        <w:ind w:firstLine="630"/>
        <w:jc w:val="both"/>
        <w:rPr>
          <w:rFonts w:ascii="Arial" w:hAnsi="Arial" w:cs="Arial"/>
        </w:rPr>
      </w:pPr>
    </w:p>
    <w:p w:rsidR="000B4FCA" w:rsidRPr="00242122" w:rsidRDefault="000B4FCA" w:rsidP="000B4FCA">
      <w:pPr>
        <w:rPr>
          <w:rFonts w:ascii="Arial" w:hAnsi="Arial" w:cs="Arial"/>
          <w:b/>
          <w:color w:val="FF0000"/>
          <w:sz w:val="24"/>
          <w:szCs w:val="24"/>
          <w:u w:val="single"/>
        </w:rPr>
      </w:pPr>
    </w:p>
    <w:p w:rsidR="00924A0A" w:rsidRPr="00242122" w:rsidRDefault="00924A0A" w:rsidP="00924A0A">
      <w:pPr>
        <w:jc w:val="both"/>
        <w:rPr>
          <w:rFonts w:ascii="Arial" w:hAnsi="Arial" w:cs="Arial"/>
          <w:b/>
          <w:bCs/>
          <w:sz w:val="24"/>
          <w:szCs w:val="24"/>
        </w:rPr>
      </w:pPr>
      <w:r w:rsidRPr="00242122">
        <w:rPr>
          <w:rFonts w:ascii="Arial" w:hAnsi="Arial" w:cs="Arial"/>
          <w:b/>
          <w:bCs/>
          <w:sz w:val="24"/>
          <w:szCs w:val="24"/>
        </w:rPr>
        <w:t>II.1.2. Prognoze</w:t>
      </w:r>
    </w:p>
    <w:p w:rsidR="00924A0A" w:rsidRPr="00242122" w:rsidRDefault="00924A0A" w:rsidP="00924A0A">
      <w:pPr>
        <w:jc w:val="both"/>
        <w:rPr>
          <w:rFonts w:ascii="Arial" w:hAnsi="Arial" w:cs="Arial"/>
          <w:b/>
          <w:bCs/>
          <w:sz w:val="24"/>
          <w:szCs w:val="24"/>
        </w:rPr>
      </w:pPr>
      <w:r w:rsidRPr="00242122">
        <w:rPr>
          <w:rFonts w:ascii="Arial" w:hAnsi="Arial" w:cs="Arial"/>
          <w:b/>
          <w:bCs/>
          <w:sz w:val="24"/>
          <w:szCs w:val="24"/>
        </w:rPr>
        <w:t>II.1.2.1. Disponibilitatea, cererea și deficitul de apă</w:t>
      </w:r>
    </w:p>
    <w:p w:rsidR="00924A0A" w:rsidRPr="00242122" w:rsidRDefault="00924A0A" w:rsidP="00924A0A">
      <w:pPr>
        <w:spacing w:after="0" w:line="240" w:lineRule="auto"/>
        <w:jc w:val="both"/>
        <w:rPr>
          <w:rFonts w:ascii="Arial" w:hAnsi="Arial" w:cs="Arial"/>
          <w:b/>
          <w:bCs/>
          <w:sz w:val="24"/>
          <w:szCs w:val="24"/>
        </w:rPr>
      </w:pPr>
      <w:r w:rsidRPr="00242122">
        <w:rPr>
          <w:rFonts w:ascii="Arial" w:hAnsi="Arial" w:cs="Arial"/>
          <w:b/>
          <w:bCs/>
          <w:sz w:val="24"/>
          <w:szCs w:val="24"/>
        </w:rPr>
        <w:t>Prognoza cerințelor de apă pentru folosinţe (populație, industrie, irigații, zootehnie, acvacultură/ piscicultură) pentru anul 2030</w:t>
      </w:r>
    </w:p>
    <w:p w:rsidR="00924A0A" w:rsidRPr="00242122" w:rsidRDefault="00924A0A" w:rsidP="00924A0A">
      <w:pPr>
        <w:pStyle w:val="textscris"/>
        <w:spacing w:before="0" w:after="0"/>
        <w:rPr>
          <w:lang w:val="ro-RO"/>
        </w:rPr>
      </w:pPr>
    </w:p>
    <w:p w:rsidR="00924A0A" w:rsidRPr="00242122" w:rsidRDefault="00924A0A" w:rsidP="00924A0A">
      <w:pPr>
        <w:pStyle w:val="textscris"/>
        <w:spacing w:before="0" w:after="0"/>
        <w:rPr>
          <w:lang w:val="ro-RO"/>
        </w:rPr>
      </w:pPr>
      <w:r w:rsidRPr="00242122">
        <w:rPr>
          <w:lang w:val="ro-RO"/>
        </w:rPr>
        <w:t>Prognoza cerinţelor de apă s-a elaborat în anul 2014 în cadrul temei: Actualizarea studiilor de fundamentare a P.A.B.H. - Evaluarea cerinţelor de apă (an de referinţă 2011) la nivelul celor 11 Administrații Bazinale de Apă, pentru orizontul de timp 2020 - 2030.</w:t>
      </w:r>
    </w:p>
    <w:p w:rsidR="00924A0A" w:rsidRPr="00242122" w:rsidRDefault="00924A0A" w:rsidP="00924A0A">
      <w:pPr>
        <w:pStyle w:val="textscris"/>
        <w:spacing w:before="0" w:after="0"/>
        <w:rPr>
          <w:color w:val="000000"/>
          <w:lang w:val="ro-RO"/>
        </w:rPr>
      </w:pPr>
      <w:r w:rsidRPr="00242122">
        <w:rPr>
          <w:color w:val="000000"/>
          <w:lang w:val="ro-RO"/>
        </w:rPr>
        <w:t xml:space="preserve">Pentru realizarea prognozei cerinţelor de apă pentru anul 2030 a fost aplicată „Metodologia de prognoză a cerinţelor de apă ale folosinţelor”, elaborată în cadrul Institutului Naţional de Hidrologie şi Gospodărire a Apelor, metodologie aplicată în </w:t>
      </w:r>
      <w:r w:rsidRPr="00242122">
        <w:rPr>
          <w:color w:val="000000"/>
          <w:lang w:val="ro-RO"/>
        </w:rPr>
        <w:lastRenderedPageBreak/>
        <w:t>elaborarea Planului Naţional de Amenajare a Bazinelor Hidrografice, parte componentă a Schemei Directoare de Amenajare şi Management a Bazinelor Hidrografice.</w:t>
      </w:r>
    </w:p>
    <w:p w:rsidR="00924A0A" w:rsidRPr="00242122" w:rsidRDefault="00924A0A" w:rsidP="00924A0A">
      <w:pPr>
        <w:tabs>
          <w:tab w:val="left" w:pos="-879"/>
        </w:tabs>
        <w:spacing w:after="0" w:line="240" w:lineRule="auto"/>
        <w:jc w:val="both"/>
        <w:rPr>
          <w:rFonts w:ascii="Arial" w:hAnsi="Arial" w:cs="Arial"/>
          <w:sz w:val="24"/>
          <w:szCs w:val="24"/>
        </w:rPr>
      </w:pPr>
      <w:r w:rsidRPr="00242122">
        <w:rPr>
          <w:rFonts w:ascii="Arial" w:hAnsi="Arial" w:cs="Arial"/>
          <w:sz w:val="24"/>
          <w:szCs w:val="24"/>
        </w:rPr>
        <w:tab/>
        <w:t>Prognoza cerinţelor de apă s-a estimat prin metode specifice de prognoză pentru fiecare categorie de folosinţă de apă:</w:t>
      </w:r>
    </w:p>
    <w:p w:rsidR="00924A0A" w:rsidRPr="00242122" w:rsidRDefault="00924A0A" w:rsidP="00924A0A">
      <w:pPr>
        <w:pStyle w:val="bulet1"/>
        <w:tabs>
          <w:tab w:val="clear" w:pos="360"/>
          <w:tab w:val="left" w:pos="1440"/>
        </w:tabs>
        <w:spacing w:before="0" w:after="0"/>
        <w:ind w:left="1080" w:hanging="360"/>
        <w:rPr>
          <w:rFonts w:eastAsia="Calibri"/>
        </w:rPr>
      </w:pPr>
      <w:r w:rsidRPr="00242122">
        <w:rPr>
          <w:rFonts w:eastAsia="Calibri"/>
        </w:rPr>
        <w:t>Populație;</w:t>
      </w:r>
    </w:p>
    <w:p w:rsidR="00924A0A" w:rsidRPr="00242122" w:rsidRDefault="00924A0A" w:rsidP="00924A0A">
      <w:pPr>
        <w:pStyle w:val="bulet1"/>
        <w:tabs>
          <w:tab w:val="clear" w:pos="360"/>
          <w:tab w:val="left" w:pos="1440"/>
        </w:tabs>
        <w:spacing w:before="0" w:after="0"/>
        <w:ind w:left="1080" w:hanging="360"/>
        <w:rPr>
          <w:rFonts w:eastAsia="Calibri"/>
        </w:rPr>
      </w:pPr>
      <w:r w:rsidRPr="00242122">
        <w:rPr>
          <w:rFonts w:eastAsia="Calibri"/>
        </w:rPr>
        <w:t>Industrie;</w:t>
      </w:r>
    </w:p>
    <w:p w:rsidR="00924A0A" w:rsidRPr="00242122" w:rsidRDefault="00924A0A" w:rsidP="00924A0A">
      <w:pPr>
        <w:pStyle w:val="bulet1"/>
        <w:tabs>
          <w:tab w:val="clear" w:pos="360"/>
          <w:tab w:val="left" w:pos="1440"/>
        </w:tabs>
        <w:spacing w:before="0" w:after="0"/>
        <w:ind w:left="1080" w:hanging="360"/>
        <w:rPr>
          <w:rFonts w:eastAsia="Calibri"/>
        </w:rPr>
      </w:pPr>
      <w:r w:rsidRPr="00242122">
        <w:rPr>
          <w:rFonts w:eastAsia="Calibri"/>
        </w:rPr>
        <w:t>Irigații;</w:t>
      </w:r>
    </w:p>
    <w:p w:rsidR="00924A0A" w:rsidRPr="00242122" w:rsidRDefault="00924A0A" w:rsidP="00924A0A">
      <w:pPr>
        <w:pStyle w:val="bulet1"/>
        <w:tabs>
          <w:tab w:val="clear" w:pos="360"/>
          <w:tab w:val="left" w:pos="1440"/>
        </w:tabs>
        <w:spacing w:before="0" w:after="0"/>
        <w:ind w:left="1080" w:hanging="360"/>
        <w:rPr>
          <w:rFonts w:eastAsia="Calibri"/>
        </w:rPr>
      </w:pPr>
      <w:r w:rsidRPr="00242122">
        <w:rPr>
          <w:rFonts w:eastAsia="Calibri"/>
        </w:rPr>
        <w:t>Zootehnie;</w:t>
      </w:r>
    </w:p>
    <w:p w:rsidR="00924A0A" w:rsidRPr="00242122" w:rsidRDefault="00924A0A" w:rsidP="00924A0A">
      <w:pPr>
        <w:pStyle w:val="bulet1"/>
        <w:tabs>
          <w:tab w:val="clear" w:pos="360"/>
          <w:tab w:val="left" w:pos="1440"/>
        </w:tabs>
        <w:spacing w:before="0" w:after="0"/>
        <w:ind w:left="1080" w:hanging="360"/>
        <w:rPr>
          <w:rFonts w:eastAsia="Calibri"/>
        </w:rPr>
      </w:pPr>
      <w:r w:rsidRPr="00242122">
        <w:rPr>
          <w:rFonts w:eastAsia="Calibri"/>
        </w:rPr>
        <w:t>Acvacultură/piscicultură.</w:t>
      </w:r>
    </w:p>
    <w:p w:rsidR="00924A0A" w:rsidRPr="00242122" w:rsidRDefault="00924A0A" w:rsidP="00924A0A">
      <w:pPr>
        <w:spacing w:after="0" w:line="240" w:lineRule="auto"/>
        <w:ind w:left="720"/>
        <w:jc w:val="both"/>
        <w:rPr>
          <w:rFonts w:ascii="Arial" w:hAnsi="Arial" w:cs="Arial"/>
          <w:sz w:val="24"/>
          <w:szCs w:val="24"/>
        </w:rPr>
      </w:pPr>
    </w:p>
    <w:p w:rsidR="00924A0A" w:rsidRPr="00242122" w:rsidRDefault="00924A0A" w:rsidP="00924A0A">
      <w:pPr>
        <w:spacing w:after="0" w:line="240" w:lineRule="auto"/>
        <w:ind w:firstLine="708"/>
        <w:jc w:val="both"/>
        <w:rPr>
          <w:rFonts w:ascii="Arial" w:hAnsi="Arial" w:cs="Arial"/>
          <w:sz w:val="24"/>
          <w:szCs w:val="24"/>
        </w:rPr>
      </w:pPr>
      <w:r w:rsidRPr="00242122">
        <w:rPr>
          <w:rFonts w:ascii="Arial" w:hAnsi="Arial" w:cs="Arial"/>
          <w:sz w:val="24"/>
          <w:szCs w:val="24"/>
        </w:rPr>
        <w:t xml:space="preserve">În elaborarea </w:t>
      </w:r>
      <w:r w:rsidRPr="00242122">
        <w:rPr>
          <w:rFonts w:ascii="Arial" w:hAnsi="Arial" w:cs="Arial"/>
          <w:b/>
          <w:i/>
          <w:sz w:val="24"/>
          <w:szCs w:val="24"/>
        </w:rPr>
        <w:t>prognozei cerințelor de apă pentru populație</w:t>
      </w:r>
      <w:r w:rsidRPr="00242122">
        <w:rPr>
          <w:rFonts w:ascii="Arial" w:hAnsi="Arial" w:cs="Arial"/>
          <w:sz w:val="24"/>
          <w:szCs w:val="24"/>
        </w:rPr>
        <w:t xml:space="preserve"> s-a ţinut cont de:</w:t>
      </w:r>
    </w:p>
    <w:p w:rsidR="00924A0A" w:rsidRPr="00242122" w:rsidRDefault="00924A0A" w:rsidP="00B12004">
      <w:pPr>
        <w:pStyle w:val="ListParagraph"/>
        <w:numPr>
          <w:ilvl w:val="0"/>
          <w:numId w:val="6"/>
        </w:numPr>
        <w:tabs>
          <w:tab w:val="left" w:pos="-879"/>
        </w:tabs>
        <w:spacing w:after="0" w:line="240" w:lineRule="auto"/>
        <w:ind w:left="1080"/>
        <w:jc w:val="both"/>
        <w:rPr>
          <w:rFonts w:ascii="Arial" w:hAnsi="Arial" w:cs="Arial"/>
          <w:sz w:val="24"/>
          <w:szCs w:val="24"/>
          <w:lang w:val="fr-FR"/>
        </w:rPr>
      </w:pPr>
      <w:r w:rsidRPr="00242122">
        <w:rPr>
          <w:rFonts w:ascii="Arial" w:hAnsi="Arial" w:cs="Arial"/>
          <w:sz w:val="24"/>
          <w:szCs w:val="24"/>
          <w:lang w:val="fr-FR"/>
        </w:rPr>
        <w:t>datele puse la dispoziţie de Institutul Naţional de Statistică prin Recensământul Populaţiei şi Locuinţelor realizat în anul 2011;</w:t>
      </w:r>
    </w:p>
    <w:p w:rsidR="00924A0A" w:rsidRPr="00242122" w:rsidRDefault="00924A0A" w:rsidP="00B12004">
      <w:pPr>
        <w:pStyle w:val="ListParagraph"/>
        <w:numPr>
          <w:ilvl w:val="0"/>
          <w:numId w:val="6"/>
        </w:numPr>
        <w:tabs>
          <w:tab w:val="left" w:pos="-879"/>
        </w:tabs>
        <w:spacing w:after="0" w:line="240" w:lineRule="auto"/>
        <w:ind w:left="1080"/>
        <w:jc w:val="both"/>
        <w:rPr>
          <w:rFonts w:ascii="Arial" w:hAnsi="Arial" w:cs="Arial"/>
          <w:sz w:val="24"/>
          <w:szCs w:val="24"/>
          <w:lang w:val="fr-FR"/>
        </w:rPr>
      </w:pPr>
      <w:r w:rsidRPr="00242122">
        <w:rPr>
          <w:rFonts w:ascii="Arial" w:hAnsi="Arial" w:cs="Arial"/>
          <w:sz w:val="24"/>
          <w:szCs w:val="24"/>
          <w:lang w:val="fr-FR"/>
        </w:rPr>
        <w:t>datele statistice privind evoluţia populaţiei din România realizată de Organizaţia Naţiunilor Unite (Departamentul pentru Economie şi Afaceri Sociale – Divizia Populaţiei) în lucrarea „World Population Prospects: The 2012 Revision” publicată la 13 iunie 2013;</w:t>
      </w:r>
    </w:p>
    <w:p w:rsidR="00924A0A" w:rsidRPr="00242122" w:rsidRDefault="00924A0A" w:rsidP="00B12004">
      <w:pPr>
        <w:pStyle w:val="ListParagraph"/>
        <w:numPr>
          <w:ilvl w:val="0"/>
          <w:numId w:val="6"/>
        </w:numPr>
        <w:tabs>
          <w:tab w:val="left" w:pos="-879"/>
          <w:tab w:val="left" w:pos="0"/>
          <w:tab w:val="left" w:pos="788"/>
          <w:tab w:val="left" w:pos="162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pacing w:after="0" w:line="240" w:lineRule="auto"/>
        <w:ind w:left="1080"/>
        <w:jc w:val="both"/>
        <w:rPr>
          <w:rFonts w:ascii="Arial" w:hAnsi="Arial" w:cs="Arial"/>
          <w:sz w:val="24"/>
          <w:szCs w:val="24"/>
          <w:lang w:val="fr-FR"/>
        </w:rPr>
      </w:pPr>
      <w:r w:rsidRPr="00242122">
        <w:rPr>
          <w:rFonts w:ascii="Arial" w:hAnsi="Arial" w:cs="Arial"/>
          <w:sz w:val="24"/>
          <w:szCs w:val="24"/>
          <w:lang w:val="fr-FR"/>
        </w:rPr>
        <w:t>repartiţia populaţiei pe medii de locuire;</w:t>
      </w:r>
    </w:p>
    <w:p w:rsidR="00924A0A" w:rsidRPr="00242122" w:rsidRDefault="00924A0A" w:rsidP="00B12004">
      <w:pPr>
        <w:pStyle w:val="ListParagraph"/>
        <w:numPr>
          <w:ilvl w:val="0"/>
          <w:numId w:val="6"/>
        </w:numPr>
        <w:tabs>
          <w:tab w:val="left" w:pos="-879"/>
        </w:tabs>
        <w:spacing w:after="0" w:line="240" w:lineRule="auto"/>
        <w:ind w:left="1080"/>
        <w:jc w:val="both"/>
        <w:rPr>
          <w:rFonts w:ascii="Arial" w:hAnsi="Arial" w:cs="Arial"/>
          <w:sz w:val="24"/>
          <w:szCs w:val="24"/>
        </w:rPr>
      </w:pPr>
      <w:r w:rsidRPr="00242122">
        <w:rPr>
          <w:rFonts w:ascii="Arial" w:hAnsi="Arial" w:cs="Arial"/>
          <w:sz w:val="24"/>
          <w:szCs w:val="24"/>
          <w:lang w:val="fr-FR"/>
        </w:rPr>
        <w:t xml:space="preserve">coeficientul de creştere a gradului de urbanizare pentru România (conform statisticii Organizaţiei Naţinunilor Unite (Departamentul pentru Economie şi Afaceri Sociale – Divizia Populaţiei) din lucrarea „World Urbanization Prospects: The 2011 Revision. </w:t>
      </w:r>
      <w:r w:rsidRPr="00242122">
        <w:rPr>
          <w:rFonts w:ascii="Arial" w:hAnsi="Arial" w:cs="Arial"/>
          <w:sz w:val="24"/>
          <w:szCs w:val="24"/>
        </w:rPr>
        <w:t>Average Annual Rate of Change the Percentage Urban by Major Area, Region and Country” publicată în octombrie 2012;</w:t>
      </w:r>
    </w:p>
    <w:p w:rsidR="00924A0A" w:rsidRPr="00242122" w:rsidRDefault="00924A0A" w:rsidP="00B12004">
      <w:pPr>
        <w:pStyle w:val="ListParagraph"/>
        <w:numPr>
          <w:ilvl w:val="0"/>
          <w:numId w:val="6"/>
        </w:numPr>
        <w:tabs>
          <w:tab w:val="left" w:pos="-879"/>
        </w:tabs>
        <w:spacing w:after="0" w:line="240" w:lineRule="auto"/>
        <w:ind w:left="1080"/>
        <w:jc w:val="both"/>
        <w:rPr>
          <w:rFonts w:ascii="Arial" w:hAnsi="Arial" w:cs="Arial"/>
          <w:sz w:val="24"/>
          <w:szCs w:val="24"/>
          <w:lang w:val="fr-FR"/>
        </w:rPr>
      </w:pPr>
      <w:r w:rsidRPr="00242122">
        <w:rPr>
          <w:rFonts w:ascii="Arial" w:hAnsi="Arial" w:cs="Arial"/>
          <w:sz w:val="24"/>
          <w:szCs w:val="24"/>
          <w:lang w:val="fr-FR"/>
        </w:rPr>
        <w:t>prognoza evoluţiei populaţiei pentru anul 2030;</w:t>
      </w:r>
    </w:p>
    <w:p w:rsidR="00924A0A" w:rsidRPr="00242122" w:rsidRDefault="00924A0A" w:rsidP="00B12004">
      <w:pPr>
        <w:pStyle w:val="ListParagraph"/>
        <w:numPr>
          <w:ilvl w:val="0"/>
          <w:numId w:val="6"/>
        </w:numPr>
        <w:tabs>
          <w:tab w:val="left" w:pos="-879"/>
        </w:tabs>
        <w:spacing w:after="0" w:line="240" w:lineRule="auto"/>
        <w:ind w:left="1080"/>
        <w:jc w:val="both"/>
        <w:rPr>
          <w:rFonts w:ascii="Arial" w:hAnsi="Arial" w:cs="Arial"/>
          <w:sz w:val="24"/>
          <w:szCs w:val="24"/>
          <w:lang w:val="fr-FR"/>
        </w:rPr>
      </w:pPr>
      <w:r w:rsidRPr="00242122">
        <w:rPr>
          <w:rFonts w:ascii="Arial" w:hAnsi="Arial" w:cs="Arial"/>
          <w:sz w:val="24"/>
          <w:szCs w:val="24"/>
          <w:lang w:val="fr-FR"/>
        </w:rPr>
        <w:t>rata de utilizare a apei pentru populaţie în zonele urbane/rurale, la nivelul României;</w:t>
      </w:r>
    </w:p>
    <w:p w:rsidR="00924A0A" w:rsidRPr="00242122" w:rsidRDefault="00924A0A" w:rsidP="00B12004">
      <w:pPr>
        <w:pStyle w:val="ListParagraph"/>
        <w:numPr>
          <w:ilvl w:val="0"/>
          <w:numId w:val="6"/>
        </w:numPr>
        <w:tabs>
          <w:tab w:val="left" w:pos="-879"/>
        </w:tabs>
        <w:spacing w:after="0" w:line="240" w:lineRule="auto"/>
        <w:ind w:left="1080"/>
        <w:jc w:val="both"/>
        <w:rPr>
          <w:rFonts w:ascii="Arial" w:hAnsi="Arial" w:cs="Arial"/>
          <w:sz w:val="24"/>
          <w:szCs w:val="24"/>
        </w:rPr>
      </w:pPr>
      <w:r w:rsidRPr="00242122">
        <w:rPr>
          <w:rFonts w:ascii="Arial" w:hAnsi="Arial" w:cs="Arial"/>
          <w:sz w:val="24"/>
          <w:szCs w:val="24"/>
        </w:rPr>
        <w:t xml:space="preserve">prevederile </w:t>
      </w:r>
      <w:r w:rsidRPr="00242122">
        <w:rPr>
          <w:rFonts w:ascii="Arial" w:hAnsi="Arial" w:cs="Arial"/>
          <w:i/>
          <w:sz w:val="24"/>
          <w:szCs w:val="24"/>
        </w:rPr>
        <w:t>Programului Operaţional Sectorial de Mediu</w:t>
      </w:r>
      <w:r w:rsidRPr="00242122">
        <w:rPr>
          <w:rFonts w:ascii="Arial" w:hAnsi="Arial" w:cs="Arial"/>
          <w:sz w:val="24"/>
          <w:szCs w:val="24"/>
        </w:rPr>
        <w:t xml:space="preserve"> (POS MEDIU).</w:t>
      </w:r>
    </w:p>
    <w:p w:rsidR="00924A0A" w:rsidRPr="00242122" w:rsidRDefault="00924A0A" w:rsidP="00924A0A">
      <w:pPr>
        <w:tabs>
          <w:tab w:val="left" w:pos="-879"/>
        </w:tabs>
        <w:spacing w:after="0" w:line="240" w:lineRule="auto"/>
        <w:jc w:val="both"/>
        <w:rPr>
          <w:rFonts w:ascii="Arial" w:hAnsi="Arial" w:cs="Arial"/>
          <w:sz w:val="24"/>
          <w:szCs w:val="24"/>
        </w:rPr>
      </w:pPr>
      <w:r w:rsidRPr="00242122">
        <w:rPr>
          <w:rFonts w:ascii="Arial" w:hAnsi="Arial" w:cs="Arial"/>
          <w:sz w:val="24"/>
          <w:szCs w:val="24"/>
        </w:rPr>
        <w:tab/>
      </w:r>
    </w:p>
    <w:p w:rsidR="00924A0A" w:rsidRPr="00242122" w:rsidRDefault="00924A0A" w:rsidP="00924A0A">
      <w:pPr>
        <w:tabs>
          <w:tab w:val="left" w:pos="-879"/>
        </w:tabs>
        <w:spacing w:after="0" w:line="240" w:lineRule="auto"/>
        <w:jc w:val="both"/>
        <w:rPr>
          <w:rFonts w:ascii="Arial" w:hAnsi="Arial" w:cs="Arial"/>
          <w:sz w:val="24"/>
          <w:szCs w:val="24"/>
        </w:rPr>
      </w:pPr>
      <w:r w:rsidRPr="00242122">
        <w:rPr>
          <w:rFonts w:ascii="Arial" w:hAnsi="Arial" w:cs="Arial"/>
          <w:sz w:val="24"/>
          <w:szCs w:val="24"/>
        </w:rPr>
        <w:tab/>
        <w:t>Prognoza cerinţelor de apă pentru populaţie s-a realizat pentru trei scenarii în funcţie de rata fertilităţii: scenariul minimal (rata scăzută a fertilităţii), scenariul mediu (rata medie a fertilităţii) şi scenariul maximal (rata ridicată a fertilităţii).</w:t>
      </w:r>
    </w:p>
    <w:p w:rsidR="00924A0A" w:rsidRPr="00242122" w:rsidRDefault="00924A0A" w:rsidP="00924A0A">
      <w:pPr>
        <w:tabs>
          <w:tab w:val="left" w:pos="-879"/>
        </w:tabs>
        <w:spacing w:after="0" w:line="240" w:lineRule="auto"/>
        <w:jc w:val="both"/>
        <w:rPr>
          <w:rFonts w:ascii="Arial" w:hAnsi="Arial" w:cs="Arial"/>
          <w:b/>
          <w:i/>
          <w:sz w:val="24"/>
          <w:szCs w:val="24"/>
          <w:lang w:val="es-ES_tradnl"/>
        </w:rPr>
      </w:pPr>
      <w:r w:rsidRPr="00242122">
        <w:rPr>
          <w:rFonts w:ascii="Arial" w:hAnsi="Arial" w:cs="Arial"/>
          <w:b/>
          <w:i/>
          <w:sz w:val="24"/>
          <w:szCs w:val="24"/>
          <w:lang w:val="es-ES_tradnl"/>
        </w:rPr>
        <w:tab/>
      </w:r>
    </w:p>
    <w:p w:rsidR="00924A0A" w:rsidRPr="00242122" w:rsidRDefault="00924A0A" w:rsidP="00924A0A">
      <w:pPr>
        <w:tabs>
          <w:tab w:val="left" w:pos="-879"/>
        </w:tabs>
        <w:spacing w:after="0" w:line="240" w:lineRule="auto"/>
        <w:jc w:val="both"/>
        <w:rPr>
          <w:rFonts w:ascii="Arial" w:hAnsi="Arial" w:cs="Arial"/>
          <w:sz w:val="24"/>
          <w:szCs w:val="24"/>
        </w:rPr>
      </w:pPr>
      <w:r w:rsidRPr="00242122">
        <w:rPr>
          <w:rFonts w:ascii="Arial" w:hAnsi="Arial" w:cs="Arial"/>
          <w:b/>
          <w:i/>
          <w:sz w:val="24"/>
          <w:szCs w:val="24"/>
          <w:lang w:val="es-ES_tradnl"/>
        </w:rPr>
        <w:tab/>
        <w:t>Prognoza cerințelor de apă pentru industrie</w:t>
      </w:r>
      <w:r w:rsidRPr="00242122">
        <w:rPr>
          <w:rFonts w:ascii="Arial" w:hAnsi="Arial" w:cs="Arial"/>
          <w:i/>
          <w:sz w:val="24"/>
          <w:szCs w:val="24"/>
          <w:lang w:val="es-ES_tradnl"/>
        </w:rPr>
        <w:t xml:space="preserve"> </w:t>
      </w:r>
      <w:r w:rsidRPr="00242122">
        <w:rPr>
          <w:rFonts w:ascii="Arial" w:hAnsi="Arial" w:cs="Arial"/>
          <w:sz w:val="24"/>
          <w:szCs w:val="24"/>
          <w:lang w:val="es-ES_tradnl"/>
        </w:rPr>
        <w:t xml:space="preserve">s-a estimat prin </w:t>
      </w:r>
      <w:r w:rsidRPr="00242122">
        <w:rPr>
          <w:rFonts w:ascii="Arial" w:hAnsi="Arial" w:cs="Arial"/>
          <w:sz w:val="24"/>
          <w:szCs w:val="24"/>
        </w:rPr>
        <w:t>metoda prelevărilor pe locuitor, având la bază:</w:t>
      </w:r>
    </w:p>
    <w:p w:rsidR="00924A0A" w:rsidRPr="00242122" w:rsidRDefault="00924A0A" w:rsidP="00B12004">
      <w:pPr>
        <w:pStyle w:val="ListParagraph"/>
        <w:numPr>
          <w:ilvl w:val="0"/>
          <w:numId w:val="7"/>
        </w:numPr>
        <w:tabs>
          <w:tab w:val="left" w:pos="-879"/>
        </w:tabs>
        <w:spacing w:after="0" w:line="240" w:lineRule="auto"/>
        <w:ind w:left="1080"/>
        <w:jc w:val="both"/>
        <w:rPr>
          <w:rFonts w:ascii="Arial" w:hAnsi="Arial" w:cs="Arial"/>
          <w:sz w:val="24"/>
          <w:szCs w:val="24"/>
          <w:lang w:val="fr-FR"/>
        </w:rPr>
      </w:pPr>
      <w:r w:rsidRPr="00242122">
        <w:rPr>
          <w:rFonts w:ascii="Arial" w:hAnsi="Arial" w:cs="Arial"/>
          <w:sz w:val="24"/>
          <w:szCs w:val="24"/>
          <w:lang w:val="es-ES_tradnl"/>
        </w:rPr>
        <w:t>volumul de apă industrială prelevat la nivelul anului de referinţă, volum ce a fost preluat din Balanţa Apei elaborată de Administraţia Naţională „Apele Române”</w:t>
      </w:r>
      <w:r w:rsidRPr="00242122">
        <w:rPr>
          <w:rFonts w:ascii="Arial" w:hAnsi="Arial" w:cs="Arial"/>
          <w:sz w:val="24"/>
          <w:szCs w:val="24"/>
          <w:lang w:val="fr-FR"/>
        </w:rPr>
        <w:t>;</w:t>
      </w:r>
    </w:p>
    <w:p w:rsidR="00924A0A" w:rsidRPr="00242122" w:rsidRDefault="00924A0A" w:rsidP="00B12004">
      <w:pPr>
        <w:pStyle w:val="ListParagraph"/>
        <w:numPr>
          <w:ilvl w:val="0"/>
          <w:numId w:val="7"/>
        </w:numPr>
        <w:tabs>
          <w:tab w:val="left" w:pos="-879"/>
        </w:tabs>
        <w:spacing w:after="0" w:line="240" w:lineRule="auto"/>
        <w:ind w:left="1080"/>
        <w:jc w:val="both"/>
        <w:rPr>
          <w:rFonts w:ascii="Arial" w:hAnsi="Arial" w:cs="Arial"/>
          <w:sz w:val="24"/>
          <w:szCs w:val="24"/>
          <w:lang w:val="fr-FR"/>
        </w:rPr>
      </w:pPr>
      <w:r w:rsidRPr="00242122">
        <w:rPr>
          <w:rFonts w:ascii="Arial" w:hAnsi="Arial" w:cs="Arial"/>
          <w:sz w:val="24"/>
          <w:szCs w:val="24"/>
          <w:lang w:val="es-ES_tradnl"/>
        </w:rPr>
        <w:t>populaţia la nivelul anului de referinţă</w:t>
      </w:r>
      <w:r w:rsidRPr="00242122">
        <w:rPr>
          <w:rFonts w:ascii="Arial" w:hAnsi="Arial" w:cs="Arial"/>
          <w:sz w:val="24"/>
          <w:szCs w:val="24"/>
          <w:lang w:val="fr-FR"/>
        </w:rPr>
        <w:t>;</w:t>
      </w:r>
    </w:p>
    <w:p w:rsidR="00924A0A" w:rsidRPr="00242122" w:rsidRDefault="00924A0A" w:rsidP="00B12004">
      <w:pPr>
        <w:pStyle w:val="ListParagraph"/>
        <w:numPr>
          <w:ilvl w:val="0"/>
          <w:numId w:val="7"/>
        </w:numPr>
        <w:tabs>
          <w:tab w:val="left" w:pos="-879"/>
        </w:tabs>
        <w:spacing w:after="0" w:line="240" w:lineRule="auto"/>
        <w:ind w:left="1080"/>
        <w:jc w:val="both"/>
        <w:rPr>
          <w:rFonts w:ascii="Arial" w:hAnsi="Arial" w:cs="Arial"/>
          <w:sz w:val="24"/>
          <w:szCs w:val="24"/>
          <w:lang w:val="fr-FR"/>
        </w:rPr>
      </w:pPr>
      <w:r w:rsidRPr="00242122">
        <w:rPr>
          <w:rFonts w:ascii="Arial" w:hAnsi="Arial" w:cs="Arial"/>
          <w:sz w:val="24"/>
          <w:szCs w:val="24"/>
          <w:lang w:val="fr-FR"/>
        </w:rPr>
        <w:t>evoluţia principalilor indicatori economico - sociali furnizată de Comisia Naţională de Prognoză, prin publicaţia "</w:t>
      </w:r>
      <w:r w:rsidRPr="00242122">
        <w:rPr>
          <w:rFonts w:ascii="Arial" w:hAnsi="Arial" w:cs="Arial"/>
          <w:i/>
          <w:sz w:val="24"/>
          <w:szCs w:val="24"/>
          <w:lang w:val="fr-FR"/>
        </w:rPr>
        <w:t>Proiecţia principalilor indicatori economico - sociali în profil teritorial până în 2016</w:t>
      </w:r>
      <w:r w:rsidRPr="00242122">
        <w:rPr>
          <w:rFonts w:ascii="Arial" w:hAnsi="Arial" w:cs="Arial"/>
          <w:sz w:val="24"/>
          <w:szCs w:val="24"/>
          <w:lang w:val="fr-FR"/>
        </w:rPr>
        <w:t xml:space="preserve">", publicat în iunie 2013. </w:t>
      </w:r>
    </w:p>
    <w:p w:rsidR="00924A0A" w:rsidRPr="00242122" w:rsidRDefault="00924A0A" w:rsidP="00924A0A">
      <w:pPr>
        <w:tabs>
          <w:tab w:val="left" w:pos="-879"/>
        </w:tabs>
        <w:spacing w:after="0" w:line="240" w:lineRule="auto"/>
        <w:jc w:val="both"/>
        <w:rPr>
          <w:rFonts w:ascii="Arial" w:hAnsi="Arial" w:cs="Arial"/>
          <w:sz w:val="24"/>
          <w:szCs w:val="24"/>
          <w:lang w:val="es-ES_tradnl"/>
        </w:rPr>
      </w:pPr>
      <w:r w:rsidRPr="00242122">
        <w:rPr>
          <w:rFonts w:ascii="Arial" w:hAnsi="Arial" w:cs="Arial"/>
          <w:sz w:val="24"/>
          <w:szCs w:val="24"/>
          <w:lang w:val="es-ES_tradnl"/>
        </w:rPr>
        <w:tab/>
        <w:t>Ca şi în cazul prognozei cerinţelor de apă pentru populaţie, prognoza cerinţelor de apă pentru industrie s-a realizat pentru trei scenarii de prognoză.</w:t>
      </w:r>
    </w:p>
    <w:p w:rsidR="00924A0A" w:rsidRPr="00242122" w:rsidRDefault="00924A0A" w:rsidP="00924A0A">
      <w:pPr>
        <w:tabs>
          <w:tab w:val="left" w:pos="-879"/>
        </w:tabs>
        <w:spacing w:after="0" w:line="240" w:lineRule="auto"/>
        <w:jc w:val="both"/>
        <w:rPr>
          <w:rFonts w:ascii="Arial" w:hAnsi="Arial" w:cs="Arial"/>
          <w:sz w:val="24"/>
          <w:szCs w:val="24"/>
          <w:lang w:val="es-ES_tradnl"/>
        </w:rPr>
      </w:pPr>
      <w:r w:rsidRPr="00242122">
        <w:rPr>
          <w:rFonts w:ascii="Arial" w:hAnsi="Arial" w:cs="Arial"/>
          <w:sz w:val="24"/>
          <w:szCs w:val="24"/>
          <w:lang w:val="es-ES_tradnl"/>
        </w:rPr>
        <w:tab/>
      </w:r>
    </w:p>
    <w:p w:rsidR="00924A0A" w:rsidRPr="00242122" w:rsidRDefault="00924A0A" w:rsidP="00924A0A">
      <w:pPr>
        <w:tabs>
          <w:tab w:val="left" w:pos="-879"/>
        </w:tabs>
        <w:spacing w:after="0" w:line="240" w:lineRule="auto"/>
        <w:jc w:val="both"/>
        <w:rPr>
          <w:rFonts w:ascii="Arial" w:hAnsi="Arial" w:cs="Arial"/>
          <w:sz w:val="24"/>
          <w:szCs w:val="24"/>
          <w:lang w:val="es-ES_tradnl"/>
        </w:rPr>
      </w:pPr>
      <w:r w:rsidRPr="00242122">
        <w:rPr>
          <w:rFonts w:ascii="Arial" w:hAnsi="Arial" w:cs="Arial"/>
          <w:sz w:val="24"/>
          <w:szCs w:val="24"/>
          <w:lang w:val="es-ES_tradnl"/>
        </w:rPr>
        <w:tab/>
        <w:t>Pentru calculul</w:t>
      </w:r>
      <w:r w:rsidRPr="00242122">
        <w:rPr>
          <w:rFonts w:ascii="Arial" w:hAnsi="Arial" w:cs="Arial"/>
          <w:b/>
          <w:i/>
          <w:sz w:val="24"/>
          <w:szCs w:val="24"/>
          <w:lang w:val="es-ES_tradnl"/>
        </w:rPr>
        <w:t xml:space="preserve"> prognozei cerințelor de apă pentru irigații</w:t>
      </w:r>
      <w:r w:rsidRPr="00242122">
        <w:rPr>
          <w:rFonts w:ascii="Arial" w:hAnsi="Arial" w:cs="Arial"/>
          <w:i/>
          <w:sz w:val="24"/>
          <w:szCs w:val="24"/>
          <w:lang w:val="es-ES_tradnl"/>
        </w:rPr>
        <w:t xml:space="preserve"> </w:t>
      </w:r>
      <w:r w:rsidRPr="00242122">
        <w:rPr>
          <w:rFonts w:ascii="Arial" w:hAnsi="Arial" w:cs="Arial"/>
          <w:sz w:val="24"/>
          <w:szCs w:val="24"/>
          <w:lang w:val="es-ES_tradnl"/>
        </w:rPr>
        <w:t xml:space="preserve">s-au luat în considerare: </w:t>
      </w:r>
    </w:p>
    <w:p w:rsidR="00924A0A" w:rsidRPr="00242122" w:rsidRDefault="00924A0A" w:rsidP="00B12004">
      <w:pPr>
        <w:pStyle w:val="ListParagraph"/>
        <w:numPr>
          <w:ilvl w:val="0"/>
          <w:numId w:val="4"/>
        </w:numPr>
        <w:tabs>
          <w:tab w:val="left" w:pos="-879"/>
        </w:tabs>
        <w:spacing w:after="0" w:line="240" w:lineRule="auto"/>
        <w:ind w:left="1080"/>
        <w:jc w:val="both"/>
        <w:rPr>
          <w:rFonts w:ascii="Arial" w:hAnsi="Arial" w:cs="Arial"/>
          <w:sz w:val="24"/>
          <w:szCs w:val="24"/>
          <w:lang w:val="es-ES_tradnl"/>
        </w:rPr>
      </w:pPr>
      <w:r w:rsidRPr="00242122">
        <w:rPr>
          <w:rFonts w:ascii="Arial" w:hAnsi="Arial" w:cs="Arial"/>
          <w:sz w:val="24"/>
          <w:szCs w:val="24"/>
          <w:lang w:val="es-ES_tradnl"/>
        </w:rPr>
        <w:t>volumele de apă prelevate pentru irigații în anii anteriori realizării calculului;</w:t>
      </w:r>
    </w:p>
    <w:p w:rsidR="00924A0A" w:rsidRPr="00242122" w:rsidRDefault="00924A0A" w:rsidP="00B12004">
      <w:pPr>
        <w:pStyle w:val="ListParagraph"/>
        <w:numPr>
          <w:ilvl w:val="0"/>
          <w:numId w:val="4"/>
        </w:numPr>
        <w:tabs>
          <w:tab w:val="left" w:pos="-879"/>
        </w:tabs>
        <w:spacing w:after="0" w:line="240" w:lineRule="auto"/>
        <w:ind w:left="1080"/>
        <w:jc w:val="both"/>
        <w:rPr>
          <w:rFonts w:ascii="Arial" w:hAnsi="Arial" w:cs="Arial"/>
          <w:sz w:val="24"/>
          <w:szCs w:val="24"/>
          <w:lang w:val="es-ES_tradnl"/>
        </w:rPr>
      </w:pPr>
      <w:r w:rsidRPr="00242122">
        <w:rPr>
          <w:rFonts w:ascii="Arial" w:hAnsi="Arial" w:cs="Arial"/>
          <w:sz w:val="24"/>
          <w:szCs w:val="24"/>
          <w:lang w:val="es-ES_tradnl"/>
        </w:rPr>
        <w:t xml:space="preserve">suprafețele prognozate a fi irigate în conformitate cu Strategia Investiţiilor în Sectorul Irigaţiilor, elaborată de Fidman Merk at S.R.L. (Ianuarie 2011) pentru </w:t>
      </w:r>
      <w:r w:rsidRPr="00242122">
        <w:rPr>
          <w:rFonts w:ascii="Arial" w:hAnsi="Arial" w:cs="Arial"/>
          <w:sz w:val="24"/>
          <w:szCs w:val="24"/>
          <w:lang w:val="es-ES_tradnl"/>
        </w:rPr>
        <w:lastRenderedPageBreak/>
        <w:t xml:space="preserve">Ministerul Agriculturii şi Dezvoltării Rurale – Proiectul de Reabilitare şi Reformă a Sectorului de Irigaţii; </w:t>
      </w:r>
    </w:p>
    <w:p w:rsidR="00924A0A" w:rsidRPr="00242122" w:rsidRDefault="00924A0A" w:rsidP="00B12004">
      <w:pPr>
        <w:pStyle w:val="ListParagraph"/>
        <w:numPr>
          <w:ilvl w:val="0"/>
          <w:numId w:val="4"/>
        </w:numPr>
        <w:spacing w:after="0" w:line="240" w:lineRule="auto"/>
        <w:ind w:left="1080"/>
        <w:jc w:val="both"/>
        <w:rPr>
          <w:rFonts w:ascii="Arial" w:eastAsia="Times New Roman" w:hAnsi="Arial" w:cs="Arial"/>
          <w:sz w:val="24"/>
          <w:szCs w:val="24"/>
        </w:rPr>
      </w:pPr>
      <w:r w:rsidRPr="00242122">
        <w:rPr>
          <w:rFonts w:ascii="Arial" w:hAnsi="Arial" w:cs="Arial"/>
          <w:sz w:val="24"/>
          <w:szCs w:val="24"/>
          <w:lang w:val="es-ES_tradnl"/>
        </w:rPr>
        <w:t>suprafeţele prognozate a fi amenajate pentru irigaţii cu normele</w:t>
      </w:r>
      <w:r w:rsidRPr="00242122">
        <w:rPr>
          <w:rFonts w:ascii="Arial" w:hAnsi="Arial" w:cs="Arial"/>
          <w:sz w:val="24"/>
          <w:szCs w:val="24"/>
          <w:lang w:val="fr-FR"/>
        </w:rPr>
        <w:t xml:space="preserve"> de udare aferente la nivel național, conform informaţiilor primite de la Agenția Națională de Îmbunătățiri Funciare (ANIF).</w:t>
      </w:r>
    </w:p>
    <w:p w:rsidR="00924A0A" w:rsidRPr="00242122" w:rsidRDefault="00924A0A" w:rsidP="00924A0A">
      <w:pPr>
        <w:spacing w:after="0" w:line="240" w:lineRule="auto"/>
        <w:ind w:firstLine="708"/>
        <w:jc w:val="both"/>
        <w:rPr>
          <w:rFonts w:ascii="Arial" w:hAnsi="Arial" w:cs="Arial"/>
          <w:sz w:val="24"/>
          <w:szCs w:val="24"/>
          <w:lang w:val="es-ES_tradnl"/>
        </w:rPr>
      </w:pPr>
      <w:r w:rsidRPr="00242122">
        <w:rPr>
          <w:rFonts w:ascii="Arial" w:hAnsi="Arial" w:cs="Arial"/>
          <w:sz w:val="24"/>
          <w:szCs w:val="24"/>
          <w:lang w:val="es-ES_tradnl"/>
        </w:rPr>
        <w:t>Calculele de prognoză s-au realizat pentru trei scenarii de prognoză.</w:t>
      </w:r>
    </w:p>
    <w:p w:rsidR="00924A0A" w:rsidRPr="00242122" w:rsidRDefault="00924A0A" w:rsidP="00924A0A">
      <w:pPr>
        <w:tabs>
          <w:tab w:val="left" w:pos="-879"/>
        </w:tabs>
        <w:spacing w:after="0" w:line="240" w:lineRule="auto"/>
        <w:jc w:val="both"/>
        <w:rPr>
          <w:rFonts w:ascii="Arial" w:hAnsi="Arial" w:cs="Arial"/>
          <w:b/>
          <w:i/>
          <w:sz w:val="24"/>
          <w:szCs w:val="24"/>
          <w:lang w:val="es-ES_tradnl"/>
        </w:rPr>
      </w:pPr>
      <w:r w:rsidRPr="00242122">
        <w:rPr>
          <w:rFonts w:ascii="Arial" w:hAnsi="Arial" w:cs="Arial"/>
          <w:b/>
          <w:i/>
          <w:sz w:val="24"/>
          <w:szCs w:val="24"/>
          <w:lang w:val="es-ES_tradnl"/>
        </w:rPr>
        <w:tab/>
      </w:r>
    </w:p>
    <w:p w:rsidR="00924A0A" w:rsidRPr="00242122" w:rsidRDefault="00924A0A" w:rsidP="00924A0A">
      <w:pPr>
        <w:tabs>
          <w:tab w:val="left" w:pos="-879"/>
        </w:tabs>
        <w:spacing w:after="0" w:line="240" w:lineRule="auto"/>
        <w:jc w:val="both"/>
        <w:rPr>
          <w:rFonts w:ascii="Arial" w:hAnsi="Arial" w:cs="Arial"/>
          <w:sz w:val="24"/>
          <w:szCs w:val="24"/>
          <w:lang w:val="es-ES_tradnl"/>
        </w:rPr>
      </w:pPr>
      <w:r w:rsidRPr="00242122">
        <w:rPr>
          <w:rFonts w:ascii="Arial" w:hAnsi="Arial" w:cs="Arial"/>
          <w:b/>
          <w:i/>
          <w:sz w:val="24"/>
          <w:szCs w:val="24"/>
          <w:lang w:val="es-ES_tradnl"/>
        </w:rPr>
        <w:tab/>
        <w:t>Prognoza cerințelor de apă pentru zootehnie</w:t>
      </w:r>
      <w:r w:rsidRPr="00242122">
        <w:rPr>
          <w:rFonts w:ascii="Arial" w:hAnsi="Arial" w:cs="Arial"/>
          <w:i/>
          <w:sz w:val="24"/>
          <w:szCs w:val="24"/>
          <w:lang w:val="es-ES_tradnl"/>
        </w:rPr>
        <w:t xml:space="preserve"> </w:t>
      </w:r>
      <w:r w:rsidRPr="00242122">
        <w:rPr>
          <w:rFonts w:ascii="Arial" w:hAnsi="Arial" w:cs="Arial"/>
          <w:sz w:val="24"/>
          <w:szCs w:val="24"/>
          <w:lang w:val="es-ES_tradnl"/>
        </w:rPr>
        <w:t xml:space="preserve">se referă în mod exclusiv la cerința de apă necesară creșterii animalelor în regim industrial, pentru animalele crescute în gospodăriile poulației volumele de apă necesare s-au considerat a fi înglobate în cerința de apă pentru poluația din mediul rural. </w:t>
      </w:r>
    </w:p>
    <w:p w:rsidR="00924A0A" w:rsidRPr="00242122" w:rsidRDefault="00924A0A" w:rsidP="00924A0A">
      <w:pPr>
        <w:tabs>
          <w:tab w:val="left" w:pos="-879"/>
        </w:tabs>
        <w:spacing w:after="0" w:line="240" w:lineRule="auto"/>
        <w:jc w:val="both"/>
        <w:rPr>
          <w:rFonts w:ascii="Arial" w:hAnsi="Arial" w:cs="Arial"/>
          <w:sz w:val="24"/>
          <w:szCs w:val="24"/>
          <w:lang w:val="es-ES_tradnl"/>
        </w:rPr>
      </w:pPr>
      <w:r w:rsidRPr="00242122">
        <w:rPr>
          <w:rFonts w:ascii="Arial" w:hAnsi="Arial" w:cs="Arial"/>
          <w:sz w:val="24"/>
          <w:szCs w:val="24"/>
          <w:lang w:val="es-ES_tradnl"/>
        </w:rPr>
        <w:tab/>
        <w:t xml:space="preserve">Pentru calcul prognozei cerințelor de apă pentru zootehnie s-au luat în considerare: </w:t>
      </w:r>
    </w:p>
    <w:p w:rsidR="00924A0A" w:rsidRPr="00242122" w:rsidRDefault="00924A0A" w:rsidP="00B12004">
      <w:pPr>
        <w:pStyle w:val="ListParagraph"/>
        <w:numPr>
          <w:ilvl w:val="0"/>
          <w:numId w:val="8"/>
        </w:numPr>
        <w:tabs>
          <w:tab w:val="left" w:pos="-879"/>
        </w:tabs>
        <w:spacing w:after="0" w:line="240" w:lineRule="auto"/>
        <w:ind w:left="1080"/>
        <w:jc w:val="both"/>
        <w:rPr>
          <w:rFonts w:ascii="Arial" w:hAnsi="Arial" w:cs="Arial"/>
          <w:sz w:val="24"/>
          <w:szCs w:val="24"/>
          <w:lang w:val="es-ES_tradnl"/>
        </w:rPr>
      </w:pPr>
      <w:r w:rsidRPr="00242122">
        <w:rPr>
          <w:rFonts w:ascii="Arial" w:hAnsi="Arial" w:cs="Arial"/>
          <w:sz w:val="24"/>
          <w:szCs w:val="24"/>
          <w:lang w:val="es-ES_tradnl"/>
        </w:rPr>
        <w:t xml:space="preserve">datele furnizate de Institutul Naţional de Statistică ce cuprind efectivele de animale, pe categorii de animale, forme de proprietate, macroregiuni, regiuni de dezvoltare şi judeţe pentru anul de referinţă (2011); </w:t>
      </w:r>
    </w:p>
    <w:p w:rsidR="00924A0A" w:rsidRPr="00242122" w:rsidRDefault="00924A0A" w:rsidP="00B12004">
      <w:pPr>
        <w:pStyle w:val="ListParagraph"/>
        <w:numPr>
          <w:ilvl w:val="0"/>
          <w:numId w:val="8"/>
        </w:numPr>
        <w:tabs>
          <w:tab w:val="left" w:pos="-879"/>
        </w:tabs>
        <w:spacing w:after="0" w:line="240" w:lineRule="auto"/>
        <w:ind w:left="1080"/>
        <w:jc w:val="both"/>
        <w:rPr>
          <w:rFonts w:ascii="Arial" w:hAnsi="Arial" w:cs="Arial"/>
          <w:sz w:val="24"/>
          <w:szCs w:val="24"/>
          <w:lang w:val="es-ES_tradnl"/>
        </w:rPr>
      </w:pPr>
      <w:r w:rsidRPr="00242122">
        <w:rPr>
          <w:rFonts w:ascii="Arial" w:hAnsi="Arial" w:cs="Arial"/>
          <w:sz w:val="24"/>
          <w:szCs w:val="24"/>
          <w:lang w:val="es-ES_tradnl"/>
        </w:rPr>
        <w:t>numărul populaţiei la nivelul anului de referinţă;</w:t>
      </w:r>
    </w:p>
    <w:p w:rsidR="00924A0A" w:rsidRPr="00242122" w:rsidRDefault="00924A0A" w:rsidP="00B12004">
      <w:pPr>
        <w:pStyle w:val="ListParagraph"/>
        <w:numPr>
          <w:ilvl w:val="0"/>
          <w:numId w:val="8"/>
        </w:numPr>
        <w:tabs>
          <w:tab w:val="left" w:pos="-879"/>
        </w:tabs>
        <w:spacing w:after="0" w:line="240" w:lineRule="auto"/>
        <w:ind w:left="1080"/>
        <w:jc w:val="both"/>
        <w:rPr>
          <w:rFonts w:ascii="Arial" w:hAnsi="Arial" w:cs="Arial"/>
          <w:sz w:val="24"/>
          <w:szCs w:val="24"/>
          <w:lang w:val="es-ES_tradnl"/>
        </w:rPr>
      </w:pPr>
      <w:r w:rsidRPr="00242122">
        <w:rPr>
          <w:rFonts w:ascii="Arial" w:hAnsi="Arial" w:cs="Arial"/>
          <w:sz w:val="24"/>
          <w:szCs w:val="24"/>
          <w:lang w:val="es-ES_tradnl"/>
        </w:rPr>
        <w:t>prognoza evoluției numărului de locuitori pentru anul 2030 determinată anterior;</w:t>
      </w:r>
    </w:p>
    <w:p w:rsidR="00924A0A" w:rsidRPr="00242122" w:rsidRDefault="00924A0A" w:rsidP="00B12004">
      <w:pPr>
        <w:pStyle w:val="ListParagraph"/>
        <w:numPr>
          <w:ilvl w:val="0"/>
          <w:numId w:val="8"/>
        </w:numPr>
        <w:tabs>
          <w:tab w:val="left" w:pos="-879"/>
        </w:tabs>
        <w:spacing w:after="0" w:line="240" w:lineRule="auto"/>
        <w:ind w:left="1080"/>
        <w:jc w:val="both"/>
        <w:rPr>
          <w:rFonts w:ascii="Arial" w:hAnsi="Arial" w:cs="Arial"/>
          <w:sz w:val="24"/>
          <w:szCs w:val="24"/>
          <w:lang w:val="es-ES_tradnl"/>
        </w:rPr>
      </w:pPr>
      <w:r w:rsidRPr="00242122">
        <w:rPr>
          <w:rFonts w:ascii="Arial" w:hAnsi="Arial" w:cs="Arial"/>
          <w:sz w:val="24"/>
          <w:szCs w:val="24"/>
          <w:lang w:val="es-ES_tradnl"/>
        </w:rPr>
        <w:t>cerinţa medie de apă pentru animalele crescute în regim industrial.</w:t>
      </w:r>
    </w:p>
    <w:p w:rsidR="00924A0A" w:rsidRPr="00242122" w:rsidRDefault="00924A0A" w:rsidP="00924A0A">
      <w:pPr>
        <w:pStyle w:val="1text2"/>
        <w:spacing w:before="0"/>
        <w:ind w:firstLine="714"/>
        <w:rPr>
          <w:rFonts w:cs="Arial"/>
        </w:rPr>
      </w:pPr>
      <w:r w:rsidRPr="00242122">
        <w:rPr>
          <w:rFonts w:cs="Arial"/>
        </w:rPr>
        <w:t xml:space="preserve">Calculele de prognoză s-au realizat pentru trei scenarii de prognoză în funcție de coeficienții estimați ai creșterii economice. </w:t>
      </w:r>
    </w:p>
    <w:p w:rsidR="00924A0A" w:rsidRPr="00242122" w:rsidRDefault="00924A0A" w:rsidP="00924A0A">
      <w:pPr>
        <w:tabs>
          <w:tab w:val="left" w:pos="-879"/>
        </w:tabs>
        <w:spacing w:after="0" w:line="240" w:lineRule="auto"/>
        <w:jc w:val="both"/>
        <w:rPr>
          <w:rFonts w:ascii="Arial" w:hAnsi="Arial" w:cs="Arial"/>
          <w:b/>
          <w:i/>
          <w:sz w:val="24"/>
          <w:szCs w:val="24"/>
          <w:lang w:val="es-ES_tradnl"/>
        </w:rPr>
      </w:pPr>
      <w:r w:rsidRPr="00242122">
        <w:rPr>
          <w:rFonts w:ascii="Arial" w:hAnsi="Arial" w:cs="Arial"/>
          <w:b/>
          <w:i/>
          <w:sz w:val="24"/>
          <w:szCs w:val="24"/>
          <w:lang w:val="es-ES_tradnl"/>
        </w:rPr>
        <w:tab/>
      </w:r>
    </w:p>
    <w:p w:rsidR="00924A0A" w:rsidRPr="00242122" w:rsidRDefault="00924A0A" w:rsidP="00924A0A">
      <w:pPr>
        <w:tabs>
          <w:tab w:val="left" w:pos="-879"/>
        </w:tabs>
        <w:spacing w:after="0" w:line="240" w:lineRule="auto"/>
        <w:jc w:val="both"/>
        <w:rPr>
          <w:rFonts w:ascii="Arial" w:hAnsi="Arial" w:cs="Arial"/>
          <w:sz w:val="24"/>
          <w:szCs w:val="24"/>
          <w:lang w:val="es-ES_tradnl"/>
        </w:rPr>
      </w:pPr>
      <w:r w:rsidRPr="00242122">
        <w:rPr>
          <w:rFonts w:ascii="Arial" w:hAnsi="Arial" w:cs="Arial"/>
          <w:b/>
          <w:i/>
          <w:sz w:val="24"/>
          <w:szCs w:val="24"/>
          <w:lang w:val="es-ES_tradnl"/>
        </w:rPr>
        <w:tab/>
        <w:t>Prognoza cerințelor de apă pentru acvacultură/piscicultură</w:t>
      </w:r>
      <w:r w:rsidRPr="00242122">
        <w:rPr>
          <w:rFonts w:ascii="Arial" w:hAnsi="Arial" w:cs="Arial"/>
          <w:i/>
          <w:sz w:val="24"/>
          <w:szCs w:val="24"/>
          <w:lang w:val="es-ES_tradnl"/>
        </w:rPr>
        <w:t xml:space="preserve"> </w:t>
      </w:r>
      <w:r w:rsidRPr="00242122">
        <w:rPr>
          <w:rFonts w:ascii="Arial" w:hAnsi="Arial" w:cs="Arial"/>
          <w:sz w:val="24"/>
          <w:szCs w:val="24"/>
          <w:lang w:val="es-ES_tradnl"/>
        </w:rPr>
        <w:t xml:space="preserve">s-a realizat luând în considerare: </w:t>
      </w:r>
    </w:p>
    <w:p w:rsidR="00924A0A" w:rsidRPr="00242122" w:rsidRDefault="00924A0A" w:rsidP="00B12004">
      <w:pPr>
        <w:pStyle w:val="ListParagraph"/>
        <w:numPr>
          <w:ilvl w:val="0"/>
          <w:numId w:val="8"/>
        </w:numPr>
        <w:tabs>
          <w:tab w:val="left" w:pos="-879"/>
        </w:tabs>
        <w:spacing w:after="0" w:line="240" w:lineRule="auto"/>
        <w:ind w:left="1080"/>
        <w:jc w:val="both"/>
        <w:rPr>
          <w:rFonts w:ascii="Arial" w:hAnsi="Arial" w:cs="Arial"/>
          <w:sz w:val="24"/>
          <w:szCs w:val="24"/>
          <w:lang w:val="es-ES_tradnl"/>
        </w:rPr>
      </w:pPr>
      <w:r w:rsidRPr="00242122">
        <w:rPr>
          <w:rFonts w:ascii="Arial" w:hAnsi="Arial" w:cs="Arial"/>
          <w:sz w:val="24"/>
          <w:szCs w:val="24"/>
          <w:lang w:val="es-ES_tradnl"/>
        </w:rPr>
        <w:t>volumele de apă prelevate în anii anteriori pentru acvacultură/piscicultură, volume ce au fost preluate din Balanţa Apei elaborată de Administraţia Naţională „Apele Române”</w:t>
      </w:r>
      <w:r w:rsidRPr="00242122">
        <w:rPr>
          <w:rFonts w:ascii="Arial" w:hAnsi="Arial" w:cs="Arial"/>
          <w:sz w:val="24"/>
          <w:szCs w:val="24"/>
          <w:lang w:val="fr-FR"/>
        </w:rPr>
        <w:t>;</w:t>
      </w:r>
    </w:p>
    <w:p w:rsidR="00924A0A" w:rsidRPr="00242122" w:rsidRDefault="00924A0A" w:rsidP="00B12004">
      <w:pPr>
        <w:pStyle w:val="ListParagraph"/>
        <w:numPr>
          <w:ilvl w:val="0"/>
          <w:numId w:val="8"/>
        </w:numPr>
        <w:tabs>
          <w:tab w:val="left" w:pos="-879"/>
        </w:tabs>
        <w:spacing w:after="0" w:line="240" w:lineRule="auto"/>
        <w:ind w:left="1080"/>
        <w:jc w:val="both"/>
        <w:rPr>
          <w:rFonts w:ascii="Arial" w:hAnsi="Arial" w:cs="Arial"/>
          <w:sz w:val="24"/>
          <w:szCs w:val="24"/>
          <w:lang w:val="es-ES_tradnl"/>
        </w:rPr>
      </w:pPr>
      <w:r w:rsidRPr="00242122">
        <w:rPr>
          <w:rFonts w:ascii="Arial" w:hAnsi="Arial" w:cs="Arial"/>
          <w:sz w:val="24"/>
          <w:szCs w:val="24"/>
          <w:lang w:val="es-ES_tradnl"/>
        </w:rPr>
        <w:t>suprafeţele amenajărilor piscicole – pepiniere şi crescătorii potrivit Registrului Unităților de Acvacultură (RUA actualizarea martie 2014) a Agenţiei Naţionale pentru Pescuit şi Acvacultură.</w:t>
      </w:r>
    </w:p>
    <w:p w:rsidR="00924A0A" w:rsidRPr="00242122" w:rsidRDefault="00924A0A" w:rsidP="00924A0A">
      <w:pPr>
        <w:pStyle w:val="1text2"/>
        <w:spacing w:before="0"/>
        <w:ind w:firstLine="720"/>
        <w:rPr>
          <w:rFonts w:cs="Arial"/>
        </w:rPr>
      </w:pPr>
    </w:p>
    <w:p w:rsidR="00924A0A" w:rsidRPr="00242122" w:rsidRDefault="00924A0A" w:rsidP="00924A0A">
      <w:pPr>
        <w:pStyle w:val="1text2"/>
        <w:spacing w:before="0"/>
        <w:ind w:firstLine="720"/>
        <w:rPr>
          <w:rFonts w:cs="Arial"/>
        </w:rPr>
      </w:pPr>
      <w:r w:rsidRPr="00242122">
        <w:rPr>
          <w:rFonts w:cs="Arial"/>
        </w:rPr>
        <w:t>Calculele de prognoză s-au realizat pentru trei scenarii de prognoză care prevăd o creștere ponderată a suprafețelor amenajate pentru acvacultură.</w:t>
      </w:r>
    </w:p>
    <w:p w:rsidR="00924A0A" w:rsidRPr="00242122" w:rsidRDefault="00924A0A" w:rsidP="00924A0A">
      <w:pPr>
        <w:pStyle w:val="textscris"/>
        <w:spacing w:before="0" w:after="0"/>
        <w:rPr>
          <w:lang w:val="es-ES_tradnl"/>
        </w:rPr>
      </w:pPr>
    </w:p>
    <w:p w:rsidR="00924A0A" w:rsidRPr="00242122" w:rsidRDefault="00924A0A" w:rsidP="00924A0A">
      <w:pPr>
        <w:pStyle w:val="textscris"/>
        <w:spacing w:before="0" w:after="0"/>
        <w:rPr>
          <w:lang w:val="es-ES_tradnl"/>
        </w:rPr>
      </w:pPr>
    </w:p>
    <w:p w:rsidR="00924A0A" w:rsidRPr="00242122" w:rsidRDefault="00924A0A" w:rsidP="00924A0A">
      <w:pPr>
        <w:pStyle w:val="textscris"/>
        <w:spacing w:before="0" w:after="0"/>
        <w:rPr>
          <w:lang w:val="es-ES_tradnl"/>
        </w:rPr>
      </w:pPr>
      <w:r w:rsidRPr="00242122">
        <w:rPr>
          <w:lang w:val="es-ES_tradnl"/>
        </w:rPr>
        <w:t xml:space="preserve">În </w:t>
      </w:r>
      <w:r w:rsidRPr="00242122">
        <w:rPr>
          <w:b/>
          <w:bCs/>
          <w:lang w:val="es-ES_tradnl"/>
        </w:rPr>
        <w:t>t</w:t>
      </w:r>
      <w:r w:rsidRPr="00242122">
        <w:rPr>
          <w:b/>
          <w:bCs/>
          <w:lang w:val="ro-RO"/>
        </w:rPr>
        <w:t>abelul II.1.2.1</w:t>
      </w:r>
      <w:r w:rsidRPr="00242122">
        <w:rPr>
          <w:lang w:val="es-ES_tradnl"/>
        </w:rPr>
        <w:t xml:space="preserve"> este redată cerința de apă prognozată pe folosințe de apă, pentru anul 2030, în cazul scenariului mediu.</w:t>
      </w:r>
    </w:p>
    <w:p w:rsidR="00924A0A" w:rsidRPr="00242122" w:rsidRDefault="00924A0A" w:rsidP="00924A0A">
      <w:pPr>
        <w:pStyle w:val="textscris"/>
        <w:spacing w:before="0" w:after="0"/>
        <w:rPr>
          <w:color w:val="000000"/>
          <w:lang w:val="ro-RO"/>
        </w:rPr>
      </w:pPr>
    </w:p>
    <w:p w:rsidR="00924A0A" w:rsidRPr="00242122" w:rsidRDefault="00924A0A" w:rsidP="00924A0A">
      <w:pPr>
        <w:pStyle w:val="1text2"/>
        <w:spacing w:before="0"/>
        <w:jc w:val="center"/>
        <w:rPr>
          <w:rFonts w:cs="Arial"/>
        </w:rPr>
      </w:pPr>
      <w:r w:rsidRPr="00242122">
        <w:rPr>
          <w:rFonts w:cs="Arial"/>
          <w:b/>
          <w:bCs/>
        </w:rPr>
        <w:t>Tabelul II.1.2.1:</w:t>
      </w:r>
      <w:r w:rsidRPr="00242122">
        <w:rPr>
          <w:rFonts w:cs="Arial"/>
        </w:rPr>
        <w:t xml:space="preserve"> Prognoza cerinței de apă pentru anul 2030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8"/>
        <w:gridCol w:w="2039"/>
      </w:tblGrid>
      <w:tr w:rsidR="00924A0A" w:rsidRPr="00242122" w:rsidTr="00B8293F">
        <w:trPr>
          <w:trHeight w:val="656"/>
          <w:jc w:val="center"/>
        </w:trPr>
        <w:tc>
          <w:tcPr>
            <w:tcW w:w="27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24A0A" w:rsidRPr="00242122" w:rsidRDefault="00924A0A" w:rsidP="00B8293F">
            <w:pPr>
              <w:pStyle w:val="1text2"/>
              <w:spacing w:before="0"/>
              <w:jc w:val="center"/>
              <w:rPr>
                <w:rFonts w:cs="Arial"/>
                <w:b/>
                <w:bCs/>
              </w:rPr>
            </w:pPr>
            <w:r w:rsidRPr="00242122">
              <w:rPr>
                <w:rFonts w:cs="Arial"/>
                <w:b/>
                <w:bCs/>
              </w:rPr>
              <w:t>Folosința de apă</w:t>
            </w:r>
          </w:p>
        </w:tc>
        <w:tc>
          <w:tcPr>
            <w:tcW w:w="20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24A0A" w:rsidRPr="00242122" w:rsidRDefault="00924A0A" w:rsidP="00B8293F">
            <w:pPr>
              <w:pStyle w:val="1text2"/>
              <w:spacing w:before="0"/>
              <w:jc w:val="center"/>
              <w:rPr>
                <w:rFonts w:cs="Arial"/>
                <w:b/>
                <w:bCs/>
              </w:rPr>
            </w:pPr>
            <w:r w:rsidRPr="00242122">
              <w:rPr>
                <w:rFonts w:cs="Arial"/>
                <w:b/>
                <w:bCs/>
              </w:rPr>
              <w:t>Cerința de apă</w:t>
            </w:r>
          </w:p>
          <w:p w:rsidR="00924A0A" w:rsidRPr="00242122" w:rsidRDefault="00924A0A" w:rsidP="00B8293F">
            <w:pPr>
              <w:pStyle w:val="1text2"/>
              <w:spacing w:before="0"/>
              <w:jc w:val="center"/>
              <w:rPr>
                <w:rFonts w:cs="Arial"/>
                <w:b/>
                <w:bCs/>
              </w:rPr>
            </w:pPr>
            <w:r w:rsidRPr="00242122">
              <w:rPr>
                <w:rFonts w:cs="Arial"/>
                <w:b/>
                <w:bCs/>
              </w:rPr>
              <w:t>(mil. mc)</w:t>
            </w:r>
          </w:p>
        </w:tc>
      </w:tr>
      <w:tr w:rsidR="00924A0A" w:rsidRPr="00242122" w:rsidTr="00B8293F">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24A0A" w:rsidRPr="00242122" w:rsidRDefault="00924A0A" w:rsidP="00B8293F">
            <w:pPr>
              <w:spacing w:after="0" w:line="240" w:lineRule="auto"/>
              <w:rPr>
                <w:rFonts w:ascii="Arial" w:hAnsi="Arial" w:cs="Arial"/>
                <w:b/>
                <w:bCs/>
                <w:iCs/>
                <w:sz w:val="24"/>
                <w:szCs w:val="24"/>
              </w:rPr>
            </w:pP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924A0A" w:rsidRPr="00242122" w:rsidRDefault="00924A0A" w:rsidP="00B8293F">
            <w:pPr>
              <w:pStyle w:val="1text2"/>
              <w:spacing w:before="0"/>
              <w:jc w:val="center"/>
              <w:rPr>
                <w:rFonts w:cs="Arial"/>
                <w:b/>
                <w:bCs/>
              </w:rPr>
            </w:pPr>
            <w:r w:rsidRPr="00242122">
              <w:rPr>
                <w:rFonts w:cs="Arial"/>
                <w:b/>
                <w:bCs/>
              </w:rPr>
              <w:t>2030</w:t>
            </w:r>
          </w:p>
        </w:tc>
      </w:tr>
      <w:tr w:rsidR="00924A0A" w:rsidRPr="00242122" w:rsidTr="00B8293F">
        <w:trPr>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rsidR="00924A0A" w:rsidRPr="00242122" w:rsidRDefault="00924A0A" w:rsidP="00B8293F">
            <w:pPr>
              <w:pStyle w:val="1text2"/>
              <w:spacing w:before="0"/>
              <w:jc w:val="center"/>
              <w:rPr>
                <w:rFonts w:cs="Arial"/>
              </w:rPr>
            </w:pPr>
            <w:r w:rsidRPr="00242122">
              <w:rPr>
                <w:rFonts w:cs="Arial"/>
              </w:rPr>
              <w:t>Populație</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924A0A" w:rsidRPr="00242122" w:rsidRDefault="00924A0A" w:rsidP="00B8293F">
            <w:pPr>
              <w:pStyle w:val="1text2"/>
              <w:spacing w:before="0"/>
              <w:jc w:val="center"/>
              <w:rPr>
                <w:rFonts w:cs="Arial"/>
              </w:rPr>
            </w:pPr>
            <w:r w:rsidRPr="00242122">
              <w:rPr>
                <w:rFonts w:cs="Arial"/>
              </w:rPr>
              <w:t>2.097</w:t>
            </w:r>
          </w:p>
        </w:tc>
      </w:tr>
      <w:tr w:rsidR="00924A0A" w:rsidRPr="00242122" w:rsidTr="00B8293F">
        <w:trPr>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rsidR="00924A0A" w:rsidRPr="00242122" w:rsidRDefault="00924A0A" w:rsidP="00B8293F">
            <w:pPr>
              <w:pStyle w:val="1text2"/>
              <w:spacing w:before="0"/>
              <w:jc w:val="center"/>
              <w:rPr>
                <w:rFonts w:cs="Arial"/>
              </w:rPr>
            </w:pPr>
            <w:r w:rsidRPr="00242122">
              <w:rPr>
                <w:rFonts w:cs="Arial"/>
              </w:rPr>
              <w:t>Industrie</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924A0A" w:rsidRPr="00242122" w:rsidRDefault="00924A0A" w:rsidP="00B8293F">
            <w:pPr>
              <w:pStyle w:val="1text2"/>
              <w:spacing w:before="0"/>
              <w:jc w:val="center"/>
              <w:rPr>
                <w:rFonts w:cs="Arial"/>
              </w:rPr>
            </w:pPr>
            <w:r w:rsidRPr="00242122">
              <w:rPr>
                <w:rFonts w:cs="Arial"/>
              </w:rPr>
              <w:t>7.383</w:t>
            </w:r>
          </w:p>
        </w:tc>
      </w:tr>
      <w:tr w:rsidR="00924A0A" w:rsidRPr="00242122" w:rsidTr="00B8293F">
        <w:trPr>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rsidR="00924A0A" w:rsidRPr="00242122" w:rsidRDefault="00924A0A" w:rsidP="00B8293F">
            <w:pPr>
              <w:pStyle w:val="1text2"/>
              <w:spacing w:before="0"/>
              <w:jc w:val="center"/>
              <w:rPr>
                <w:rFonts w:cs="Arial"/>
              </w:rPr>
            </w:pPr>
            <w:r w:rsidRPr="00242122">
              <w:rPr>
                <w:rFonts w:cs="Arial"/>
              </w:rPr>
              <w:t>Irigații</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924A0A" w:rsidRPr="00242122" w:rsidRDefault="00924A0A" w:rsidP="00B8293F">
            <w:pPr>
              <w:pStyle w:val="1text2"/>
              <w:spacing w:before="0"/>
              <w:jc w:val="center"/>
              <w:rPr>
                <w:rFonts w:cs="Arial"/>
              </w:rPr>
            </w:pPr>
            <w:r w:rsidRPr="00242122">
              <w:rPr>
                <w:rFonts w:cs="Arial"/>
              </w:rPr>
              <w:t>1.689</w:t>
            </w:r>
          </w:p>
        </w:tc>
      </w:tr>
      <w:tr w:rsidR="00924A0A" w:rsidRPr="00242122" w:rsidTr="00B8293F">
        <w:trPr>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rsidR="00924A0A" w:rsidRPr="00242122" w:rsidRDefault="00924A0A" w:rsidP="00B8293F">
            <w:pPr>
              <w:pStyle w:val="1text2"/>
              <w:spacing w:before="0"/>
              <w:jc w:val="center"/>
              <w:rPr>
                <w:rFonts w:cs="Arial"/>
              </w:rPr>
            </w:pPr>
            <w:r w:rsidRPr="00242122">
              <w:rPr>
                <w:rFonts w:cs="Arial"/>
              </w:rPr>
              <w:t>Zootehnie</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924A0A" w:rsidRPr="00242122" w:rsidRDefault="00924A0A" w:rsidP="00B8293F">
            <w:pPr>
              <w:pStyle w:val="1text2"/>
              <w:spacing w:before="0"/>
              <w:jc w:val="center"/>
              <w:rPr>
                <w:rFonts w:cs="Arial"/>
              </w:rPr>
            </w:pPr>
            <w:r w:rsidRPr="00242122">
              <w:rPr>
                <w:rFonts w:cs="Arial"/>
              </w:rPr>
              <w:t>164</w:t>
            </w:r>
          </w:p>
        </w:tc>
      </w:tr>
      <w:tr w:rsidR="00924A0A" w:rsidRPr="00242122" w:rsidTr="00B8293F">
        <w:trPr>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rsidR="00924A0A" w:rsidRPr="00242122" w:rsidRDefault="00924A0A" w:rsidP="00B8293F">
            <w:pPr>
              <w:pStyle w:val="1text2"/>
              <w:spacing w:before="0"/>
              <w:jc w:val="center"/>
              <w:rPr>
                <w:rFonts w:cs="Arial"/>
              </w:rPr>
            </w:pPr>
            <w:r w:rsidRPr="00242122">
              <w:rPr>
                <w:rFonts w:cs="Arial"/>
              </w:rPr>
              <w:t>Acvacultură/piscicultură</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924A0A" w:rsidRPr="00242122" w:rsidRDefault="00924A0A" w:rsidP="00B8293F">
            <w:pPr>
              <w:pStyle w:val="1text2"/>
              <w:spacing w:before="0"/>
              <w:jc w:val="center"/>
              <w:rPr>
                <w:rFonts w:cs="Arial"/>
              </w:rPr>
            </w:pPr>
            <w:r w:rsidRPr="00242122">
              <w:rPr>
                <w:rFonts w:cs="Arial"/>
              </w:rPr>
              <w:t>949</w:t>
            </w:r>
          </w:p>
        </w:tc>
      </w:tr>
      <w:tr w:rsidR="00924A0A" w:rsidRPr="00242122" w:rsidTr="00B8293F">
        <w:trPr>
          <w:trHeight w:val="161"/>
          <w:jc w:val="center"/>
        </w:trPr>
        <w:tc>
          <w:tcPr>
            <w:tcW w:w="2738" w:type="dxa"/>
            <w:tcBorders>
              <w:top w:val="single" w:sz="4" w:space="0" w:color="auto"/>
              <w:left w:val="single" w:sz="4" w:space="0" w:color="auto"/>
              <w:bottom w:val="single" w:sz="4" w:space="0" w:color="auto"/>
              <w:right w:val="single" w:sz="4" w:space="0" w:color="auto"/>
            </w:tcBorders>
            <w:shd w:val="clear" w:color="auto" w:fill="auto"/>
            <w:hideMark/>
          </w:tcPr>
          <w:p w:rsidR="00924A0A" w:rsidRPr="00242122" w:rsidRDefault="00924A0A" w:rsidP="00B8293F">
            <w:pPr>
              <w:pStyle w:val="1text2"/>
              <w:spacing w:before="0"/>
              <w:jc w:val="center"/>
              <w:rPr>
                <w:rFonts w:cs="Arial"/>
                <w:b/>
                <w:bCs/>
              </w:rPr>
            </w:pPr>
            <w:r w:rsidRPr="00242122">
              <w:rPr>
                <w:rFonts w:cs="Arial"/>
                <w:b/>
                <w:bCs/>
              </w:rPr>
              <w:t>Total România</w:t>
            </w:r>
          </w:p>
        </w:tc>
        <w:tc>
          <w:tcPr>
            <w:tcW w:w="2039" w:type="dxa"/>
            <w:tcBorders>
              <w:top w:val="single" w:sz="4" w:space="0" w:color="auto"/>
              <w:left w:val="single" w:sz="4" w:space="0" w:color="auto"/>
              <w:bottom w:val="single" w:sz="4" w:space="0" w:color="auto"/>
              <w:right w:val="single" w:sz="4" w:space="0" w:color="auto"/>
            </w:tcBorders>
            <w:shd w:val="clear" w:color="auto" w:fill="auto"/>
            <w:hideMark/>
          </w:tcPr>
          <w:p w:rsidR="00924A0A" w:rsidRPr="00242122" w:rsidRDefault="00924A0A" w:rsidP="00B8293F">
            <w:pPr>
              <w:pStyle w:val="1text2"/>
              <w:spacing w:before="0"/>
              <w:jc w:val="center"/>
              <w:rPr>
                <w:rFonts w:cs="Arial"/>
                <w:b/>
                <w:bCs/>
              </w:rPr>
            </w:pPr>
            <w:r w:rsidRPr="00242122">
              <w:rPr>
                <w:rFonts w:cs="Arial"/>
                <w:b/>
                <w:bCs/>
              </w:rPr>
              <w:t>12.282</w:t>
            </w:r>
          </w:p>
        </w:tc>
      </w:tr>
    </w:tbl>
    <w:p w:rsidR="00924A0A" w:rsidRDefault="00924A0A" w:rsidP="00924A0A">
      <w:pPr>
        <w:ind w:firstLine="708"/>
        <w:jc w:val="both"/>
        <w:rPr>
          <w:rFonts w:ascii="Arial" w:hAnsi="Arial" w:cs="Arial"/>
          <w:b/>
          <w:bCs/>
          <w:color w:val="FF0000"/>
          <w:sz w:val="24"/>
          <w:szCs w:val="24"/>
        </w:rPr>
      </w:pPr>
    </w:p>
    <w:p w:rsidR="005B6804" w:rsidRPr="005B6804" w:rsidRDefault="005B6804" w:rsidP="00924A0A">
      <w:pPr>
        <w:ind w:firstLine="708"/>
        <w:jc w:val="both"/>
        <w:rPr>
          <w:rFonts w:ascii="Arial" w:hAnsi="Arial" w:cs="Arial"/>
          <w:b/>
          <w:bCs/>
          <w:color w:val="FF0000"/>
          <w:sz w:val="24"/>
          <w:szCs w:val="24"/>
        </w:rPr>
      </w:pPr>
    </w:p>
    <w:p w:rsidR="00960FC7" w:rsidRPr="005B6804" w:rsidRDefault="005B6804">
      <w:pPr>
        <w:rPr>
          <w:rFonts w:ascii="Arial" w:hAnsi="Arial" w:cs="Arial"/>
          <w:color w:val="FF0000"/>
        </w:rPr>
      </w:pPr>
      <w:r w:rsidRPr="005B6804">
        <w:rPr>
          <w:rFonts w:ascii="Arial" w:hAnsi="Arial" w:cs="Arial"/>
          <w:color w:val="FF0000"/>
        </w:rPr>
        <w:lastRenderedPageBreak/>
        <w:t>......................................................</w:t>
      </w:r>
    </w:p>
    <w:p w:rsidR="00924A0A" w:rsidRPr="00242122" w:rsidRDefault="00924A0A">
      <w:pPr>
        <w:rPr>
          <w:rFonts w:ascii="Arial" w:hAnsi="Arial" w:cs="Arial"/>
        </w:rPr>
      </w:pPr>
    </w:p>
    <w:p w:rsidR="00924A0A" w:rsidRPr="00242122" w:rsidRDefault="00924A0A" w:rsidP="00924A0A">
      <w:pPr>
        <w:rPr>
          <w:rFonts w:ascii="Arial" w:hAnsi="Arial" w:cs="Arial"/>
          <w:b/>
          <w:sz w:val="24"/>
          <w:szCs w:val="24"/>
        </w:rPr>
      </w:pPr>
      <w:r w:rsidRPr="00242122">
        <w:rPr>
          <w:rFonts w:ascii="Arial" w:hAnsi="Arial" w:cs="Arial"/>
          <w:b/>
          <w:sz w:val="24"/>
          <w:szCs w:val="24"/>
        </w:rPr>
        <w:t>II.1.3. UTILIZAREA ȘI GESTIONAREA EFICIENTĂ A RESURSELOR DE APĂ</w:t>
      </w:r>
    </w:p>
    <w:p w:rsidR="00924A0A" w:rsidRPr="00242122" w:rsidRDefault="00924A0A" w:rsidP="00924A0A">
      <w:pPr>
        <w:pStyle w:val="1bullet"/>
        <w:numPr>
          <w:ilvl w:val="0"/>
          <w:numId w:val="0"/>
        </w:numPr>
        <w:spacing w:line="240" w:lineRule="auto"/>
        <w:ind w:firstLine="720"/>
        <w:rPr>
          <w:rFonts w:ascii="Arial" w:eastAsia="Calibri" w:hAnsi="Arial" w:cs="Arial"/>
        </w:rPr>
      </w:pPr>
      <w:r w:rsidRPr="00242122">
        <w:rPr>
          <w:rFonts w:ascii="Arial" w:eastAsia="Calibri" w:hAnsi="Arial" w:cs="Arial"/>
        </w:rPr>
        <w:t>Regimul hidrologic al râurilor României este direct influențat de precipitații, relief, soluri, vegetație și structura geologică, adică de mediul în care se formează, fapt deosebit de bine conturat în cadrul țării noastre. În afară de zonalitatea verticală a climei, o mare influență asupra regimului hidrologic o are zonalitatea climatică orizontală, în special regimul precipitațiilor și temperaturii aerului.</w:t>
      </w:r>
    </w:p>
    <w:p w:rsidR="00924A0A" w:rsidRPr="00242122" w:rsidRDefault="00924A0A" w:rsidP="00924A0A">
      <w:pPr>
        <w:pStyle w:val="1bullet"/>
        <w:numPr>
          <w:ilvl w:val="0"/>
          <w:numId w:val="0"/>
        </w:numPr>
        <w:spacing w:line="240" w:lineRule="auto"/>
        <w:ind w:firstLine="720"/>
        <w:rPr>
          <w:rFonts w:ascii="Arial" w:eastAsia="Calibri" w:hAnsi="Arial" w:cs="Arial"/>
        </w:rPr>
      </w:pPr>
      <w:r w:rsidRPr="00242122">
        <w:rPr>
          <w:rFonts w:ascii="Arial" w:eastAsia="Calibri" w:hAnsi="Arial" w:cs="Arial"/>
        </w:rPr>
        <w:t>Până în prezent studiile au arătat, de exemplu, că frecvența inundațiilor este mai mare în lunile de primăvară, martie-aprilie, și în cele de vară, iulie-august. Resursa de apă este mai redusă în lunile aprilie și septembrie și în acest caz eforturile de gestionare a acesteia trebuie orientate către asigurarea disponibilului de apă la sursă. O problemă actuală o reprezintă precipitațiile scurte de mare intensitate care conduc la creșterea numărului de hazarde de inundații de tip viituri rapide (flash flood).</w:t>
      </w:r>
    </w:p>
    <w:p w:rsidR="00924A0A" w:rsidRPr="00242122" w:rsidRDefault="00924A0A" w:rsidP="00924A0A">
      <w:pPr>
        <w:pStyle w:val="1bullet"/>
        <w:numPr>
          <w:ilvl w:val="0"/>
          <w:numId w:val="0"/>
        </w:numPr>
        <w:spacing w:line="240" w:lineRule="auto"/>
        <w:ind w:firstLine="720"/>
        <w:rPr>
          <w:rFonts w:ascii="Arial" w:eastAsia="Calibri" w:hAnsi="Arial" w:cs="Arial"/>
        </w:rPr>
      </w:pPr>
      <w:r w:rsidRPr="00242122">
        <w:rPr>
          <w:rFonts w:ascii="Arial" w:eastAsia="Calibri" w:hAnsi="Arial" w:cs="Arial"/>
        </w:rPr>
        <w:t>România este caracterizată printr-o distribuție neuniformă în spațiu a resurselor de apă ale râurilor, cele mai bogate fiind bazinele hidrografice cu suprafeţe relativ mici, dar cu altitudini mari, iar cele mai sărace în resursele de apă sunt bazinele afluenților direcți ai fluviului Dunărea și ai Litoralului. În ceea ce privește distribuția în timp, resursele de apă ale râurilor au mari variații sezoniere.</w:t>
      </w:r>
    </w:p>
    <w:p w:rsidR="00924A0A" w:rsidRPr="00242122" w:rsidRDefault="00924A0A" w:rsidP="00924A0A">
      <w:pPr>
        <w:pStyle w:val="1text"/>
        <w:spacing w:before="0" w:after="0" w:line="240" w:lineRule="auto"/>
        <w:ind w:firstLine="720"/>
        <w:rPr>
          <w:rFonts w:ascii="Arial" w:eastAsia="Calibri" w:hAnsi="Arial" w:cs="Arial"/>
        </w:rPr>
      </w:pPr>
      <w:r w:rsidRPr="00242122">
        <w:rPr>
          <w:rFonts w:ascii="Arial" w:eastAsia="Calibri" w:hAnsi="Arial" w:cs="Arial"/>
        </w:rPr>
        <w:t>În ceea ce privește resursa de apă subterană acviferele capabile să asigure debite importante pentru alimentarea cu apă a populației sunt cele acumulate în formațiunile cuaternare din luncile inundabile, terasele și conurile aluviale ale râurilor.</w:t>
      </w:r>
    </w:p>
    <w:p w:rsidR="00924A0A" w:rsidRPr="00242122" w:rsidRDefault="00924A0A" w:rsidP="00924A0A">
      <w:pPr>
        <w:pStyle w:val="1bullet"/>
        <w:numPr>
          <w:ilvl w:val="0"/>
          <w:numId w:val="0"/>
        </w:numPr>
        <w:spacing w:line="240" w:lineRule="auto"/>
        <w:ind w:firstLine="720"/>
        <w:rPr>
          <w:rFonts w:ascii="Arial" w:eastAsia="Calibri" w:hAnsi="Arial" w:cs="Arial"/>
        </w:rPr>
      </w:pPr>
      <w:r w:rsidRPr="00242122">
        <w:rPr>
          <w:rFonts w:ascii="Arial" w:hAnsi="Arial" w:cs="Arial"/>
        </w:rPr>
        <w:t>Având în vedere caracterul limitat al resursei de apă subterană, direct dependentă de precipitații și de volumele exploatate, în general, apa freatică este utilizată pentru irigații și industrie iar pentru alimentarea populației sunt utilizate izvoare și apa subterană din acviferul de adâncime. Există zone unde acviferul freatic este folosit pentru alimentarea populației dar în procent scăzut. În situația în care resursa disponibilă este depășită de debitul anual captat pe termen lung, nivelul apelor subterane este supus modificărilor antropogenice care ar putea conduce la supraexploatare.</w:t>
      </w:r>
    </w:p>
    <w:p w:rsidR="00924A0A" w:rsidRPr="00242122" w:rsidRDefault="00924A0A" w:rsidP="00924A0A">
      <w:pPr>
        <w:pStyle w:val="1bullet"/>
        <w:numPr>
          <w:ilvl w:val="0"/>
          <w:numId w:val="0"/>
        </w:numPr>
        <w:spacing w:line="240" w:lineRule="auto"/>
        <w:ind w:firstLine="720"/>
        <w:rPr>
          <w:rFonts w:ascii="Arial" w:hAnsi="Arial" w:cs="Arial"/>
        </w:rPr>
      </w:pPr>
      <w:r w:rsidRPr="00242122">
        <w:rPr>
          <w:rFonts w:ascii="Arial" w:hAnsi="Arial" w:cs="Arial"/>
        </w:rPr>
        <w:t>Caracterul limitat și vulnerabil al resurselor de apă precum și indispensabilitatea resurselor de apă subliniază necesitatea valorificării și protecției acestora împotriva epuizării și degradării.</w:t>
      </w:r>
    </w:p>
    <w:p w:rsidR="00924A0A" w:rsidRPr="00242122" w:rsidRDefault="00924A0A" w:rsidP="00924A0A">
      <w:pPr>
        <w:pStyle w:val="1bullet"/>
        <w:numPr>
          <w:ilvl w:val="0"/>
          <w:numId w:val="0"/>
        </w:numPr>
        <w:spacing w:line="240" w:lineRule="auto"/>
        <w:ind w:firstLine="720"/>
        <w:rPr>
          <w:rFonts w:ascii="Arial" w:eastAsia="Calibri" w:hAnsi="Arial" w:cs="Arial"/>
        </w:rPr>
      </w:pPr>
      <w:r w:rsidRPr="00242122">
        <w:rPr>
          <w:rFonts w:ascii="Arial" w:hAnsi="Arial" w:cs="Arial"/>
        </w:rPr>
        <w:t>Schimbările climatice reprezintă unul din principalii factori cu impact major asupra resursei de apă atât din punct de vedere cantitativ cât și calitativ.</w:t>
      </w:r>
    </w:p>
    <w:p w:rsidR="00924A0A" w:rsidRPr="00242122" w:rsidRDefault="00924A0A" w:rsidP="00924A0A">
      <w:pPr>
        <w:pStyle w:val="1text"/>
        <w:spacing w:before="0" w:after="0" w:line="240" w:lineRule="auto"/>
        <w:ind w:firstLine="720"/>
        <w:rPr>
          <w:rFonts w:ascii="Arial" w:eastAsia="Calibri" w:hAnsi="Arial" w:cs="Arial"/>
        </w:rPr>
      </w:pPr>
      <w:r w:rsidRPr="00242122">
        <w:rPr>
          <w:rFonts w:ascii="Arial" w:eastAsia="Calibri" w:hAnsi="Arial" w:cs="Arial"/>
        </w:rPr>
        <w:t>Pentru a asigura disponibilul de apă la sursă în România ținând cont de distribuția (variabilitatea) în spațiu și timp a resurselor de apă, caracterul limitat al resurselor de apă, variația regimului de curgere, caracterul torențial al bazinelor hidrografice, variația spațio-temporală a calității apelor și schimbările climatice trebuie întreprinse următoarele măsuri:</w:t>
      </w:r>
    </w:p>
    <w:p w:rsidR="00924A0A" w:rsidRPr="00242122" w:rsidRDefault="00924A0A" w:rsidP="00924A0A">
      <w:pPr>
        <w:pStyle w:val="1text"/>
        <w:spacing w:before="0" w:after="0" w:line="240" w:lineRule="auto"/>
        <w:ind w:firstLine="720"/>
        <w:rPr>
          <w:rFonts w:ascii="Arial" w:eastAsia="Calibri" w:hAnsi="Arial" w:cs="Arial"/>
        </w:rPr>
      </w:pPr>
    </w:p>
    <w:p w:rsidR="00924A0A" w:rsidRPr="00242122" w:rsidRDefault="00924A0A" w:rsidP="00B12004">
      <w:pPr>
        <w:pStyle w:val="1bullet"/>
        <w:numPr>
          <w:ilvl w:val="0"/>
          <w:numId w:val="10"/>
        </w:numPr>
        <w:spacing w:line="240" w:lineRule="auto"/>
        <w:ind w:left="450" w:hanging="450"/>
        <w:rPr>
          <w:rFonts w:ascii="Arial" w:eastAsia="Calibri" w:hAnsi="Arial" w:cs="Arial"/>
          <w:lang w:val="fr-FR"/>
        </w:rPr>
      </w:pPr>
      <w:r w:rsidRPr="00242122">
        <w:rPr>
          <w:rFonts w:ascii="Arial" w:hAnsi="Arial" w:cs="Arial"/>
          <w:b/>
        </w:rPr>
        <w:t>Măsuri de adaptare pentru asigurarea disponibilului de apă la sursă</w:t>
      </w:r>
      <w:r w:rsidRPr="00242122">
        <w:rPr>
          <w:rFonts w:ascii="Arial" w:hAnsi="Arial" w:cs="Arial"/>
        </w:rPr>
        <w:t>:</w:t>
      </w:r>
    </w:p>
    <w:p w:rsidR="00924A0A" w:rsidRPr="00242122" w:rsidRDefault="00924A0A" w:rsidP="00B12004">
      <w:pPr>
        <w:pStyle w:val="1bullet"/>
        <w:numPr>
          <w:ilvl w:val="0"/>
          <w:numId w:val="11"/>
        </w:numPr>
        <w:spacing w:line="240" w:lineRule="auto"/>
        <w:ind w:left="900" w:hanging="450"/>
        <w:rPr>
          <w:rFonts w:ascii="Arial" w:eastAsia="Calibri" w:hAnsi="Arial" w:cs="Arial"/>
          <w:lang w:val="fr-FR"/>
        </w:rPr>
      </w:pPr>
      <w:r w:rsidRPr="00242122">
        <w:rPr>
          <w:rFonts w:ascii="Arial" w:hAnsi="Arial" w:cs="Arial"/>
        </w:rPr>
        <w:t>realizarea de noi infrastructuri de transformare a resurselor hidrologice în resurse socioeconomice: noi lacuri de acumulare, noi derivații interbazinale și altele asemenea;</w:t>
      </w:r>
    </w:p>
    <w:p w:rsidR="00924A0A" w:rsidRPr="00242122" w:rsidRDefault="00924A0A" w:rsidP="00B12004">
      <w:pPr>
        <w:pStyle w:val="1bullet"/>
        <w:numPr>
          <w:ilvl w:val="0"/>
          <w:numId w:val="11"/>
        </w:numPr>
        <w:spacing w:line="240" w:lineRule="auto"/>
        <w:ind w:left="900" w:hanging="450"/>
        <w:rPr>
          <w:rFonts w:ascii="Arial" w:eastAsia="Calibri" w:hAnsi="Arial" w:cs="Arial"/>
          <w:lang w:val="fr-FR"/>
        </w:rPr>
      </w:pPr>
      <w:r w:rsidRPr="00242122">
        <w:rPr>
          <w:rFonts w:ascii="Arial" w:hAnsi="Arial" w:cs="Arial"/>
        </w:rPr>
        <w:t>modificarea infrastructurilor existente pentru a putea regulariza debitele a căror distribuție în timp se modifică ca urmare a schimbărilor climatice: reechiparea cu noi uvraje și altele asemenea;</w:t>
      </w:r>
    </w:p>
    <w:p w:rsidR="00924A0A" w:rsidRPr="00242122" w:rsidRDefault="00924A0A" w:rsidP="00B12004">
      <w:pPr>
        <w:pStyle w:val="1bullet"/>
        <w:numPr>
          <w:ilvl w:val="0"/>
          <w:numId w:val="11"/>
        </w:numPr>
        <w:spacing w:line="240" w:lineRule="auto"/>
        <w:ind w:left="900" w:hanging="450"/>
        <w:rPr>
          <w:rFonts w:ascii="Arial" w:eastAsia="Calibri" w:hAnsi="Arial" w:cs="Arial"/>
          <w:lang w:val="en-US"/>
        </w:rPr>
      </w:pPr>
      <w:r w:rsidRPr="00242122">
        <w:rPr>
          <w:rFonts w:ascii="Arial" w:hAnsi="Arial" w:cs="Arial"/>
        </w:rPr>
        <w:t>proiectarea și implementarea unor soluții pentru colectarea și utilizarea apei din precipitații;</w:t>
      </w:r>
    </w:p>
    <w:p w:rsidR="00924A0A" w:rsidRPr="00242122" w:rsidRDefault="00924A0A" w:rsidP="00B12004">
      <w:pPr>
        <w:pStyle w:val="1bullet"/>
        <w:numPr>
          <w:ilvl w:val="0"/>
          <w:numId w:val="11"/>
        </w:numPr>
        <w:spacing w:line="240" w:lineRule="auto"/>
        <w:ind w:left="900" w:hanging="450"/>
        <w:rPr>
          <w:rFonts w:ascii="Arial" w:eastAsia="Calibri" w:hAnsi="Arial" w:cs="Arial"/>
          <w:lang w:val="en-US"/>
        </w:rPr>
      </w:pPr>
      <w:r w:rsidRPr="00242122">
        <w:rPr>
          <w:rFonts w:ascii="Arial" w:hAnsi="Arial" w:cs="Arial"/>
        </w:rPr>
        <w:lastRenderedPageBreak/>
        <w:t xml:space="preserve">realizarea de poldere pentru atenuarea viiturilor: acumulări nepermanente laterale cursurilor de apă. </w:t>
      </w:r>
    </w:p>
    <w:p w:rsidR="00924A0A" w:rsidRPr="00242122" w:rsidRDefault="00924A0A" w:rsidP="00924A0A">
      <w:pPr>
        <w:pStyle w:val="1bullet"/>
        <w:numPr>
          <w:ilvl w:val="0"/>
          <w:numId w:val="0"/>
        </w:numPr>
        <w:spacing w:line="240" w:lineRule="auto"/>
        <w:ind w:left="900"/>
        <w:rPr>
          <w:rFonts w:ascii="Arial" w:hAnsi="Arial" w:cs="Arial"/>
        </w:rPr>
      </w:pPr>
    </w:p>
    <w:p w:rsidR="00924A0A" w:rsidRPr="00242122" w:rsidRDefault="00924A0A" w:rsidP="00924A0A">
      <w:pPr>
        <w:pStyle w:val="1bullet"/>
        <w:numPr>
          <w:ilvl w:val="0"/>
          <w:numId w:val="0"/>
        </w:numPr>
        <w:spacing w:line="240" w:lineRule="auto"/>
        <w:ind w:left="900"/>
        <w:rPr>
          <w:rFonts w:ascii="Arial" w:eastAsia="Calibri" w:hAnsi="Arial" w:cs="Arial"/>
          <w:lang w:val="en-US"/>
        </w:rPr>
      </w:pPr>
    </w:p>
    <w:p w:rsidR="00924A0A" w:rsidRPr="00242122" w:rsidRDefault="00924A0A" w:rsidP="00B12004">
      <w:pPr>
        <w:pStyle w:val="1bullet"/>
        <w:numPr>
          <w:ilvl w:val="0"/>
          <w:numId w:val="10"/>
        </w:numPr>
        <w:spacing w:line="240" w:lineRule="auto"/>
        <w:ind w:left="450" w:hanging="450"/>
        <w:rPr>
          <w:rFonts w:ascii="Arial" w:hAnsi="Arial" w:cs="Arial"/>
          <w:b/>
        </w:rPr>
      </w:pPr>
      <w:r w:rsidRPr="00242122">
        <w:rPr>
          <w:rFonts w:ascii="Arial" w:hAnsi="Arial" w:cs="Arial"/>
          <w:b/>
        </w:rPr>
        <w:t xml:space="preserve">Măsuri de adaptare la folosințele de apă / utilizatori: </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utilizarea eficientă și conservarea apei prin reabilitarea instalațiilor de transport și de distribuție a apei și prin modificări tehnologice: promovarea de tehnologii cu consumuri reduse de apă;</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modificări în stilul de viață al oamenilor: reducerea cerințelor de apă, utilizarea pentru anumite activități a apei recirculate și altele asemenea;</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creșterea gradului de recirculare a apei pentru nevoi industriale;</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 xml:space="preserve">modificarea tipurilor de culturi agricole prin utilizarea acelora adaptate la cerințe mai reduse de apă; </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elaborarea și implementarea unor sisteme de prețuri și tarife pentru apă în funcție de folosința de sezon și de resursa disponibilă</w:t>
      </w:r>
      <w:r w:rsidRPr="00242122">
        <w:rPr>
          <w:rFonts w:ascii="Arial" w:hAnsi="Arial" w:cs="Arial"/>
          <w:lang w:val="fr-FR"/>
        </w:rPr>
        <w:t>;</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 xml:space="preserve">utilizarea pentru anumite destinații/folosințe a apelor de calitate inferioară; </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 xml:space="preserve">îmbunătățirea legislației de mediu. </w:t>
      </w:r>
    </w:p>
    <w:p w:rsidR="00924A0A" w:rsidRPr="00242122" w:rsidRDefault="00924A0A" w:rsidP="00924A0A">
      <w:pPr>
        <w:pStyle w:val="1bullet"/>
        <w:numPr>
          <w:ilvl w:val="0"/>
          <w:numId w:val="0"/>
        </w:numPr>
        <w:spacing w:line="240" w:lineRule="auto"/>
        <w:ind w:left="900"/>
        <w:rPr>
          <w:rFonts w:ascii="Arial" w:hAnsi="Arial" w:cs="Arial"/>
        </w:rPr>
      </w:pPr>
    </w:p>
    <w:p w:rsidR="00924A0A" w:rsidRPr="00242122" w:rsidRDefault="00924A0A" w:rsidP="00B12004">
      <w:pPr>
        <w:pStyle w:val="1bullet"/>
        <w:numPr>
          <w:ilvl w:val="0"/>
          <w:numId w:val="10"/>
        </w:numPr>
        <w:spacing w:line="240" w:lineRule="auto"/>
        <w:ind w:left="450" w:hanging="450"/>
        <w:rPr>
          <w:rFonts w:ascii="Arial" w:hAnsi="Arial" w:cs="Arial"/>
          <w:b/>
        </w:rPr>
      </w:pPr>
      <w:r w:rsidRPr="00242122">
        <w:rPr>
          <w:rFonts w:ascii="Arial" w:hAnsi="Arial" w:cs="Arial"/>
          <w:b/>
        </w:rPr>
        <w:t>Măsuri care trebuie întreprinse la nivelul bazinului hidrografic:</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actualizarea schemelor directoare de amenajare și de management, astfel încât să se ia în considerare efectele schimbărilor climatice: scăderea disponibilului la sursă, creșterea cerinței de apă;</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aplicarea principiilor de management integrat al apei pentru cantitate, calitate și ecositeme sănătoase;</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introducerea chiar de la proiectare în lacurile de acumulare care se vor construi, a unor volume de rezervă care să se utilizeze doar în situații excepționale sau realizarea unor lacuri de acumulare cu regim special de exploatare pentru a suplimenta resursele de apă disponibile în situații critice;</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transferuri inter-bazinale de apă pentru a compensa deficitele de apă în anumite bazine;</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stabilirea unor obiective privind calitatea apei și aplicarea unor criterii de calitate a acesteia în scopul prevenirii, controlării și reducerii impactului transfrontalier, coordonarea reglementărilor și emiterii avizelor;</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îmbunătățirea tratării apei reziduale și menajere;</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armonizarea reglementărilor privind limitarea emisiilor de substanțe periculoase în apă;</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identificarea zonelor cu risc potențial la inundații, deficit de apă/secetă.</w:t>
      </w:r>
    </w:p>
    <w:p w:rsidR="00924A0A" w:rsidRPr="00242122" w:rsidRDefault="00924A0A" w:rsidP="00924A0A">
      <w:pPr>
        <w:pStyle w:val="1bullet"/>
        <w:numPr>
          <w:ilvl w:val="0"/>
          <w:numId w:val="0"/>
        </w:numPr>
        <w:spacing w:line="240" w:lineRule="auto"/>
        <w:ind w:left="900"/>
        <w:rPr>
          <w:rFonts w:ascii="Arial" w:hAnsi="Arial" w:cs="Arial"/>
        </w:rPr>
      </w:pPr>
    </w:p>
    <w:p w:rsidR="00924A0A" w:rsidRPr="00242122" w:rsidRDefault="00924A0A" w:rsidP="00B12004">
      <w:pPr>
        <w:pStyle w:val="1bullet"/>
        <w:numPr>
          <w:ilvl w:val="0"/>
          <w:numId w:val="10"/>
        </w:numPr>
        <w:spacing w:line="240" w:lineRule="auto"/>
        <w:ind w:left="450" w:hanging="450"/>
        <w:rPr>
          <w:rFonts w:ascii="Arial" w:eastAsia="Calibri" w:hAnsi="Arial" w:cs="Arial"/>
          <w:b/>
          <w:lang w:val="fr-FR"/>
        </w:rPr>
      </w:pPr>
      <w:r w:rsidRPr="00242122">
        <w:rPr>
          <w:rFonts w:ascii="Arial" w:hAnsi="Arial" w:cs="Arial"/>
          <w:b/>
        </w:rPr>
        <w:t xml:space="preserve">Măsuri care trebuie întreprinse pentru managementul riscului la inundații: </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alegerea unor lucrări de protecție împotriva inundațiilor la nivel local destinate unor localități și structuri socio-economice în locul lucrărilor de protecție împotriva inundațiilor ample, de mari dimensiuni;</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alegerea unor soluții tehnice care să conducă la încetinirea și diminuarea inundațiilor pe măsură ce se produc, în locul supraînălțării digurilor existente sau construirii de noi diguri;</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folosirea celor mai noi metode și tehnologii pentru reabilitarea/construirea digurilor și efectuarea lucrărilor de protecție în corelare cu planurile teritoriale de amenajare urbanistică;</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color w:val="000000"/>
        </w:rPr>
        <w:t xml:space="preserve">planurile de management al riscului la inundații trebuie revizuite periodic și, dacă este cazul, trebuie actualizate, </w:t>
      </w:r>
      <w:r w:rsidRPr="00242122">
        <w:rPr>
          <w:rFonts w:ascii="Arial" w:hAnsi="Arial" w:cs="Arial"/>
        </w:rPr>
        <w:t>luând în considerare efectele posibile ale schimbărilor climatice asupra apariției inundațiilor;</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lastRenderedPageBreak/>
        <w:t>creșterea gradului de conștientizare privind riscul de inundații în rândul populației expuse, măsuri adecvate înainte și după producerea acestora, încheierea de contracte de asigurare și altele asemenea;</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 xml:space="preserve">îmbunătățirea capacității de răspuns a autorităților administrației publice locale cu atribuții în managementul situațiilor de urgență generate de inundații, accidente la construcții hidrotehnice și poluări accidentale. </w:t>
      </w:r>
    </w:p>
    <w:p w:rsidR="00924A0A" w:rsidRPr="00242122" w:rsidRDefault="00924A0A" w:rsidP="00924A0A">
      <w:pPr>
        <w:pStyle w:val="1bullet"/>
        <w:numPr>
          <w:ilvl w:val="0"/>
          <w:numId w:val="0"/>
        </w:numPr>
        <w:spacing w:line="240" w:lineRule="auto"/>
        <w:ind w:left="900"/>
        <w:rPr>
          <w:rFonts w:ascii="Arial" w:hAnsi="Arial" w:cs="Arial"/>
        </w:rPr>
      </w:pPr>
    </w:p>
    <w:p w:rsidR="00924A0A" w:rsidRPr="00242122" w:rsidRDefault="00924A0A" w:rsidP="00B12004">
      <w:pPr>
        <w:pStyle w:val="1bullet"/>
        <w:numPr>
          <w:ilvl w:val="0"/>
          <w:numId w:val="10"/>
        </w:numPr>
        <w:spacing w:line="240" w:lineRule="auto"/>
        <w:ind w:left="450" w:hanging="450"/>
        <w:rPr>
          <w:rFonts w:ascii="Arial" w:hAnsi="Arial" w:cs="Arial"/>
          <w:b/>
        </w:rPr>
      </w:pPr>
      <w:r w:rsidRPr="00242122">
        <w:rPr>
          <w:rFonts w:ascii="Arial" w:hAnsi="Arial" w:cs="Arial"/>
          <w:b/>
        </w:rPr>
        <w:t>Măsurile care trebuie întreprinse pentru a combate seceta / deficitul de apă se vor lua în funcție de fazele de apariție a acesteia / acestuia:</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servicii de monitorizare și avertizare privind scăderea debitelor/secetă la nivel național;</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diminuarea scurgerilor în rețelele de distribuție a apei;</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 xml:space="preserve">măsuri de economisire și folosire eficientă a apei: irigații, industrie; </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cooperarea cu alte țări vizând schimbul de experiență în combaterea secetei;</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planuri de aprovizionare prioritară cu apă a populației și animalelor/ierarhizarea restricțiilor de folosire a apei în perioade deficitare;</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stabilirea de metodologii pentru pragurile de secetă și cartografierea secetei;</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mărirea capacității de depozitare a apei;</w:t>
      </w:r>
    </w:p>
    <w:p w:rsidR="00924A0A" w:rsidRPr="00242122" w:rsidRDefault="00924A0A" w:rsidP="00B12004">
      <w:pPr>
        <w:pStyle w:val="1bullet"/>
        <w:numPr>
          <w:ilvl w:val="0"/>
          <w:numId w:val="11"/>
        </w:numPr>
        <w:spacing w:line="240" w:lineRule="auto"/>
        <w:ind w:left="900" w:hanging="450"/>
        <w:rPr>
          <w:rFonts w:ascii="Arial" w:hAnsi="Arial" w:cs="Arial"/>
        </w:rPr>
      </w:pPr>
      <w:r w:rsidRPr="00242122">
        <w:rPr>
          <w:rFonts w:ascii="Arial" w:hAnsi="Arial" w:cs="Arial"/>
        </w:rPr>
        <w:t>asigurarea calității apei pe timp de secetă.</w:t>
      </w:r>
    </w:p>
    <w:p w:rsidR="00924A0A" w:rsidRPr="00242122" w:rsidRDefault="00924A0A" w:rsidP="00924A0A">
      <w:pPr>
        <w:pStyle w:val="1bullet"/>
        <w:numPr>
          <w:ilvl w:val="0"/>
          <w:numId w:val="0"/>
        </w:numPr>
        <w:spacing w:line="240" w:lineRule="auto"/>
        <w:ind w:firstLine="720"/>
        <w:rPr>
          <w:rFonts w:ascii="Arial" w:eastAsia="Calibri" w:hAnsi="Arial" w:cs="Arial"/>
        </w:rPr>
      </w:pPr>
    </w:p>
    <w:p w:rsidR="00924A0A" w:rsidRPr="00242122" w:rsidRDefault="00924A0A" w:rsidP="00924A0A">
      <w:pPr>
        <w:pStyle w:val="1bullet"/>
        <w:numPr>
          <w:ilvl w:val="0"/>
          <w:numId w:val="0"/>
        </w:numPr>
        <w:spacing w:line="240" w:lineRule="auto"/>
        <w:ind w:firstLine="720"/>
        <w:rPr>
          <w:rFonts w:ascii="Arial" w:eastAsia="Calibri" w:hAnsi="Arial" w:cs="Arial"/>
        </w:rPr>
      </w:pPr>
      <w:r w:rsidRPr="00242122">
        <w:rPr>
          <w:rFonts w:ascii="Arial" w:eastAsia="Calibri" w:hAnsi="Arial" w:cs="Arial"/>
        </w:rPr>
        <w:t>În ultima perioadă de timp se observă o variație descrescătoare a volumelor de apă prelevate. Această variație nu exprimă doar cerința efectivă de apă, ci poate exprima existența anumitor restricții în aprovizionarea cu apă, precum și efectele introducerii contorizării consumului de apă, reducerii pierderilor de apă pe rețelele de distribuție, etc.</w:t>
      </w:r>
    </w:p>
    <w:p w:rsidR="00924A0A" w:rsidRPr="00242122" w:rsidRDefault="00924A0A" w:rsidP="00924A0A">
      <w:pPr>
        <w:pStyle w:val="1bullet"/>
        <w:numPr>
          <w:ilvl w:val="0"/>
          <w:numId w:val="0"/>
        </w:numPr>
        <w:spacing w:line="240" w:lineRule="auto"/>
        <w:ind w:firstLine="720"/>
        <w:rPr>
          <w:rFonts w:ascii="Arial" w:eastAsia="Calibri" w:hAnsi="Arial" w:cs="Arial"/>
        </w:rPr>
      </w:pPr>
      <w:r w:rsidRPr="00242122">
        <w:rPr>
          <w:rFonts w:ascii="Arial" w:eastAsia="Calibri" w:hAnsi="Arial" w:cs="Arial"/>
        </w:rPr>
        <w:t>Utilizarea și gestionarea eficientă a resurselor de apă implică implementarea unor schimbări de comportament atât al producătorilor de bunuri și servicii de gospodărire a apelor, cât și al utilizatorilor, al populației față de resursele de apă și față de mediu.</w:t>
      </w:r>
    </w:p>
    <w:p w:rsidR="005E7F33" w:rsidRDefault="005E7F33" w:rsidP="005E7F33">
      <w:pPr>
        <w:rPr>
          <w:rFonts w:ascii="Arial" w:hAnsi="Arial" w:cs="Arial"/>
          <w:b/>
          <w:i/>
          <w:iCs/>
          <w:color w:val="000000" w:themeColor="text1"/>
        </w:rPr>
      </w:pPr>
    </w:p>
    <w:p w:rsidR="005E7F33" w:rsidRPr="005E7F33" w:rsidRDefault="005E7F33" w:rsidP="005E7F33">
      <w:pPr>
        <w:rPr>
          <w:rFonts w:ascii="Arial" w:hAnsi="Arial" w:cs="Arial"/>
          <w:b/>
          <w:i/>
          <w:iCs/>
          <w:color w:val="000000" w:themeColor="text1"/>
        </w:rPr>
      </w:pPr>
      <w:r w:rsidRPr="00242122">
        <w:rPr>
          <w:rFonts w:ascii="Arial" w:hAnsi="Arial" w:cs="Arial"/>
          <w:b/>
          <w:i/>
          <w:iCs/>
          <w:color w:val="000000" w:themeColor="text1"/>
        </w:rPr>
        <w:t>II.2.1. Calitatea apei: stare și consecințe</w:t>
      </w:r>
    </w:p>
    <w:p w:rsidR="00924A0A" w:rsidRPr="005B6804" w:rsidRDefault="00924A0A" w:rsidP="005B6804">
      <w:pPr>
        <w:rPr>
          <w:rFonts w:ascii="Arial" w:hAnsi="Arial" w:cs="Arial"/>
          <w:b/>
          <w:sz w:val="24"/>
          <w:szCs w:val="24"/>
        </w:rPr>
      </w:pPr>
      <w:r w:rsidRPr="00242122">
        <w:rPr>
          <w:rFonts w:ascii="Arial" w:hAnsi="Arial" w:cs="Arial"/>
          <w:b/>
          <w:sz w:val="24"/>
          <w:szCs w:val="24"/>
        </w:rPr>
        <w:t xml:space="preserve">II.2.1.1. Calitatea apei cursurilor de </w:t>
      </w:r>
      <w:r w:rsidRPr="005B6804">
        <w:rPr>
          <w:rFonts w:ascii="Arial" w:hAnsi="Arial" w:cs="Arial"/>
          <w:b/>
          <w:sz w:val="24"/>
          <w:szCs w:val="24"/>
        </w:rPr>
        <w:t xml:space="preserve">apă </w:t>
      </w:r>
    </w:p>
    <w:p w:rsidR="00924A0A" w:rsidRPr="00242122" w:rsidRDefault="00924A0A" w:rsidP="005B6804">
      <w:pPr>
        <w:ind w:right="-285"/>
        <w:jc w:val="center"/>
        <w:rPr>
          <w:rFonts w:ascii="Arial" w:hAnsi="Arial" w:cs="Arial"/>
          <w:b/>
          <w:sz w:val="24"/>
          <w:szCs w:val="24"/>
        </w:rPr>
      </w:pPr>
      <w:r w:rsidRPr="005B6804">
        <w:rPr>
          <w:rFonts w:ascii="Arial" w:hAnsi="Arial" w:cs="Arial"/>
          <w:b/>
          <w:sz w:val="24"/>
          <w:szCs w:val="24"/>
        </w:rPr>
        <w:t xml:space="preserve">Indicator VHS 02. </w:t>
      </w:r>
      <w:r w:rsidRPr="005B6804">
        <w:rPr>
          <w:rFonts w:ascii="Arial" w:hAnsi="Arial" w:cs="Arial"/>
          <w:b/>
          <w:sz w:val="24"/>
          <w:szCs w:val="24"/>
          <w:shd w:val="clear" w:color="auto" w:fill="FFFFFF" w:themeFill="background1"/>
        </w:rPr>
        <w:t>Substanțele periculoase din cursurile de apă RO 65</w:t>
      </w:r>
      <w:r w:rsidRPr="00242122">
        <w:rPr>
          <w:rFonts w:ascii="Arial" w:hAnsi="Arial" w:cs="Arial"/>
          <w:b/>
          <w:sz w:val="24"/>
          <w:szCs w:val="24"/>
          <w:shd w:val="clear" w:color="auto" w:fill="A9EB3D"/>
        </w:rPr>
        <w:t xml:space="preserve"> </w:t>
      </w:r>
    </w:p>
    <w:p w:rsidR="00924A0A" w:rsidRPr="00242122" w:rsidRDefault="00924A0A" w:rsidP="00924A0A">
      <w:pPr>
        <w:spacing w:after="0" w:line="240" w:lineRule="auto"/>
        <w:rPr>
          <w:rFonts w:ascii="Arial" w:hAnsi="Arial" w:cs="Arial"/>
          <w:b/>
          <w:sz w:val="24"/>
          <w:szCs w:val="24"/>
        </w:rPr>
      </w:pPr>
    </w:p>
    <w:p w:rsidR="00924A0A" w:rsidRPr="00242122" w:rsidRDefault="00924A0A" w:rsidP="00924A0A">
      <w:pPr>
        <w:spacing w:after="0" w:line="240" w:lineRule="auto"/>
        <w:ind w:firstLine="708"/>
        <w:jc w:val="both"/>
        <w:rPr>
          <w:rFonts w:ascii="Arial" w:hAnsi="Arial" w:cs="Arial"/>
          <w:b/>
          <w:i/>
          <w:sz w:val="24"/>
          <w:szCs w:val="24"/>
        </w:rPr>
      </w:pPr>
      <w:r w:rsidRPr="00242122">
        <w:rPr>
          <w:rFonts w:ascii="Arial" w:hAnsi="Arial" w:cs="Arial"/>
          <w:b/>
          <w:i/>
          <w:sz w:val="24"/>
          <w:szCs w:val="24"/>
        </w:rPr>
        <w:t xml:space="preserve">Pentru acest indicator s-a avut în vedere raportarea </w:t>
      </w:r>
      <w:r w:rsidRPr="00242122">
        <w:rPr>
          <w:rFonts w:ascii="Arial" w:hAnsi="Arial" w:cs="Arial"/>
          <w:b/>
          <w:i/>
          <w:sz w:val="24"/>
          <w:szCs w:val="24"/>
          <w:u w:val="single"/>
        </w:rPr>
        <w:t>substanțelor prioritare</w:t>
      </w:r>
      <w:r w:rsidRPr="00242122">
        <w:rPr>
          <w:rFonts w:ascii="Arial" w:hAnsi="Arial" w:cs="Arial"/>
          <w:b/>
          <w:i/>
          <w:sz w:val="24"/>
          <w:szCs w:val="24"/>
        </w:rPr>
        <w:t xml:space="preserve"> din HG 570/2016 care stau la baza evaluării stării chimice a apelor de suprafață (mediul de investigare APĂ </w:t>
      </w:r>
      <w:bookmarkStart w:id="14" w:name="OLE_LINK1"/>
      <w:r w:rsidRPr="00242122">
        <w:rPr>
          <w:rFonts w:ascii="Arial" w:hAnsi="Arial" w:cs="Arial"/>
          <w:b/>
          <w:i/>
          <w:sz w:val="24"/>
          <w:szCs w:val="24"/>
        </w:rPr>
        <w:t>şi mediul de investigare BIOTA</w:t>
      </w:r>
      <w:bookmarkEnd w:id="14"/>
      <w:r w:rsidRPr="00242122">
        <w:rPr>
          <w:rFonts w:ascii="Arial" w:hAnsi="Arial" w:cs="Arial"/>
          <w:b/>
          <w:i/>
          <w:sz w:val="24"/>
          <w:szCs w:val="24"/>
        </w:rPr>
        <w:t xml:space="preserve">). </w:t>
      </w:r>
    </w:p>
    <w:p w:rsidR="00924A0A" w:rsidRPr="00242122" w:rsidRDefault="00924A0A" w:rsidP="00924A0A">
      <w:pPr>
        <w:spacing w:after="0" w:line="240" w:lineRule="auto"/>
        <w:ind w:firstLine="708"/>
        <w:jc w:val="both"/>
        <w:rPr>
          <w:rFonts w:ascii="Arial" w:hAnsi="Arial" w:cs="Arial"/>
          <w:b/>
          <w:i/>
          <w:sz w:val="24"/>
          <w:szCs w:val="24"/>
        </w:rPr>
      </w:pPr>
      <w:r w:rsidRPr="00242122">
        <w:rPr>
          <w:rFonts w:ascii="Arial" w:hAnsi="Arial" w:cs="Arial"/>
          <w:sz w:val="24"/>
          <w:szCs w:val="24"/>
        </w:rPr>
        <w:t>Evaluarea stării chimice are în vedere conformarea față de standardele de calitate a  mediului stabilite pentru valoarea mediei aritmetice (</w:t>
      </w:r>
      <w:r w:rsidRPr="00242122">
        <w:rPr>
          <w:rFonts w:ascii="Arial" w:hAnsi="Arial" w:cs="Arial"/>
          <w:b/>
          <w:sz w:val="24"/>
          <w:szCs w:val="24"/>
        </w:rPr>
        <w:t>SCM-MA</w:t>
      </w:r>
      <w:r w:rsidRPr="00242122">
        <w:rPr>
          <w:rFonts w:ascii="Arial" w:hAnsi="Arial" w:cs="Arial"/>
          <w:sz w:val="24"/>
          <w:szCs w:val="24"/>
        </w:rPr>
        <w:t>), cât şi pentru valoarea concentrației maxime admisibile (</w:t>
      </w:r>
      <w:r w:rsidRPr="00242122">
        <w:rPr>
          <w:rFonts w:ascii="Arial" w:hAnsi="Arial" w:cs="Arial"/>
          <w:b/>
          <w:sz w:val="24"/>
          <w:szCs w:val="24"/>
        </w:rPr>
        <w:t>SCM-CMA</w:t>
      </w:r>
      <w:r w:rsidRPr="00242122">
        <w:rPr>
          <w:rFonts w:ascii="Arial" w:hAnsi="Arial" w:cs="Arial"/>
          <w:sz w:val="24"/>
          <w:szCs w:val="24"/>
        </w:rPr>
        <w:t xml:space="preserve">) pentru </w:t>
      </w:r>
      <w:r w:rsidRPr="00242122">
        <w:rPr>
          <w:rFonts w:ascii="Arial" w:hAnsi="Arial" w:cs="Arial"/>
          <w:b/>
          <w:noProof/>
          <w:sz w:val="24"/>
          <w:szCs w:val="24"/>
        </w:rPr>
        <w:t xml:space="preserve">mediul de investigare APĂ, </w:t>
      </w:r>
      <w:r w:rsidRPr="00242122">
        <w:rPr>
          <w:rFonts w:ascii="Arial" w:hAnsi="Arial" w:cs="Arial"/>
          <w:noProof/>
          <w:sz w:val="24"/>
          <w:szCs w:val="24"/>
        </w:rPr>
        <w:t>precum şi</w:t>
      </w:r>
      <w:r w:rsidRPr="00242122">
        <w:rPr>
          <w:rFonts w:ascii="Arial" w:hAnsi="Arial" w:cs="Arial"/>
          <w:b/>
          <w:noProof/>
          <w:sz w:val="24"/>
          <w:szCs w:val="24"/>
        </w:rPr>
        <w:t xml:space="preserve"> </w:t>
      </w:r>
      <w:r w:rsidRPr="00242122">
        <w:rPr>
          <w:rFonts w:ascii="Arial" w:hAnsi="Arial" w:cs="Arial"/>
          <w:sz w:val="24"/>
          <w:szCs w:val="24"/>
        </w:rPr>
        <w:t xml:space="preserve">conformarea față de standardele de calitate stabilite pentru </w:t>
      </w:r>
      <w:r w:rsidRPr="00242122">
        <w:rPr>
          <w:rFonts w:ascii="Arial" w:hAnsi="Arial" w:cs="Arial"/>
          <w:b/>
          <w:sz w:val="24"/>
          <w:szCs w:val="24"/>
        </w:rPr>
        <w:t>mediul de investigare BIOTA</w:t>
      </w:r>
      <w:r w:rsidRPr="00242122">
        <w:rPr>
          <w:rFonts w:ascii="Arial" w:hAnsi="Arial" w:cs="Arial"/>
          <w:sz w:val="24"/>
          <w:szCs w:val="24"/>
        </w:rPr>
        <w:t xml:space="preserve"> (</w:t>
      </w:r>
      <w:r w:rsidRPr="00242122">
        <w:rPr>
          <w:rFonts w:ascii="Arial" w:hAnsi="Arial" w:cs="Arial"/>
          <w:b/>
          <w:sz w:val="24"/>
          <w:szCs w:val="24"/>
        </w:rPr>
        <w:t>SCM Biota</w:t>
      </w:r>
      <w:r w:rsidRPr="00242122">
        <w:rPr>
          <w:rFonts w:ascii="Arial" w:hAnsi="Arial" w:cs="Arial"/>
          <w:sz w:val="24"/>
          <w:szCs w:val="24"/>
        </w:rPr>
        <w:t>)</w:t>
      </w:r>
      <w:r w:rsidRPr="00242122">
        <w:rPr>
          <w:rFonts w:ascii="Arial" w:hAnsi="Arial" w:cs="Arial"/>
          <w:b/>
          <w:i/>
          <w:sz w:val="24"/>
          <w:szCs w:val="24"/>
        </w:rPr>
        <w:t xml:space="preserve"> </w:t>
      </w:r>
      <w:r w:rsidRPr="00242122">
        <w:rPr>
          <w:rFonts w:ascii="Arial" w:hAnsi="Arial" w:cs="Arial"/>
          <w:b/>
          <w:i/>
          <w:sz w:val="24"/>
          <w:szCs w:val="24"/>
          <w:u w:val="single"/>
        </w:rPr>
        <w:t>(conform H.G. 570/2016)</w:t>
      </w:r>
      <w:r w:rsidRPr="00242122">
        <w:rPr>
          <w:rFonts w:ascii="Arial" w:hAnsi="Arial" w:cs="Arial"/>
          <w:b/>
          <w:i/>
          <w:sz w:val="24"/>
          <w:szCs w:val="24"/>
        </w:rPr>
        <w:t>.</w:t>
      </w:r>
    </w:p>
    <w:p w:rsidR="00924A0A" w:rsidRPr="00242122" w:rsidRDefault="00924A0A" w:rsidP="00924A0A">
      <w:pPr>
        <w:spacing w:after="0" w:line="240" w:lineRule="auto"/>
        <w:jc w:val="both"/>
        <w:rPr>
          <w:rFonts w:ascii="Arial" w:hAnsi="Arial" w:cs="Arial"/>
          <w:b/>
          <w:i/>
          <w:sz w:val="24"/>
          <w:szCs w:val="24"/>
          <w:u w:val="single"/>
        </w:rPr>
      </w:pPr>
    </w:p>
    <w:p w:rsidR="00924A0A" w:rsidRPr="00242122" w:rsidRDefault="00924A0A" w:rsidP="00924A0A">
      <w:pPr>
        <w:spacing w:after="0" w:line="240" w:lineRule="auto"/>
        <w:jc w:val="both"/>
        <w:rPr>
          <w:rFonts w:ascii="Arial" w:hAnsi="Arial" w:cs="Arial"/>
          <w:b/>
          <w:i/>
          <w:color w:val="FF0000"/>
          <w:sz w:val="24"/>
          <w:szCs w:val="24"/>
        </w:rPr>
      </w:pPr>
      <w:r w:rsidRPr="00242122">
        <w:rPr>
          <w:rFonts w:ascii="Arial" w:hAnsi="Arial" w:cs="Arial"/>
          <w:b/>
          <w:i/>
          <w:sz w:val="24"/>
          <w:szCs w:val="24"/>
        </w:rPr>
        <w:t xml:space="preserve">Distribuția numărului de substanțe prioritare monitorizate în cursurile de apă pe spații/bazine hidrografice în anul 2021 </w:t>
      </w:r>
    </w:p>
    <w:p w:rsidR="00924A0A" w:rsidRPr="00242122" w:rsidRDefault="00924A0A" w:rsidP="00924A0A">
      <w:pPr>
        <w:spacing w:after="0" w:line="240" w:lineRule="auto"/>
        <w:jc w:val="both"/>
        <w:rPr>
          <w:rFonts w:ascii="Arial" w:hAnsi="Arial" w:cs="Arial"/>
          <w:b/>
          <w:i/>
          <w:color w:val="FF0000"/>
          <w:sz w:val="20"/>
          <w:szCs w:val="20"/>
          <w:u w:val="single"/>
        </w:rPr>
      </w:pPr>
    </w:p>
    <w:tbl>
      <w:tblPr>
        <w:tblW w:w="9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0"/>
        <w:gridCol w:w="1394"/>
        <w:gridCol w:w="1491"/>
        <w:gridCol w:w="1223"/>
        <w:gridCol w:w="1456"/>
        <w:gridCol w:w="1086"/>
        <w:gridCol w:w="1424"/>
      </w:tblGrid>
      <w:tr w:rsidR="00924A0A" w:rsidRPr="00242122" w:rsidTr="00B8293F">
        <w:trPr>
          <w:trHeight w:val="279"/>
        </w:trPr>
        <w:tc>
          <w:tcPr>
            <w:tcW w:w="1260" w:type="dxa"/>
            <w:vMerge w:val="restart"/>
            <w:shd w:val="clear" w:color="auto" w:fill="auto"/>
            <w:vAlign w:val="center"/>
            <w:hideMark/>
          </w:tcPr>
          <w:p w:rsidR="00924A0A" w:rsidRPr="00242122" w:rsidRDefault="00924A0A" w:rsidP="00B8293F">
            <w:pPr>
              <w:spacing w:after="0" w:line="240" w:lineRule="auto"/>
              <w:jc w:val="center"/>
              <w:rPr>
                <w:rFonts w:ascii="Arial" w:eastAsia="Times New Roman" w:hAnsi="Arial" w:cs="Arial"/>
                <w:b/>
                <w:bCs/>
                <w:sz w:val="18"/>
                <w:szCs w:val="18"/>
                <w:lang w:eastAsia="ro-RO"/>
              </w:rPr>
            </w:pPr>
            <w:r w:rsidRPr="00242122">
              <w:rPr>
                <w:rFonts w:ascii="Arial" w:eastAsia="Times New Roman" w:hAnsi="Arial" w:cs="Arial"/>
                <w:b/>
                <w:bCs/>
                <w:sz w:val="18"/>
                <w:szCs w:val="18"/>
                <w:lang w:eastAsia="ro-RO"/>
              </w:rPr>
              <w:t>Spaţiu / Bazin hidrografic</w:t>
            </w:r>
          </w:p>
        </w:tc>
        <w:tc>
          <w:tcPr>
            <w:tcW w:w="1394" w:type="dxa"/>
            <w:vMerge w:val="restart"/>
            <w:shd w:val="clear" w:color="auto" w:fill="auto"/>
            <w:vAlign w:val="center"/>
            <w:hideMark/>
          </w:tcPr>
          <w:p w:rsidR="00924A0A" w:rsidRPr="00242122" w:rsidRDefault="00924A0A" w:rsidP="00B8293F">
            <w:pPr>
              <w:spacing w:after="0" w:line="240" w:lineRule="auto"/>
              <w:jc w:val="center"/>
              <w:rPr>
                <w:rFonts w:ascii="Arial" w:eastAsia="Times New Roman" w:hAnsi="Arial" w:cs="Arial"/>
                <w:b/>
                <w:bCs/>
                <w:sz w:val="18"/>
                <w:szCs w:val="18"/>
                <w:lang w:eastAsia="ro-RO"/>
              </w:rPr>
            </w:pPr>
            <w:r w:rsidRPr="00242122">
              <w:rPr>
                <w:rFonts w:ascii="Arial" w:eastAsia="Times New Roman" w:hAnsi="Arial" w:cs="Arial"/>
                <w:b/>
                <w:bCs/>
                <w:sz w:val="18"/>
                <w:szCs w:val="18"/>
                <w:lang w:eastAsia="ro-RO"/>
              </w:rPr>
              <w:t>Lungime monitorizată (Km)</w:t>
            </w:r>
          </w:p>
        </w:tc>
        <w:tc>
          <w:tcPr>
            <w:tcW w:w="1491" w:type="dxa"/>
            <w:vMerge w:val="restart"/>
            <w:shd w:val="clear" w:color="auto" w:fill="auto"/>
            <w:vAlign w:val="center"/>
            <w:hideMark/>
          </w:tcPr>
          <w:p w:rsidR="00924A0A" w:rsidRPr="00242122" w:rsidRDefault="00924A0A" w:rsidP="00B8293F">
            <w:pPr>
              <w:spacing w:after="0" w:line="240" w:lineRule="auto"/>
              <w:jc w:val="center"/>
              <w:rPr>
                <w:rFonts w:ascii="Arial" w:eastAsia="Times New Roman" w:hAnsi="Arial" w:cs="Arial"/>
                <w:b/>
                <w:bCs/>
                <w:sz w:val="18"/>
                <w:szCs w:val="18"/>
                <w:lang w:eastAsia="ro-RO"/>
              </w:rPr>
            </w:pPr>
            <w:r w:rsidRPr="00242122">
              <w:rPr>
                <w:rFonts w:ascii="Arial" w:eastAsia="Times New Roman" w:hAnsi="Arial" w:cs="Arial"/>
                <w:b/>
                <w:bCs/>
                <w:sz w:val="18"/>
                <w:szCs w:val="18"/>
                <w:lang w:eastAsia="ro-RO"/>
              </w:rPr>
              <w:t>Secțiuni monitorizate (nr.)</w:t>
            </w:r>
          </w:p>
        </w:tc>
        <w:tc>
          <w:tcPr>
            <w:tcW w:w="2679" w:type="dxa"/>
            <w:gridSpan w:val="2"/>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b/>
                <w:bCs/>
                <w:sz w:val="18"/>
                <w:szCs w:val="18"/>
                <w:lang w:eastAsia="ro-RO"/>
              </w:rPr>
            </w:pPr>
            <w:r w:rsidRPr="00242122">
              <w:rPr>
                <w:rFonts w:ascii="Arial" w:eastAsia="Times New Roman" w:hAnsi="Arial" w:cs="Arial"/>
                <w:b/>
                <w:bCs/>
                <w:sz w:val="18"/>
                <w:szCs w:val="18"/>
                <w:lang w:eastAsia="ro-RO"/>
              </w:rPr>
              <w:t>Substanțe prioritare APA</w:t>
            </w:r>
          </w:p>
        </w:tc>
        <w:tc>
          <w:tcPr>
            <w:tcW w:w="2510" w:type="dxa"/>
            <w:gridSpan w:val="2"/>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b/>
                <w:bCs/>
                <w:sz w:val="18"/>
                <w:szCs w:val="18"/>
                <w:lang w:eastAsia="ro-RO"/>
              </w:rPr>
            </w:pPr>
            <w:r w:rsidRPr="00242122">
              <w:rPr>
                <w:rFonts w:ascii="Arial" w:eastAsia="Times New Roman" w:hAnsi="Arial" w:cs="Arial"/>
                <w:b/>
                <w:bCs/>
                <w:sz w:val="18"/>
                <w:szCs w:val="18"/>
                <w:lang w:eastAsia="ro-RO"/>
              </w:rPr>
              <w:t>Substanțe prioritare BIOTA</w:t>
            </w:r>
          </w:p>
        </w:tc>
      </w:tr>
      <w:tr w:rsidR="00924A0A" w:rsidRPr="00242122" w:rsidTr="00B8293F">
        <w:trPr>
          <w:trHeight w:val="783"/>
        </w:trPr>
        <w:tc>
          <w:tcPr>
            <w:tcW w:w="1260" w:type="dxa"/>
            <w:vMerge/>
            <w:vAlign w:val="center"/>
            <w:hideMark/>
          </w:tcPr>
          <w:p w:rsidR="00924A0A" w:rsidRPr="00242122" w:rsidRDefault="00924A0A" w:rsidP="00B8293F">
            <w:pPr>
              <w:spacing w:after="0" w:line="240" w:lineRule="auto"/>
              <w:rPr>
                <w:rFonts w:ascii="Arial" w:eastAsia="Times New Roman" w:hAnsi="Arial" w:cs="Arial"/>
                <w:b/>
                <w:bCs/>
                <w:sz w:val="18"/>
                <w:szCs w:val="18"/>
                <w:lang w:eastAsia="ro-RO"/>
              </w:rPr>
            </w:pPr>
          </w:p>
        </w:tc>
        <w:tc>
          <w:tcPr>
            <w:tcW w:w="1394" w:type="dxa"/>
            <w:vMerge/>
            <w:vAlign w:val="center"/>
            <w:hideMark/>
          </w:tcPr>
          <w:p w:rsidR="00924A0A" w:rsidRPr="00242122" w:rsidRDefault="00924A0A" w:rsidP="00B8293F">
            <w:pPr>
              <w:spacing w:after="0" w:line="240" w:lineRule="auto"/>
              <w:rPr>
                <w:rFonts w:ascii="Arial" w:eastAsia="Times New Roman" w:hAnsi="Arial" w:cs="Arial"/>
                <w:b/>
                <w:bCs/>
                <w:sz w:val="18"/>
                <w:szCs w:val="18"/>
                <w:lang w:eastAsia="ro-RO"/>
              </w:rPr>
            </w:pPr>
          </w:p>
        </w:tc>
        <w:tc>
          <w:tcPr>
            <w:tcW w:w="1491" w:type="dxa"/>
            <w:vMerge/>
            <w:vAlign w:val="center"/>
            <w:hideMark/>
          </w:tcPr>
          <w:p w:rsidR="00924A0A" w:rsidRPr="00242122" w:rsidRDefault="00924A0A" w:rsidP="00B8293F">
            <w:pPr>
              <w:spacing w:after="0" w:line="240" w:lineRule="auto"/>
              <w:rPr>
                <w:rFonts w:ascii="Arial" w:eastAsia="Times New Roman" w:hAnsi="Arial" w:cs="Arial"/>
                <w:b/>
                <w:bCs/>
                <w:sz w:val="18"/>
                <w:szCs w:val="18"/>
                <w:lang w:eastAsia="ro-RO"/>
              </w:rPr>
            </w:pPr>
          </w:p>
        </w:tc>
        <w:tc>
          <w:tcPr>
            <w:tcW w:w="1223" w:type="dxa"/>
            <w:shd w:val="clear" w:color="auto" w:fill="auto"/>
            <w:vAlign w:val="center"/>
            <w:hideMark/>
          </w:tcPr>
          <w:p w:rsidR="00924A0A" w:rsidRPr="00242122" w:rsidRDefault="00924A0A" w:rsidP="00B8293F">
            <w:pPr>
              <w:spacing w:after="0" w:line="240" w:lineRule="auto"/>
              <w:jc w:val="center"/>
              <w:rPr>
                <w:rFonts w:ascii="Arial" w:eastAsia="Times New Roman" w:hAnsi="Arial" w:cs="Arial"/>
                <w:b/>
                <w:bCs/>
                <w:sz w:val="18"/>
                <w:szCs w:val="18"/>
                <w:lang w:eastAsia="ro-RO"/>
              </w:rPr>
            </w:pPr>
            <w:r w:rsidRPr="00242122">
              <w:rPr>
                <w:rFonts w:ascii="Arial" w:eastAsia="Times New Roman" w:hAnsi="Arial" w:cs="Arial"/>
                <w:b/>
                <w:bCs/>
                <w:sz w:val="18"/>
                <w:szCs w:val="18"/>
                <w:lang w:eastAsia="ro-RO"/>
              </w:rPr>
              <w:t>Metale prioritare (nr.)</w:t>
            </w:r>
          </w:p>
        </w:tc>
        <w:tc>
          <w:tcPr>
            <w:tcW w:w="1456" w:type="dxa"/>
            <w:shd w:val="clear" w:color="auto" w:fill="auto"/>
            <w:vAlign w:val="center"/>
            <w:hideMark/>
          </w:tcPr>
          <w:p w:rsidR="00924A0A" w:rsidRPr="00242122" w:rsidRDefault="00924A0A" w:rsidP="00B8293F">
            <w:pPr>
              <w:spacing w:after="0" w:line="240" w:lineRule="auto"/>
              <w:jc w:val="center"/>
              <w:rPr>
                <w:rFonts w:ascii="Arial" w:eastAsia="Times New Roman" w:hAnsi="Arial" w:cs="Arial"/>
                <w:b/>
                <w:bCs/>
                <w:sz w:val="18"/>
                <w:szCs w:val="18"/>
                <w:lang w:eastAsia="ro-RO"/>
              </w:rPr>
            </w:pPr>
            <w:r w:rsidRPr="00242122">
              <w:rPr>
                <w:rFonts w:ascii="Arial" w:eastAsia="Times New Roman" w:hAnsi="Arial" w:cs="Arial"/>
                <w:b/>
                <w:bCs/>
                <w:sz w:val="18"/>
                <w:szCs w:val="18"/>
                <w:lang w:eastAsia="ro-RO"/>
              </w:rPr>
              <w:t>Micropoluanţi organici (nr.)</w:t>
            </w:r>
          </w:p>
        </w:tc>
        <w:tc>
          <w:tcPr>
            <w:tcW w:w="1086" w:type="dxa"/>
            <w:shd w:val="clear" w:color="auto" w:fill="auto"/>
            <w:vAlign w:val="center"/>
            <w:hideMark/>
          </w:tcPr>
          <w:p w:rsidR="00924A0A" w:rsidRPr="00242122" w:rsidRDefault="00924A0A" w:rsidP="00B8293F">
            <w:pPr>
              <w:spacing w:after="0" w:line="240" w:lineRule="auto"/>
              <w:jc w:val="center"/>
              <w:rPr>
                <w:rFonts w:ascii="Arial" w:eastAsia="Times New Roman" w:hAnsi="Arial" w:cs="Arial"/>
                <w:b/>
                <w:bCs/>
                <w:sz w:val="18"/>
                <w:szCs w:val="18"/>
                <w:lang w:eastAsia="ro-RO"/>
              </w:rPr>
            </w:pPr>
            <w:r w:rsidRPr="00242122">
              <w:rPr>
                <w:rFonts w:ascii="Arial" w:eastAsia="Times New Roman" w:hAnsi="Arial" w:cs="Arial"/>
                <w:b/>
                <w:bCs/>
                <w:sz w:val="18"/>
                <w:szCs w:val="18"/>
                <w:lang w:eastAsia="ro-RO"/>
              </w:rPr>
              <w:t>Metale prioritare (nr.)</w:t>
            </w:r>
          </w:p>
        </w:tc>
        <w:tc>
          <w:tcPr>
            <w:tcW w:w="1424" w:type="dxa"/>
            <w:shd w:val="clear" w:color="auto" w:fill="auto"/>
            <w:vAlign w:val="center"/>
            <w:hideMark/>
          </w:tcPr>
          <w:p w:rsidR="00924A0A" w:rsidRPr="00242122" w:rsidRDefault="00924A0A" w:rsidP="00B8293F">
            <w:pPr>
              <w:spacing w:after="0" w:line="240" w:lineRule="auto"/>
              <w:jc w:val="center"/>
              <w:rPr>
                <w:rFonts w:ascii="Arial" w:eastAsia="Times New Roman" w:hAnsi="Arial" w:cs="Arial"/>
                <w:b/>
                <w:bCs/>
                <w:sz w:val="18"/>
                <w:szCs w:val="18"/>
                <w:lang w:eastAsia="ro-RO"/>
              </w:rPr>
            </w:pPr>
            <w:r w:rsidRPr="00242122">
              <w:rPr>
                <w:rFonts w:ascii="Arial" w:eastAsia="Times New Roman" w:hAnsi="Arial" w:cs="Arial"/>
                <w:b/>
                <w:bCs/>
                <w:sz w:val="18"/>
                <w:szCs w:val="18"/>
                <w:lang w:eastAsia="ro-RO"/>
              </w:rPr>
              <w:t>Micropoluanţi organici (nr.)</w:t>
            </w:r>
          </w:p>
        </w:tc>
      </w:tr>
      <w:tr w:rsidR="00924A0A" w:rsidRPr="00242122" w:rsidTr="00B8293F">
        <w:trPr>
          <w:trHeight w:val="279"/>
        </w:trPr>
        <w:tc>
          <w:tcPr>
            <w:tcW w:w="1260" w:type="dxa"/>
            <w:shd w:val="clear" w:color="auto" w:fill="auto"/>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Someș-Tisa</w:t>
            </w:r>
          </w:p>
        </w:tc>
        <w:tc>
          <w:tcPr>
            <w:tcW w:w="1394"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4482,67</w:t>
            </w:r>
          </w:p>
        </w:tc>
        <w:tc>
          <w:tcPr>
            <w:tcW w:w="1491"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127</w:t>
            </w:r>
          </w:p>
        </w:tc>
        <w:tc>
          <w:tcPr>
            <w:tcW w:w="1223"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3</w:t>
            </w:r>
          </w:p>
        </w:tc>
        <w:tc>
          <w:tcPr>
            <w:tcW w:w="1456"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26</w:t>
            </w:r>
          </w:p>
        </w:tc>
        <w:tc>
          <w:tcPr>
            <w:tcW w:w="1086"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w:t>
            </w:r>
          </w:p>
        </w:tc>
        <w:tc>
          <w:tcPr>
            <w:tcW w:w="1424"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5</w:t>
            </w:r>
          </w:p>
        </w:tc>
      </w:tr>
      <w:tr w:rsidR="00924A0A" w:rsidRPr="00242122" w:rsidTr="00B8293F">
        <w:trPr>
          <w:trHeight w:val="279"/>
        </w:trPr>
        <w:tc>
          <w:tcPr>
            <w:tcW w:w="1260"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lastRenderedPageBreak/>
              <w:t>Crișuri</w:t>
            </w:r>
          </w:p>
        </w:tc>
        <w:tc>
          <w:tcPr>
            <w:tcW w:w="1394"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1503,35</w:t>
            </w:r>
          </w:p>
        </w:tc>
        <w:tc>
          <w:tcPr>
            <w:tcW w:w="1491"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60</w:t>
            </w:r>
          </w:p>
        </w:tc>
        <w:tc>
          <w:tcPr>
            <w:tcW w:w="1223"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3</w:t>
            </w:r>
          </w:p>
        </w:tc>
        <w:tc>
          <w:tcPr>
            <w:tcW w:w="1456"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28</w:t>
            </w:r>
          </w:p>
        </w:tc>
        <w:tc>
          <w:tcPr>
            <w:tcW w:w="1086"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0</w:t>
            </w:r>
          </w:p>
        </w:tc>
        <w:tc>
          <w:tcPr>
            <w:tcW w:w="1424"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2</w:t>
            </w:r>
          </w:p>
        </w:tc>
      </w:tr>
      <w:tr w:rsidR="00924A0A" w:rsidRPr="00242122" w:rsidTr="00B8293F">
        <w:trPr>
          <w:trHeight w:val="279"/>
        </w:trPr>
        <w:tc>
          <w:tcPr>
            <w:tcW w:w="1260"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Mureș</w:t>
            </w:r>
          </w:p>
        </w:tc>
        <w:tc>
          <w:tcPr>
            <w:tcW w:w="1394"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2793,64</w:t>
            </w:r>
          </w:p>
        </w:tc>
        <w:tc>
          <w:tcPr>
            <w:tcW w:w="1491"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68</w:t>
            </w:r>
          </w:p>
        </w:tc>
        <w:tc>
          <w:tcPr>
            <w:tcW w:w="1223"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3</w:t>
            </w:r>
          </w:p>
        </w:tc>
        <w:tc>
          <w:tcPr>
            <w:tcW w:w="1456"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28</w:t>
            </w:r>
          </w:p>
        </w:tc>
        <w:tc>
          <w:tcPr>
            <w:tcW w:w="1086"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w:t>
            </w:r>
          </w:p>
        </w:tc>
        <w:tc>
          <w:tcPr>
            <w:tcW w:w="1424"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5</w:t>
            </w:r>
          </w:p>
        </w:tc>
      </w:tr>
      <w:tr w:rsidR="00924A0A" w:rsidRPr="00242122" w:rsidTr="00B8293F">
        <w:trPr>
          <w:trHeight w:val="279"/>
        </w:trPr>
        <w:tc>
          <w:tcPr>
            <w:tcW w:w="1260"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Banat</w:t>
            </w:r>
          </w:p>
        </w:tc>
        <w:tc>
          <w:tcPr>
            <w:tcW w:w="1394"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2059,57</w:t>
            </w:r>
          </w:p>
        </w:tc>
        <w:tc>
          <w:tcPr>
            <w:tcW w:w="1491"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39</w:t>
            </w:r>
          </w:p>
        </w:tc>
        <w:tc>
          <w:tcPr>
            <w:tcW w:w="1223"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3</w:t>
            </w:r>
          </w:p>
        </w:tc>
        <w:tc>
          <w:tcPr>
            <w:tcW w:w="1456"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12</w:t>
            </w:r>
          </w:p>
        </w:tc>
        <w:tc>
          <w:tcPr>
            <w:tcW w:w="1086"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w:t>
            </w:r>
          </w:p>
        </w:tc>
        <w:tc>
          <w:tcPr>
            <w:tcW w:w="1424"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7</w:t>
            </w:r>
          </w:p>
        </w:tc>
      </w:tr>
      <w:tr w:rsidR="00924A0A" w:rsidRPr="00242122" w:rsidTr="00B8293F">
        <w:trPr>
          <w:trHeight w:val="279"/>
        </w:trPr>
        <w:tc>
          <w:tcPr>
            <w:tcW w:w="1260"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Jiu</w:t>
            </w:r>
          </w:p>
        </w:tc>
        <w:tc>
          <w:tcPr>
            <w:tcW w:w="1394"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2048,60</w:t>
            </w:r>
          </w:p>
        </w:tc>
        <w:tc>
          <w:tcPr>
            <w:tcW w:w="1491"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49</w:t>
            </w:r>
          </w:p>
        </w:tc>
        <w:tc>
          <w:tcPr>
            <w:tcW w:w="1223"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3</w:t>
            </w:r>
          </w:p>
        </w:tc>
        <w:tc>
          <w:tcPr>
            <w:tcW w:w="1456"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15</w:t>
            </w:r>
          </w:p>
        </w:tc>
        <w:tc>
          <w:tcPr>
            <w:tcW w:w="1086"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w:t>
            </w:r>
          </w:p>
        </w:tc>
        <w:tc>
          <w:tcPr>
            <w:tcW w:w="1424"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7</w:t>
            </w:r>
          </w:p>
        </w:tc>
      </w:tr>
      <w:tr w:rsidR="00924A0A" w:rsidRPr="00242122" w:rsidTr="00B8293F">
        <w:trPr>
          <w:trHeight w:val="279"/>
        </w:trPr>
        <w:tc>
          <w:tcPr>
            <w:tcW w:w="1260"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Olt</w:t>
            </w:r>
          </w:p>
        </w:tc>
        <w:tc>
          <w:tcPr>
            <w:tcW w:w="1394"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1456,00</w:t>
            </w:r>
          </w:p>
        </w:tc>
        <w:tc>
          <w:tcPr>
            <w:tcW w:w="1491"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65</w:t>
            </w:r>
          </w:p>
        </w:tc>
        <w:tc>
          <w:tcPr>
            <w:tcW w:w="1223"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3</w:t>
            </w:r>
          </w:p>
        </w:tc>
        <w:tc>
          <w:tcPr>
            <w:tcW w:w="1456"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21</w:t>
            </w:r>
          </w:p>
        </w:tc>
        <w:tc>
          <w:tcPr>
            <w:tcW w:w="1086"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0</w:t>
            </w:r>
          </w:p>
        </w:tc>
        <w:tc>
          <w:tcPr>
            <w:tcW w:w="1424"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0</w:t>
            </w:r>
          </w:p>
        </w:tc>
      </w:tr>
      <w:tr w:rsidR="00924A0A" w:rsidRPr="00242122" w:rsidTr="00B8293F">
        <w:trPr>
          <w:trHeight w:val="279"/>
        </w:trPr>
        <w:tc>
          <w:tcPr>
            <w:tcW w:w="1260"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Argeș-Vedea</w:t>
            </w:r>
          </w:p>
        </w:tc>
        <w:tc>
          <w:tcPr>
            <w:tcW w:w="1394"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531,32</w:t>
            </w:r>
          </w:p>
        </w:tc>
        <w:tc>
          <w:tcPr>
            <w:tcW w:w="1491"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18</w:t>
            </w:r>
          </w:p>
        </w:tc>
        <w:tc>
          <w:tcPr>
            <w:tcW w:w="1223"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3</w:t>
            </w:r>
          </w:p>
        </w:tc>
        <w:tc>
          <w:tcPr>
            <w:tcW w:w="1456"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30</w:t>
            </w:r>
          </w:p>
        </w:tc>
        <w:tc>
          <w:tcPr>
            <w:tcW w:w="1086"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w:t>
            </w:r>
          </w:p>
        </w:tc>
        <w:tc>
          <w:tcPr>
            <w:tcW w:w="1424"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7</w:t>
            </w:r>
          </w:p>
        </w:tc>
      </w:tr>
      <w:tr w:rsidR="00924A0A" w:rsidRPr="00242122" w:rsidTr="00B8293F">
        <w:trPr>
          <w:trHeight w:val="279"/>
        </w:trPr>
        <w:tc>
          <w:tcPr>
            <w:tcW w:w="1260"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Buzău-Ialomița</w:t>
            </w:r>
          </w:p>
        </w:tc>
        <w:tc>
          <w:tcPr>
            <w:tcW w:w="1394"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1134,00</w:t>
            </w:r>
          </w:p>
        </w:tc>
        <w:tc>
          <w:tcPr>
            <w:tcW w:w="1491"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52</w:t>
            </w:r>
          </w:p>
        </w:tc>
        <w:tc>
          <w:tcPr>
            <w:tcW w:w="1223"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3</w:t>
            </w:r>
          </w:p>
        </w:tc>
        <w:tc>
          <w:tcPr>
            <w:tcW w:w="1456"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28</w:t>
            </w:r>
          </w:p>
        </w:tc>
        <w:tc>
          <w:tcPr>
            <w:tcW w:w="1086"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w:t>
            </w:r>
          </w:p>
        </w:tc>
        <w:tc>
          <w:tcPr>
            <w:tcW w:w="1424"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7</w:t>
            </w:r>
          </w:p>
        </w:tc>
      </w:tr>
      <w:tr w:rsidR="00924A0A" w:rsidRPr="00242122" w:rsidTr="00B8293F">
        <w:trPr>
          <w:trHeight w:val="279"/>
        </w:trPr>
        <w:tc>
          <w:tcPr>
            <w:tcW w:w="1260"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Siret</w:t>
            </w:r>
          </w:p>
        </w:tc>
        <w:tc>
          <w:tcPr>
            <w:tcW w:w="1394"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1941,64</w:t>
            </w:r>
          </w:p>
        </w:tc>
        <w:tc>
          <w:tcPr>
            <w:tcW w:w="1491"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29</w:t>
            </w:r>
          </w:p>
        </w:tc>
        <w:tc>
          <w:tcPr>
            <w:tcW w:w="1223"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3</w:t>
            </w:r>
          </w:p>
        </w:tc>
        <w:tc>
          <w:tcPr>
            <w:tcW w:w="1456"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25</w:t>
            </w:r>
          </w:p>
        </w:tc>
        <w:tc>
          <w:tcPr>
            <w:tcW w:w="1086"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w:t>
            </w:r>
          </w:p>
        </w:tc>
        <w:tc>
          <w:tcPr>
            <w:tcW w:w="1424"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7</w:t>
            </w:r>
          </w:p>
        </w:tc>
      </w:tr>
      <w:tr w:rsidR="00924A0A" w:rsidRPr="00242122" w:rsidTr="00B8293F">
        <w:trPr>
          <w:trHeight w:val="279"/>
        </w:trPr>
        <w:tc>
          <w:tcPr>
            <w:tcW w:w="1260"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Prut- Bârlad</w:t>
            </w:r>
          </w:p>
        </w:tc>
        <w:tc>
          <w:tcPr>
            <w:tcW w:w="1394"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2453,98</w:t>
            </w:r>
          </w:p>
        </w:tc>
        <w:tc>
          <w:tcPr>
            <w:tcW w:w="1491"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55</w:t>
            </w:r>
          </w:p>
        </w:tc>
        <w:tc>
          <w:tcPr>
            <w:tcW w:w="1223"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3</w:t>
            </w:r>
          </w:p>
        </w:tc>
        <w:tc>
          <w:tcPr>
            <w:tcW w:w="1456"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26</w:t>
            </w:r>
          </w:p>
        </w:tc>
        <w:tc>
          <w:tcPr>
            <w:tcW w:w="1086"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w:t>
            </w:r>
          </w:p>
        </w:tc>
        <w:tc>
          <w:tcPr>
            <w:tcW w:w="1424"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7</w:t>
            </w:r>
          </w:p>
        </w:tc>
      </w:tr>
      <w:tr w:rsidR="00924A0A" w:rsidRPr="00242122" w:rsidTr="00B8293F">
        <w:trPr>
          <w:trHeight w:val="279"/>
        </w:trPr>
        <w:tc>
          <w:tcPr>
            <w:tcW w:w="1260"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Dobrogea-Litoral</w:t>
            </w:r>
          </w:p>
        </w:tc>
        <w:tc>
          <w:tcPr>
            <w:tcW w:w="1394"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1485,94</w:t>
            </w:r>
          </w:p>
        </w:tc>
        <w:tc>
          <w:tcPr>
            <w:tcW w:w="1491"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61</w:t>
            </w:r>
          </w:p>
        </w:tc>
        <w:tc>
          <w:tcPr>
            <w:tcW w:w="1223"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3</w:t>
            </w:r>
          </w:p>
        </w:tc>
        <w:tc>
          <w:tcPr>
            <w:tcW w:w="1456"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25</w:t>
            </w:r>
          </w:p>
        </w:tc>
        <w:tc>
          <w:tcPr>
            <w:tcW w:w="1086"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0</w:t>
            </w:r>
          </w:p>
        </w:tc>
        <w:tc>
          <w:tcPr>
            <w:tcW w:w="1424" w:type="dxa"/>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18"/>
                <w:szCs w:val="18"/>
                <w:lang w:eastAsia="ro-RO"/>
              </w:rPr>
            </w:pPr>
            <w:r w:rsidRPr="00242122">
              <w:rPr>
                <w:rFonts w:ascii="Arial" w:eastAsia="Times New Roman" w:hAnsi="Arial" w:cs="Arial"/>
                <w:sz w:val="18"/>
                <w:szCs w:val="18"/>
                <w:lang w:eastAsia="ro-RO"/>
              </w:rPr>
              <w:t>0</w:t>
            </w:r>
          </w:p>
        </w:tc>
      </w:tr>
      <w:tr w:rsidR="00924A0A" w:rsidRPr="00242122" w:rsidTr="00B8293F">
        <w:trPr>
          <w:trHeight w:val="279"/>
        </w:trPr>
        <w:tc>
          <w:tcPr>
            <w:tcW w:w="1260" w:type="dxa"/>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 w:val="18"/>
                <w:szCs w:val="18"/>
                <w:lang w:eastAsia="ro-RO"/>
              </w:rPr>
            </w:pPr>
            <w:r w:rsidRPr="00242122">
              <w:rPr>
                <w:rFonts w:ascii="Arial" w:eastAsia="Times New Roman" w:hAnsi="Arial" w:cs="Arial"/>
                <w:b/>
                <w:bCs/>
                <w:sz w:val="18"/>
                <w:szCs w:val="18"/>
                <w:lang w:eastAsia="ro-RO"/>
              </w:rPr>
              <w:t>Total</w:t>
            </w:r>
          </w:p>
        </w:tc>
        <w:tc>
          <w:tcPr>
            <w:tcW w:w="1394" w:type="dxa"/>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 w:val="18"/>
                <w:szCs w:val="18"/>
                <w:lang w:eastAsia="ro-RO"/>
              </w:rPr>
            </w:pPr>
            <w:r w:rsidRPr="00242122">
              <w:rPr>
                <w:rFonts w:ascii="Arial" w:eastAsia="Times New Roman" w:hAnsi="Arial" w:cs="Arial"/>
                <w:b/>
                <w:bCs/>
                <w:sz w:val="18"/>
                <w:szCs w:val="18"/>
                <w:lang w:eastAsia="ro-RO"/>
              </w:rPr>
              <w:t>21890,72</w:t>
            </w:r>
          </w:p>
        </w:tc>
        <w:tc>
          <w:tcPr>
            <w:tcW w:w="1491" w:type="dxa"/>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 w:val="18"/>
                <w:szCs w:val="18"/>
                <w:lang w:eastAsia="ro-RO"/>
              </w:rPr>
            </w:pPr>
            <w:r w:rsidRPr="00242122">
              <w:rPr>
                <w:rFonts w:ascii="Arial" w:eastAsia="Times New Roman" w:hAnsi="Arial" w:cs="Arial"/>
                <w:b/>
                <w:bCs/>
                <w:sz w:val="18"/>
                <w:szCs w:val="18"/>
                <w:lang w:eastAsia="ro-RO"/>
              </w:rPr>
              <w:t>623</w:t>
            </w:r>
          </w:p>
        </w:tc>
        <w:tc>
          <w:tcPr>
            <w:tcW w:w="1223" w:type="dxa"/>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 w:val="18"/>
                <w:szCs w:val="18"/>
                <w:lang w:eastAsia="ro-RO"/>
              </w:rPr>
            </w:pPr>
            <w:r w:rsidRPr="00242122">
              <w:rPr>
                <w:rFonts w:ascii="Arial" w:eastAsia="Times New Roman" w:hAnsi="Arial" w:cs="Arial"/>
                <w:b/>
                <w:bCs/>
                <w:sz w:val="18"/>
                <w:szCs w:val="18"/>
                <w:lang w:eastAsia="ro-RO"/>
              </w:rPr>
              <w:t>3</w:t>
            </w:r>
          </w:p>
        </w:tc>
        <w:tc>
          <w:tcPr>
            <w:tcW w:w="1456" w:type="dxa"/>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 w:val="18"/>
                <w:szCs w:val="18"/>
                <w:lang w:eastAsia="ro-RO"/>
              </w:rPr>
            </w:pPr>
            <w:r w:rsidRPr="00242122">
              <w:rPr>
                <w:rFonts w:ascii="Arial" w:eastAsia="Times New Roman" w:hAnsi="Arial" w:cs="Arial"/>
                <w:b/>
                <w:bCs/>
                <w:sz w:val="18"/>
                <w:szCs w:val="18"/>
                <w:lang w:eastAsia="ro-RO"/>
              </w:rPr>
              <w:t>30</w:t>
            </w:r>
          </w:p>
        </w:tc>
        <w:tc>
          <w:tcPr>
            <w:tcW w:w="1086" w:type="dxa"/>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 w:val="18"/>
                <w:szCs w:val="18"/>
                <w:lang w:eastAsia="ro-RO"/>
              </w:rPr>
            </w:pPr>
            <w:r w:rsidRPr="00242122">
              <w:rPr>
                <w:rFonts w:ascii="Arial" w:eastAsia="Times New Roman" w:hAnsi="Arial" w:cs="Arial"/>
                <w:b/>
                <w:bCs/>
                <w:sz w:val="18"/>
                <w:szCs w:val="18"/>
                <w:lang w:eastAsia="ro-RO"/>
              </w:rPr>
              <w:t>1</w:t>
            </w:r>
          </w:p>
        </w:tc>
        <w:tc>
          <w:tcPr>
            <w:tcW w:w="1424" w:type="dxa"/>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 w:val="18"/>
                <w:szCs w:val="18"/>
                <w:lang w:eastAsia="ro-RO"/>
              </w:rPr>
            </w:pPr>
            <w:r w:rsidRPr="00242122">
              <w:rPr>
                <w:rFonts w:ascii="Arial" w:eastAsia="Times New Roman" w:hAnsi="Arial" w:cs="Arial"/>
                <w:b/>
                <w:bCs/>
                <w:sz w:val="18"/>
                <w:szCs w:val="18"/>
                <w:lang w:eastAsia="ro-RO"/>
              </w:rPr>
              <w:t>7</w:t>
            </w:r>
          </w:p>
        </w:tc>
      </w:tr>
    </w:tbl>
    <w:p w:rsidR="00924A0A" w:rsidRPr="00242122" w:rsidRDefault="00924A0A" w:rsidP="00924A0A">
      <w:pPr>
        <w:spacing w:after="0" w:line="240" w:lineRule="auto"/>
        <w:jc w:val="both"/>
        <w:rPr>
          <w:rFonts w:ascii="Arial" w:hAnsi="Arial" w:cs="Arial"/>
          <w:b/>
          <w:i/>
          <w:color w:val="FF0000"/>
          <w:sz w:val="20"/>
          <w:szCs w:val="20"/>
          <w:u w:val="single"/>
        </w:rPr>
      </w:pPr>
    </w:p>
    <w:p w:rsidR="00924A0A" w:rsidRPr="00242122" w:rsidRDefault="00924A0A" w:rsidP="00924A0A">
      <w:pPr>
        <w:spacing w:after="0" w:line="240" w:lineRule="auto"/>
        <w:jc w:val="both"/>
        <w:rPr>
          <w:rFonts w:ascii="Arial" w:hAnsi="Arial" w:cs="Arial"/>
          <w:b/>
          <w:i/>
          <w:sz w:val="20"/>
          <w:szCs w:val="20"/>
          <w:u w:val="single"/>
        </w:rPr>
      </w:pPr>
      <w:r w:rsidRPr="00242122">
        <w:rPr>
          <w:rFonts w:ascii="Arial" w:hAnsi="Arial" w:cs="Arial"/>
          <w:b/>
          <w:i/>
          <w:sz w:val="20"/>
          <w:szCs w:val="16"/>
        </w:rPr>
        <w:t xml:space="preserve">Tabelul II.2.1.1.1 Substanțe prioritare monitorizate în cursurile de apă pe spații / bazine hidrografice în anul 2021 (nr.) – </w:t>
      </w:r>
      <w:r w:rsidRPr="00242122">
        <w:rPr>
          <w:rFonts w:ascii="Arial" w:hAnsi="Arial" w:cs="Arial"/>
          <w:b/>
          <w:i/>
          <w:sz w:val="20"/>
          <w:szCs w:val="20"/>
          <w:u w:val="single"/>
        </w:rPr>
        <w:t>mediul de investigare APĂ şi mediul de investigare BIOTA</w:t>
      </w:r>
    </w:p>
    <w:p w:rsidR="00924A0A" w:rsidRPr="00242122" w:rsidRDefault="00924A0A" w:rsidP="00924A0A">
      <w:pPr>
        <w:spacing w:after="0"/>
        <w:ind w:left="900" w:hanging="900"/>
        <w:jc w:val="both"/>
        <w:rPr>
          <w:rFonts w:ascii="Arial" w:hAnsi="Arial" w:cs="Arial"/>
          <w:i/>
          <w:iCs/>
          <w:color w:val="000000"/>
          <w:sz w:val="20"/>
          <w:szCs w:val="20"/>
          <w:lang w:eastAsia="ro-RO"/>
        </w:rPr>
      </w:pPr>
      <w:r w:rsidRPr="00242122">
        <w:rPr>
          <w:rFonts w:ascii="Arial" w:hAnsi="Arial" w:cs="Arial"/>
          <w:i/>
          <w:iCs/>
          <w:color w:val="000000"/>
          <w:sz w:val="20"/>
          <w:szCs w:val="20"/>
          <w:lang w:eastAsia="ro-RO"/>
        </w:rPr>
        <w:t>(Sursa: Administraţia Naţională “Apele Române”, Sinteza calităţii apelor din România în anul 2021)</w:t>
      </w:r>
    </w:p>
    <w:p w:rsidR="00924A0A" w:rsidRPr="00242122" w:rsidRDefault="00924A0A" w:rsidP="00924A0A">
      <w:pPr>
        <w:spacing w:after="0" w:line="240" w:lineRule="auto"/>
        <w:jc w:val="both"/>
        <w:rPr>
          <w:rFonts w:ascii="Arial" w:hAnsi="Arial" w:cs="Arial"/>
          <w:b/>
          <w:i/>
          <w:color w:val="FF0000"/>
          <w:sz w:val="20"/>
          <w:szCs w:val="20"/>
          <w:u w:val="single"/>
        </w:rPr>
      </w:pPr>
    </w:p>
    <w:p w:rsidR="00924A0A" w:rsidRPr="00242122" w:rsidRDefault="00924A0A" w:rsidP="00924A0A">
      <w:pPr>
        <w:spacing w:after="0" w:line="240" w:lineRule="auto"/>
        <w:jc w:val="both"/>
        <w:rPr>
          <w:rFonts w:ascii="Arial" w:hAnsi="Arial" w:cs="Arial"/>
          <w:b/>
          <w:i/>
          <w:color w:val="FF0000"/>
          <w:sz w:val="20"/>
          <w:szCs w:val="20"/>
          <w:u w:val="single"/>
        </w:rPr>
      </w:pPr>
    </w:p>
    <w:p w:rsidR="00924A0A" w:rsidRPr="00242122" w:rsidRDefault="00924A0A" w:rsidP="00924A0A">
      <w:pPr>
        <w:spacing w:after="0" w:line="240" w:lineRule="auto"/>
        <w:jc w:val="both"/>
        <w:rPr>
          <w:rFonts w:ascii="Arial" w:hAnsi="Arial" w:cs="Arial"/>
          <w:b/>
          <w:i/>
          <w:color w:val="FF0000"/>
          <w:sz w:val="20"/>
          <w:szCs w:val="20"/>
          <w:u w:val="single"/>
        </w:rPr>
      </w:pPr>
    </w:p>
    <w:p w:rsidR="00924A0A" w:rsidRPr="00242122" w:rsidRDefault="00924A0A" w:rsidP="00924A0A">
      <w:pPr>
        <w:spacing w:after="0" w:line="240" w:lineRule="auto"/>
        <w:jc w:val="both"/>
        <w:rPr>
          <w:rFonts w:ascii="Arial" w:hAnsi="Arial" w:cs="Arial"/>
          <w:b/>
          <w:i/>
          <w:color w:val="FF0000"/>
          <w:sz w:val="20"/>
          <w:szCs w:val="20"/>
          <w:u w:val="single"/>
        </w:rPr>
      </w:pPr>
    </w:p>
    <w:p w:rsidR="00924A0A" w:rsidRPr="00242122" w:rsidRDefault="00924A0A" w:rsidP="00924A0A">
      <w:pPr>
        <w:spacing w:after="0" w:line="240" w:lineRule="auto"/>
        <w:jc w:val="both"/>
        <w:rPr>
          <w:rFonts w:ascii="Arial" w:hAnsi="Arial" w:cs="Arial"/>
          <w:b/>
          <w:i/>
          <w:color w:val="FF0000"/>
          <w:sz w:val="20"/>
          <w:szCs w:val="20"/>
          <w:u w:val="single"/>
        </w:rPr>
      </w:pPr>
    </w:p>
    <w:p w:rsidR="00924A0A" w:rsidRPr="00242122" w:rsidRDefault="00924A0A" w:rsidP="00924A0A">
      <w:pPr>
        <w:spacing w:after="0" w:line="240" w:lineRule="auto"/>
        <w:jc w:val="both"/>
        <w:rPr>
          <w:rFonts w:ascii="Arial" w:hAnsi="Arial" w:cs="Arial"/>
          <w:b/>
          <w:i/>
          <w:color w:val="FF0000"/>
          <w:sz w:val="20"/>
          <w:szCs w:val="20"/>
          <w:u w:val="single"/>
        </w:rPr>
      </w:pPr>
    </w:p>
    <w:p w:rsidR="00924A0A" w:rsidRPr="00242122" w:rsidRDefault="00924A0A" w:rsidP="00924A0A">
      <w:pPr>
        <w:spacing w:after="0" w:line="240" w:lineRule="auto"/>
        <w:jc w:val="both"/>
        <w:rPr>
          <w:rFonts w:ascii="Arial" w:hAnsi="Arial" w:cs="Arial"/>
          <w:b/>
          <w:i/>
          <w:color w:val="FF0000"/>
          <w:sz w:val="20"/>
          <w:szCs w:val="20"/>
          <w:u w:val="single"/>
        </w:rPr>
      </w:pPr>
    </w:p>
    <w:p w:rsidR="00924A0A" w:rsidRPr="00242122" w:rsidRDefault="00924A0A" w:rsidP="00924A0A">
      <w:pPr>
        <w:spacing w:after="0" w:line="240" w:lineRule="auto"/>
        <w:jc w:val="both"/>
        <w:rPr>
          <w:rFonts w:ascii="Arial" w:hAnsi="Arial" w:cs="Arial"/>
          <w:b/>
          <w:i/>
          <w:color w:val="FF0000"/>
          <w:sz w:val="20"/>
          <w:szCs w:val="20"/>
          <w:u w:val="single"/>
        </w:rPr>
      </w:pPr>
    </w:p>
    <w:p w:rsidR="00924A0A" w:rsidRPr="00242122" w:rsidRDefault="00924A0A" w:rsidP="00924A0A">
      <w:pPr>
        <w:spacing w:after="0" w:line="240" w:lineRule="auto"/>
        <w:jc w:val="both"/>
        <w:rPr>
          <w:rFonts w:ascii="Arial" w:hAnsi="Arial" w:cs="Arial"/>
          <w:b/>
          <w:i/>
          <w:color w:val="FF0000"/>
          <w:sz w:val="20"/>
          <w:szCs w:val="20"/>
          <w:u w:val="single"/>
        </w:rPr>
      </w:pPr>
    </w:p>
    <w:p w:rsidR="00924A0A" w:rsidRPr="00242122" w:rsidRDefault="00924A0A" w:rsidP="00924A0A">
      <w:pPr>
        <w:spacing w:after="0" w:line="240" w:lineRule="auto"/>
        <w:jc w:val="both"/>
        <w:rPr>
          <w:rFonts w:ascii="Arial" w:hAnsi="Arial" w:cs="Arial"/>
          <w:b/>
          <w:i/>
          <w:color w:val="FF0000"/>
          <w:sz w:val="20"/>
          <w:szCs w:val="20"/>
          <w:u w:val="single"/>
        </w:rPr>
      </w:pPr>
    </w:p>
    <w:p w:rsidR="00924A0A" w:rsidRPr="00242122" w:rsidRDefault="00924A0A" w:rsidP="00924A0A">
      <w:pPr>
        <w:spacing w:after="0" w:line="240" w:lineRule="auto"/>
        <w:jc w:val="both"/>
        <w:rPr>
          <w:rFonts w:ascii="Arial" w:hAnsi="Arial" w:cs="Arial"/>
          <w:b/>
          <w:i/>
          <w:color w:val="FF0000"/>
          <w:sz w:val="20"/>
          <w:szCs w:val="20"/>
          <w:u w:val="single"/>
        </w:rPr>
      </w:pPr>
    </w:p>
    <w:p w:rsidR="00924A0A" w:rsidRPr="00242122" w:rsidRDefault="00924A0A" w:rsidP="00924A0A">
      <w:pPr>
        <w:spacing w:after="0" w:line="240" w:lineRule="auto"/>
        <w:jc w:val="both"/>
        <w:rPr>
          <w:rFonts w:ascii="Arial" w:hAnsi="Arial" w:cs="Arial"/>
          <w:b/>
          <w:i/>
          <w:color w:val="FF0000"/>
          <w:sz w:val="20"/>
          <w:szCs w:val="20"/>
          <w:u w:val="single"/>
        </w:rPr>
      </w:pPr>
    </w:p>
    <w:p w:rsidR="00924A0A" w:rsidRPr="00242122" w:rsidRDefault="00924A0A" w:rsidP="00924A0A">
      <w:pPr>
        <w:spacing w:after="0" w:line="240" w:lineRule="auto"/>
        <w:jc w:val="both"/>
        <w:rPr>
          <w:rFonts w:ascii="Arial" w:hAnsi="Arial" w:cs="Arial"/>
          <w:b/>
          <w:i/>
          <w:color w:val="FF0000"/>
          <w:sz w:val="20"/>
          <w:szCs w:val="20"/>
          <w:u w:val="single"/>
        </w:rPr>
      </w:pPr>
    </w:p>
    <w:p w:rsidR="00924A0A" w:rsidRPr="00242122" w:rsidRDefault="00924A0A" w:rsidP="00924A0A">
      <w:pPr>
        <w:spacing w:after="0" w:line="240" w:lineRule="auto"/>
        <w:jc w:val="both"/>
        <w:rPr>
          <w:rFonts w:ascii="Arial" w:hAnsi="Arial" w:cs="Arial"/>
          <w:b/>
          <w:i/>
          <w:color w:val="FF0000"/>
          <w:sz w:val="20"/>
          <w:szCs w:val="20"/>
        </w:rPr>
      </w:pPr>
      <w:r w:rsidRPr="00242122">
        <w:rPr>
          <w:rFonts w:ascii="Arial" w:hAnsi="Arial" w:cs="Arial"/>
          <w:b/>
          <w:i/>
          <w:color w:val="FF0000"/>
          <w:sz w:val="20"/>
          <w:szCs w:val="20"/>
        </w:rPr>
        <w:br w:type="textWrapping" w:clear="all"/>
      </w:r>
      <w:r w:rsidRPr="00242122">
        <w:rPr>
          <w:rFonts w:ascii="Arial" w:hAnsi="Arial" w:cs="Arial"/>
          <w:noProof/>
          <w:lang w:eastAsia="ro-RO"/>
        </w:rPr>
        <w:drawing>
          <wp:inline distT="0" distB="0" distL="0" distR="0" wp14:anchorId="776A407B" wp14:editId="4238A79E">
            <wp:extent cx="6230318" cy="3208655"/>
            <wp:effectExtent l="0" t="0" r="18415" b="10795"/>
            <wp:docPr id="7" name="Chart 7">
              <a:extLst xmlns:a="http://schemas.openxmlformats.org/drawingml/2006/main">
                <a:ext uri="{FF2B5EF4-FFF2-40B4-BE49-F238E27FC236}">
                  <a16:creationId xmlns:a16="http://schemas.microsoft.com/office/drawing/2014/main" id="{D6ED11ED-3D0F-493A-9D9F-CBC0379CF6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924A0A" w:rsidRPr="00242122" w:rsidRDefault="00924A0A" w:rsidP="00924A0A">
      <w:pPr>
        <w:spacing w:after="0" w:line="240" w:lineRule="auto"/>
        <w:jc w:val="both"/>
        <w:rPr>
          <w:rFonts w:ascii="Arial" w:hAnsi="Arial" w:cs="Arial"/>
          <w:b/>
          <w:i/>
          <w:sz w:val="20"/>
          <w:szCs w:val="16"/>
          <w:u w:val="single"/>
        </w:rPr>
      </w:pPr>
      <w:r w:rsidRPr="00242122">
        <w:rPr>
          <w:rFonts w:ascii="Arial" w:hAnsi="Arial" w:cs="Arial"/>
          <w:b/>
          <w:i/>
          <w:sz w:val="20"/>
          <w:szCs w:val="16"/>
        </w:rPr>
        <w:t xml:space="preserve">Figura II.2.1.1.1 Substanțe prioritare monitorizate în cursurile de apă pe spații /bazine hidrografice în anul 2021 (nr.) – </w:t>
      </w:r>
      <w:r w:rsidRPr="00242122">
        <w:rPr>
          <w:rFonts w:ascii="Arial" w:hAnsi="Arial" w:cs="Arial"/>
          <w:b/>
          <w:i/>
          <w:sz w:val="20"/>
          <w:szCs w:val="16"/>
          <w:u w:val="single"/>
        </w:rPr>
        <w:t>mediul de investigare APĂ</w:t>
      </w:r>
    </w:p>
    <w:p w:rsidR="00924A0A" w:rsidRPr="00242122" w:rsidRDefault="00924A0A" w:rsidP="00924A0A">
      <w:pPr>
        <w:spacing w:after="0"/>
        <w:ind w:left="900" w:hanging="900"/>
        <w:jc w:val="both"/>
        <w:rPr>
          <w:rFonts w:ascii="Arial" w:hAnsi="Arial" w:cs="Arial"/>
          <w:i/>
          <w:iCs/>
          <w:color w:val="000000"/>
          <w:sz w:val="20"/>
          <w:szCs w:val="20"/>
          <w:lang w:eastAsia="ro-RO"/>
        </w:rPr>
      </w:pPr>
      <w:r w:rsidRPr="00242122">
        <w:rPr>
          <w:rFonts w:ascii="Arial" w:hAnsi="Arial" w:cs="Arial"/>
          <w:i/>
          <w:iCs/>
          <w:color w:val="000000"/>
          <w:sz w:val="20"/>
          <w:szCs w:val="20"/>
          <w:lang w:eastAsia="ro-RO"/>
        </w:rPr>
        <w:t>(Sursa: Administraţia Naţională “Apele Române”, Sinteza calităţii apelor din România în anul 2021)</w:t>
      </w:r>
    </w:p>
    <w:p w:rsidR="00924A0A" w:rsidRPr="00242122" w:rsidRDefault="00924A0A" w:rsidP="00924A0A">
      <w:pPr>
        <w:spacing w:after="0" w:line="240" w:lineRule="auto"/>
        <w:rPr>
          <w:rFonts w:ascii="Arial" w:hAnsi="Arial" w:cs="Arial"/>
          <w:b/>
          <w:i/>
          <w:color w:val="FF0000"/>
          <w:sz w:val="20"/>
          <w:szCs w:val="16"/>
        </w:rPr>
      </w:pPr>
    </w:p>
    <w:p w:rsidR="00924A0A" w:rsidRPr="00242122" w:rsidRDefault="00924A0A" w:rsidP="00924A0A">
      <w:pPr>
        <w:spacing w:after="0" w:line="240" w:lineRule="auto"/>
        <w:rPr>
          <w:rFonts w:ascii="Arial" w:hAnsi="Arial" w:cs="Arial"/>
          <w:b/>
          <w:i/>
          <w:color w:val="FF0000"/>
          <w:sz w:val="20"/>
          <w:szCs w:val="16"/>
        </w:rPr>
      </w:pPr>
    </w:p>
    <w:p w:rsidR="00924A0A" w:rsidRPr="00242122" w:rsidRDefault="00924A0A" w:rsidP="00924A0A">
      <w:pPr>
        <w:spacing w:after="0" w:line="240" w:lineRule="auto"/>
        <w:rPr>
          <w:rFonts w:ascii="Arial" w:hAnsi="Arial" w:cs="Arial"/>
          <w:b/>
          <w:i/>
          <w:color w:val="FF0000"/>
          <w:sz w:val="20"/>
          <w:szCs w:val="16"/>
        </w:rPr>
      </w:pPr>
      <w:r w:rsidRPr="00242122">
        <w:rPr>
          <w:rFonts w:ascii="Arial" w:hAnsi="Arial" w:cs="Arial"/>
          <w:noProof/>
          <w:lang w:eastAsia="ro-RO"/>
        </w:rPr>
        <w:lastRenderedPageBreak/>
        <w:drawing>
          <wp:inline distT="0" distB="0" distL="0" distR="0" wp14:anchorId="128338D6" wp14:editId="4F281473">
            <wp:extent cx="6345555" cy="3347634"/>
            <wp:effectExtent l="0" t="0" r="17145" b="5715"/>
            <wp:docPr id="8" name="Chart 8">
              <a:extLst xmlns:a="http://schemas.openxmlformats.org/drawingml/2006/main">
                <a:ext uri="{FF2B5EF4-FFF2-40B4-BE49-F238E27FC236}">
                  <a16:creationId xmlns:a16="http://schemas.microsoft.com/office/drawing/2014/main" id="{F09FCF48-8FD8-42A6-A3A0-BEC6C7AEAA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924A0A" w:rsidRPr="00242122" w:rsidRDefault="00924A0A" w:rsidP="00924A0A">
      <w:pPr>
        <w:spacing w:after="0" w:line="240" w:lineRule="auto"/>
        <w:jc w:val="both"/>
        <w:rPr>
          <w:rFonts w:ascii="Arial" w:hAnsi="Arial" w:cs="Arial"/>
          <w:b/>
          <w:i/>
          <w:sz w:val="20"/>
          <w:szCs w:val="16"/>
          <w:u w:val="single"/>
        </w:rPr>
      </w:pPr>
      <w:r w:rsidRPr="00242122">
        <w:rPr>
          <w:rFonts w:ascii="Arial" w:hAnsi="Arial" w:cs="Arial"/>
          <w:b/>
          <w:i/>
          <w:sz w:val="20"/>
          <w:szCs w:val="16"/>
        </w:rPr>
        <w:t xml:space="preserve">Figura II.2.1.1.2. Substanțe prioritare monitorizate în cursurile de apă pe spații / bazine hidrografice în anul 2021 (nr.) – </w:t>
      </w:r>
      <w:r w:rsidRPr="00242122">
        <w:rPr>
          <w:rFonts w:ascii="Arial" w:hAnsi="Arial" w:cs="Arial"/>
          <w:b/>
          <w:i/>
          <w:sz w:val="20"/>
          <w:szCs w:val="16"/>
          <w:u w:val="single"/>
        </w:rPr>
        <w:t>mediul de investigare BIOTA</w:t>
      </w:r>
    </w:p>
    <w:p w:rsidR="00924A0A" w:rsidRPr="00242122" w:rsidRDefault="00924A0A" w:rsidP="00924A0A">
      <w:pPr>
        <w:spacing w:after="0"/>
        <w:ind w:left="900" w:hanging="900"/>
        <w:jc w:val="both"/>
        <w:rPr>
          <w:rFonts w:ascii="Arial" w:hAnsi="Arial" w:cs="Arial"/>
          <w:i/>
          <w:iCs/>
          <w:color w:val="000000"/>
          <w:sz w:val="20"/>
          <w:szCs w:val="20"/>
          <w:lang w:eastAsia="ro-RO"/>
        </w:rPr>
      </w:pPr>
      <w:r w:rsidRPr="00242122">
        <w:rPr>
          <w:rFonts w:ascii="Arial" w:hAnsi="Arial" w:cs="Arial"/>
          <w:i/>
          <w:iCs/>
          <w:color w:val="000000"/>
          <w:sz w:val="20"/>
          <w:szCs w:val="20"/>
          <w:lang w:eastAsia="ro-RO"/>
        </w:rPr>
        <w:t>(Sursa: Administraţia Naţională “Apele Române”, Sinteza calităţii apelor din România în anul 2021)</w:t>
      </w:r>
    </w:p>
    <w:p w:rsidR="00924A0A" w:rsidRPr="00242122" w:rsidRDefault="00924A0A" w:rsidP="00924A0A">
      <w:pPr>
        <w:spacing w:line="240" w:lineRule="auto"/>
        <w:jc w:val="both"/>
        <w:rPr>
          <w:rFonts w:ascii="Arial" w:hAnsi="Arial" w:cs="Arial"/>
          <w:b/>
          <w:color w:val="FF0000"/>
          <w:sz w:val="20"/>
          <w:szCs w:val="20"/>
        </w:rPr>
      </w:pPr>
    </w:p>
    <w:p w:rsidR="00924A0A" w:rsidRPr="00242122" w:rsidRDefault="00924A0A" w:rsidP="00924A0A">
      <w:pPr>
        <w:spacing w:after="0" w:line="240" w:lineRule="auto"/>
        <w:rPr>
          <w:rFonts w:ascii="Arial" w:hAnsi="Arial" w:cs="Arial"/>
          <w:b/>
          <w:i/>
          <w:color w:val="FF0000"/>
          <w:sz w:val="20"/>
          <w:szCs w:val="16"/>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0"/>
        <w:gridCol w:w="1050"/>
        <w:gridCol w:w="1080"/>
        <w:gridCol w:w="1170"/>
        <w:gridCol w:w="1170"/>
        <w:gridCol w:w="1170"/>
        <w:gridCol w:w="1260"/>
        <w:gridCol w:w="1080"/>
      </w:tblGrid>
      <w:tr w:rsidR="00924A0A" w:rsidRPr="00242122" w:rsidTr="00B8293F">
        <w:trPr>
          <w:trHeight w:val="176"/>
          <w:jc w:val="center"/>
        </w:trPr>
        <w:tc>
          <w:tcPr>
            <w:tcW w:w="2100" w:type="dxa"/>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Anul</w:t>
            </w:r>
          </w:p>
        </w:tc>
        <w:tc>
          <w:tcPr>
            <w:tcW w:w="1050" w:type="dxa"/>
            <w:shd w:val="clear" w:color="auto" w:fill="66CCFF"/>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2015</w:t>
            </w:r>
          </w:p>
        </w:tc>
        <w:tc>
          <w:tcPr>
            <w:tcW w:w="1080" w:type="dxa"/>
            <w:shd w:val="clear" w:color="auto" w:fill="66CCFF"/>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2016</w:t>
            </w:r>
          </w:p>
        </w:tc>
        <w:tc>
          <w:tcPr>
            <w:tcW w:w="1170" w:type="dxa"/>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2017</w:t>
            </w:r>
          </w:p>
        </w:tc>
        <w:tc>
          <w:tcPr>
            <w:tcW w:w="1170" w:type="dxa"/>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2018</w:t>
            </w:r>
          </w:p>
        </w:tc>
        <w:tc>
          <w:tcPr>
            <w:tcW w:w="1170" w:type="dxa"/>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2019</w:t>
            </w:r>
          </w:p>
        </w:tc>
        <w:tc>
          <w:tcPr>
            <w:tcW w:w="1260" w:type="dxa"/>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2020</w:t>
            </w:r>
          </w:p>
        </w:tc>
        <w:tc>
          <w:tcPr>
            <w:tcW w:w="1080" w:type="dxa"/>
            <w:shd w:val="clear" w:color="auto" w:fill="66CCFF"/>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2021</w:t>
            </w:r>
          </w:p>
        </w:tc>
      </w:tr>
      <w:tr w:rsidR="00924A0A" w:rsidRPr="00242122" w:rsidTr="00B8293F">
        <w:trPr>
          <w:trHeight w:val="317"/>
          <w:jc w:val="center"/>
        </w:trPr>
        <w:tc>
          <w:tcPr>
            <w:tcW w:w="2100" w:type="dxa"/>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Substanțe prioritare monitorizate (nr.)</w:t>
            </w:r>
          </w:p>
        </w:tc>
        <w:tc>
          <w:tcPr>
            <w:tcW w:w="1050" w:type="dxa"/>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36</w:t>
            </w:r>
          </w:p>
        </w:tc>
        <w:tc>
          <w:tcPr>
            <w:tcW w:w="1080" w:type="dxa"/>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42</w:t>
            </w:r>
          </w:p>
        </w:tc>
        <w:tc>
          <w:tcPr>
            <w:tcW w:w="1170"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33</w:t>
            </w:r>
          </w:p>
        </w:tc>
        <w:tc>
          <w:tcPr>
            <w:tcW w:w="1170"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35</w:t>
            </w:r>
          </w:p>
        </w:tc>
        <w:tc>
          <w:tcPr>
            <w:tcW w:w="1170"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42</w:t>
            </w:r>
          </w:p>
        </w:tc>
        <w:tc>
          <w:tcPr>
            <w:tcW w:w="1260"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42</w:t>
            </w:r>
          </w:p>
        </w:tc>
        <w:tc>
          <w:tcPr>
            <w:tcW w:w="1080" w:type="dxa"/>
            <w:shd w:val="clear" w:color="000000" w:fill="FFFFFF"/>
            <w:vAlign w:val="center"/>
          </w:tcPr>
          <w:p w:rsidR="00924A0A" w:rsidRPr="00242122" w:rsidRDefault="00924A0A" w:rsidP="00B8293F">
            <w:pPr>
              <w:spacing w:after="0" w:line="240" w:lineRule="auto"/>
              <w:jc w:val="center"/>
              <w:rPr>
                <w:rFonts w:ascii="Arial" w:eastAsia="Times New Roman" w:hAnsi="Arial" w:cs="Arial"/>
                <w:sz w:val="20"/>
                <w:szCs w:val="20"/>
                <w:lang w:eastAsia="ro-RO"/>
              </w:rPr>
            </w:pPr>
          </w:p>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41</w:t>
            </w:r>
          </w:p>
          <w:p w:rsidR="00924A0A" w:rsidRPr="00242122" w:rsidRDefault="00924A0A" w:rsidP="00B8293F">
            <w:pPr>
              <w:spacing w:after="0" w:line="240" w:lineRule="auto"/>
              <w:jc w:val="center"/>
              <w:rPr>
                <w:rFonts w:ascii="Arial" w:eastAsia="Times New Roman" w:hAnsi="Arial" w:cs="Arial"/>
                <w:sz w:val="20"/>
                <w:szCs w:val="20"/>
                <w:lang w:eastAsia="ro-RO"/>
              </w:rPr>
            </w:pPr>
          </w:p>
        </w:tc>
      </w:tr>
      <w:tr w:rsidR="00924A0A" w:rsidRPr="00242122" w:rsidTr="00B8293F">
        <w:trPr>
          <w:trHeight w:val="317"/>
          <w:jc w:val="center"/>
        </w:trPr>
        <w:tc>
          <w:tcPr>
            <w:tcW w:w="2100" w:type="dxa"/>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Secțiuni de monitorizare (nr.)</w:t>
            </w:r>
          </w:p>
        </w:tc>
        <w:tc>
          <w:tcPr>
            <w:tcW w:w="1050" w:type="dxa"/>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435</w:t>
            </w:r>
          </w:p>
        </w:tc>
        <w:tc>
          <w:tcPr>
            <w:tcW w:w="1080" w:type="dxa"/>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392</w:t>
            </w:r>
          </w:p>
        </w:tc>
        <w:tc>
          <w:tcPr>
            <w:tcW w:w="1170"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385</w:t>
            </w:r>
          </w:p>
        </w:tc>
        <w:tc>
          <w:tcPr>
            <w:tcW w:w="1170"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615</w:t>
            </w:r>
          </w:p>
        </w:tc>
        <w:tc>
          <w:tcPr>
            <w:tcW w:w="1170"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611</w:t>
            </w:r>
          </w:p>
        </w:tc>
        <w:tc>
          <w:tcPr>
            <w:tcW w:w="1260"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628</w:t>
            </w:r>
          </w:p>
        </w:tc>
        <w:tc>
          <w:tcPr>
            <w:tcW w:w="1080" w:type="dxa"/>
            <w:shd w:val="clear" w:color="000000" w:fill="FFFFFF"/>
            <w:vAlign w:val="center"/>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623</w:t>
            </w:r>
          </w:p>
        </w:tc>
      </w:tr>
      <w:tr w:rsidR="00924A0A" w:rsidRPr="00242122" w:rsidTr="00B8293F">
        <w:trPr>
          <w:trHeight w:val="491"/>
          <w:jc w:val="center"/>
        </w:trPr>
        <w:tc>
          <w:tcPr>
            <w:tcW w:w="2100" w:type="dxa"/>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Ponderea secțiunilor cu  concentrație mai mare decat SCM (%)</w:t>
            </w:r>
          </w:p>
        </w:tc>
        <w:tc>
          <w:tcPr>
            <w:tcW w:w="1050" w:type="dxa"/>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3,44</w:t>
            </w:r>
          </w:p>
        </w:tc>
        <w:tc>
          <w:tcPr>
            <w:tcW w:w="1080" w:type="dxa"/>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3,82</w:t>
            </w:r>
          </w:p>
        </w:tc>
        <w:tc>
          <w:tcPr>
            <w:tcW w:w="1170"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5,71</w:t>
            </w:r>
          </w:p>
        </w:tc>
        <w:tc>
          <w:tcPr>
            <w:tcW w:w="1170"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6,67</w:t>
            </w:r>
          </w:p>
        </w:tc>
        <w:tc>
          <w:tcPr>
            <w:tcW w:w="1170"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4,75</w:t>
            </w:r>
          </w:p>
        </w:tc>
        <w:tc>
          <w:tcPr>
            <w:tcW w:w="1260" w:type="dxa"/>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7,64</w:t>
            </w:r>
          </w:p>
        </w:tc>
        <w:tc>
          <w:tcPr>
            <w:tcW w:w="1080" w:type="dxa"/>
            <w:shd w:val="clear" w:color="000000" w:fill="FFFFFF"/>
            <w:vAlign w:val="center"/>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7,70</w:t>
            </w:r>
          </w:p>
        </w:tc>
      </w:tr>
    </w:tbl>
    <w:p w:rsidR="00924A0A" w:rsidRPr="00242122" w:rsidRDefault="00924A0A" w:rsidP="00924A0A">
      <w:pPr>
        <w:spacing w:after="0"/>
        <w:jc w:val="both"/>
        <w:rPr>
          <w:rFonts w:ascii="Arial" w:hAnsi="Arial" w:cs="Arial"/>
          <w:b/>
          <w:sz w:val="24"/>
          <w:szCs w:val="24"/>
        </w:rPr>
      </w:pPr>
      <w:r w:rsidRPr="00242122">
        <w:rPr>
          <w:rFonts w:ascii="Arial" w:hAnsi="Arial" w:cs="Arial"/>
          <w:b/>
          <w:i/>
          <w:sz w:val="20"/>
          <w:szCs w:val="16"/>
        </w:rPr>
        <w:t>Tabelul II.2.1.1.2. Ponderea secțiunilor de monitorizare cu concentrație mai mare decât SCM (%) în perioada 2015 - 2021</w:t>
      </w:r>
    </w:p>
    <w:p w:rsidR="00924A0A" w:rsidRPr="00242122" w:rsidRDefault="00924A0A" w:rsidP="00924A0A">
      <w:pPr>
        <w:spacing w:after="0"/>
        <w:ind w:left="900" w:hanging="900"/>
        <w:jc w:val="both"/>
        <w:rPr>
          <w:rFonts w:ascii="Arial" w:hAnsi="Arial" w:cs="Arial"/>
          <w:i/>
          <w:iCs/>
          <w:color w:val="000000"/>
          <w:sz w:val="20"/>
          <w:szCs w:val="20"/>
          <w:lang w:eastAsia="ro-RO"/>
        </w:rPr>
      </w:pPr>
      <w:r w:rsidRPr="00242122">
        <w:rPr>
          <w:rFonts w:ascii="Arial" w:hAnsi="Arial" w:cs="Arial"/>
          <w:i/>
          <w:iCs/>
          <w:color w:val="000000"/>
          <w:sz w:val="20"/>
          <w:szCs w:val="20"/>
          <w:lang w:eastAsia="ro-RO"/>
        </w:rPr>
        <w:t>(Sursa: Administraţia Naţională “Apele Române”, Sinteza calităţii apelor din România în anul 2021)</w:t>
      </w:r>
    </w:p>
    <w:p w:rsidR="00924A0A" w:rsidRPr="00242122" w:rsidRDefault="00924A0A" w:rsidP="005B6804">
      <w:pPr>
        <w:shd w:val="clear" w:color="auto" w:fill="FFFFFF" w:themeFill="background1"/>
        <w:rPr>
          <w:rFonts w:ascii="Arial" w:hAnsi="Arial" w:cs="Arial"/>
          <w:color w:val="FF0000"/>
        </w:rPr>
      </w:pPr>
    </w:p>
    <w:p w:rsidR="00924A0A" w:rsidRPr="00242122" w:rsidRDefault="00924A0A" w:rsidP="005B6804">
      <w:pPr>
        <w:shd w:val="clear" w:color="auto" w:fill="FFFFFF" w:themeFill="background1"/>
        <w:ind w:right="-285"/>
        <w:jc w:val="center"/>
        <w:rPr>
          <w:rFonts w:ascii="Arial" w:hAnsi="Arial" w:cs="Arial"/>
          <w:b/>
          <w:color w:val="000000" w:themeColor="text1"/>
        </w:rPr>
      </w:pPr>
      <w:r w:rsidRPr="005B6804">
        <w:rPr>
          <w:rFonts w:ascii="Arial" w:hAnsi="Arial" w:cs="Arial"/>
          <w:b/>
          <w:color w:val="000000" w:themeColor="text1"/>
        </w:rPr>
        <w:t>Indicator WEC 04. Scheme de clasificare a cursurilor de apă RO 67</w:t>
      </w:r>
    </w:p>
    <w:p w:rsidR="00924A0A" w:rsidRPr="00242122" w:rsidRDefault="00924A0A" w:rsidP="00924A0A">
      <w:pPr>
        <w:ind w:right="-285"/>
        <w:jc w:val="both"/>
        <w:rPr>
          <w:rFonts w:ascii="Arial" w:hAnsi="Arial" w:cs="Arial"/>
          <w:b/>
          <w:color w:val="000000" w:themeColor="text1"/>
        </w:rPr>
      </w:pPr>
      <w:r w:rsidRPr="00242122">
        <w:rPr>
          <w:rFonts w:ascii="Arial" w:hAnsi="Arial" w:cs="Arial"/>
          <w:b/>
          <w:color w:val="000000" w:themeColor="text1"/>
        </w:rPr>
        <w:t xml:space="preserve">II.2.1.1.1 STAREA ECOLOGICĂ / POTENȚIALUL ECOLOGIC AL CURSURILOR DE APĂ MONITORIZATE (corpuri de apă naturale, puternic modificate, artificiale - râuri) PE SPAȚII / BAZINE HIDROGRAFICE ȘI LA NIVEL NAȚIONAL </w:t>
      </w:r>
    </w:p>
    <w:p w:rsidR="00924A0A" w:rsidRPr="00242122" w:rsidRDefault="00924A0A" w:rsidP="00924A0A">
      <w:pPr>
        <w:spacing w:after="0" w:line="240" w:lineRule="auto"/>
        <w:jc w:val="both"/>
        <w:rPr>
          <w:rFonts w:ascii="Arial" w:hAnsi="Arial" w:cs="Arial"/>
          <w:b/>
          <w:i/>
          <w:color w:val="000000" w:themeColor="text1"/>
        </w:rPr>
      </w:pPr>
      <w:r w:rsidRPr="00242122">
        <w:rPr>
          <w:rFonts w:ascii="Arial" w:hAnsi="Arial" w:cs="Arial"/>
          <w:b/>
          <w:i/>
          <w:color w:val="000000" w:themeColor="text1"/>
        </w:rPr>
        <w:t>Evaluarea stării ecologice / potențialului ecologic al cursurilor de apă monitorizate (corpuri de apă naturale, puternic modificate, artificiale - râuri) pe spații / bazine hidrografice în anul 2021 (km)</w:t>
      </w:r>
    </w:p>
    <w:p w:rsidR="00924A0A" w:rsidRPr="00242122" w:rsidRDefault="00924A0A" w:rsidP="00924A0A">
      <w:pPr>
        <w:spacing w:after="0" w:line="240" w:lineRule="auto"/>
        <w:jc w:val="both"/>
        <w:rPr>
          <w:rFonts w:ascii="Arial" w:hAnsi="Arial" w:cs="Arial"/>
          <w:b/>
          <w:i/>
          <w:color w:val="FF0000"/>
        </w:rPr>
      </w:pPr>
    </w:p>
    <w:p w:rsidR="00924A0A" w:rsidRPr="00242122" w:rsidRDefault="00924A0A" w:rsidP="00924A0A">
      <w:pPr>
        <w:spacing w:line="240" w:lineRule="auto"/>
        <w:rPr>
          <w:rFonts w:ascii="Arial" w:hAnsi="Arial" w:cs="Arial"/>
          <w:b/>
          <w:i/>
          <w:color w:val="FF0000"/>
          <w:sz w:val="36"/>
          <w:szCs w:val="24"/>
        </w:rPr>
      </w:pPr>
      <w:r w:rsidRPr="00242122">
        <w:rPr>
          <w:rFonts w:ascii="Arial" w:hAnsi="Arial" w:cs="Arial"/>
          <w:noProof/>
          <w:lang w:eastAsia="ro-RO"/>
        </w:rPr>
        <w:lastRenderedPageBreak/>
        <w:drawing>
          <wp:inline distT="0" distB="0" distL="0" distR="0" wp14:anchorId="31E4EDB5" wp14:editId="368008EE">
            <wp:extent cx="6238875" cy="3646170"/>
            <wp:effectExtent l="0" t="0" r="9525" b="1143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924A0A" w:rsidRPr="00242122" w:rsidRDefault="00924A0A" w:rsidP="00924A0A">
      <w:pPr>
        <w:spacing w:after="0" w:line="240" w:lineRule="auto"/>
        <w:jc w:val="both"/>
        <w:rPr>
          <w:rFonts w:ascii="Arial" w:hAnsi="Arial" w:cs="Arial"/>
          <w:b/>
          <w:i/>
          <w:color w:val="000000" w:themeColor="text1"/>
          <w:sz w:val="20"/>
          <w:szCs w:val="16"/>
        </w:rPr>
      </w:pPr>
      <w:r w:rsidRPr="00242122">
        <w:rPr>
          <w:rFonts w:ascii="Arial" w:hAnsi="Arial" w:cs="Arial"/>
          <w:b/>
          <w:i/>
          <w:color w:val="000000" w:themeColor="text1"/>
          <w:sz w:val="20"/>
          <w:szCs w:val="16"/>
        </w:rPr>
        <w:t>Figura II.2.1.1.1 Starea ecologică / potențialul ecologic al cursurilor de apă monitorizate (corpuri de apă naturale, puternic modificate, artificiale - râuri) pe spații / bazine hidrografice în anul 2021 (km)</w:t>
      </w:r>
    </w:p>
    <w:p w:rsidR="00924A0A" w:rsidRPr="005B6804" w:rsidRDefault="00924A0A" w:rsidP="005B6804">
      <w:pPr>
        <w:spacing w:after="0"/>
        <w:ind w:left="900" w:hanging="900"/>
        <w:jc w:val="both"/>
        <w:rPr>
          <w:rFonts w:ascii="Arial" w:hAnsi="Arial" w:cs="Arial"/>
          <w:i/>
          <w:iCs/>
          <w:color w:val="000000"/>
          <w:sz w:val="20"/>
          <w:szCs w:val="20"/>
          <w:lang w:eastAsia="ro-RO"/>
        </w:rPr>
      </w:pPr>
      <w:r w:rsidRPr="00242122">
        <w:rPr>
          <w:rFonts w:ascii="Arial" w:hAnsi="Arial" w:cs="Arial"/>
          <w:i/>
          <w:iCs/>
          <w:color w:val="000000"/>
          <w:sz w:val="20"/>
          <w:szCs w:val="20"/>
          <w:lang w:eastAsia="ro-RO"/>
        </w:rPr>
        <w:t>(Sursa: Administraţia Naţională “Apele Române”, Sinteza calităţii a</w:t>
      </w:r>
      <w:r w:rsidR="005B6804">
        <w:rPr>
          <w:rFonts w:ascii="Arial" w:hAnsi="Arial" w:cs="Arial"/>
          <w:i/>
          <w:iCs/>
          <w:color w:val="000000"/>
          <w:sz w:val="20"/>
          <w:szCs w:val="20"/>
          <w:lang w:eastAsia="ro-RO"/>
        </w:rPr>
        <w:t>pelor din România în anul 2021)</w:t>
      </w:r>
    </w:p>
    <w:p w:rsidR="00924A0A" w:rsidRPr="005B6804" w:rsidRDefault="00924A0A" w:rsidP="00924A0A">
      <w:pPr>
        <w:spacing w:line="240" w:lineRule="auto"/>
        <w:jc w:val="both"/>
        <w:rPr>
          <w:rFonts w:ascii="Arial" w:hAnsi="Arial" w:cs="Arial"/>
          <w:b/>
          <w:color w:val="000000" w:themeColor="text1"/>
          <w:sz w:val="20"/>
          <w:szCs w:val="20"/>
        </w:rPr>
      </w:pPr>
      <w:r w:rsidRPr="00242122">
        <w:rPr>
          <w:rFonts w:ascii="Arial" w:hAnsi="Arial" w:cs="Arial"/>
          <w:b/>
          <w:color w:val="000000" w:themeColor="text1"/>
          <w:sz w:val="20"/>
          <w:szCs w:val="20"/>
        </w:rPr>
        <w:t>*SE - stare</w:t>
      </w:r>
      <w:r w:rsidR="005B6804">
        <w:rPr>
          <w:rFonts w:ascii="Arial" w:hAnsi="Arial" w:cs="Arial"/>
          <w:b/>
          <w:color w:val="000000" w:themeColor="text1"/>
          <w:sz w:val="20"/>
          <w:szCs w:val="20"/>
        </w:rPr>
        <w:t xml:space="preserve"> ecologică / potenţial ecologic</w:t>
      </w:r>
    </w:p>
    <w:p w:rsidR="00924A0A" w:rsidRPr="00242122" w:rsidRDefault="00924A0A" w:rsidP="00924A0A">
      <w:pPr>
        <w:spacing w:after="0" w:line="240" w:lineRule="auto"/>
        <w:jc w:val="both"/>
        <w:rPr>
          <w:rFonts w:ascii="Arial" w:hAnsi="Arial" w:cs="Arial"/>
          <w:b/>
          <w:i/>
          <w:color w:val="000000" w:themeColor="text1"/>
        </w:rPr>
      </w:pPr>
      <w:r w:rsidRPr="00242122">
        <w:rPr>
          <w:rFonts w:ascii="Arial" w:hAnsi="Arial" w:cs="Arial"/>
          <w:b/>
          <w:i/>
          <w:color w:val="000000" w:themeColor="text1"/>
        </w:rPr>
        <w:t>Evaluarea stării ecologice / potențialului ecologic al cursurilor de apă monitorizate (corpuri de apă naturale, puternic modificate, artificiale - râuri) pe spații / bazine hidrografice în anul 2021 (%)</w:t>
      </w:r>
    </w:p>
    <w:p w:rsidR="00924A0A" w:rsidRPr="00242122" w:rsidRDefault="00924A0A" w:rsidP="00924A0A">
      <w:pPr>
        <w:spacing w:after="0" w:line="240" w:lineRule="auto"/>
        <w:jc w:val="both"/>
        <w:rPr>
          <w:rFonts w:ascii="Arial" w:hAnsi="Arial" w:cs="Arial"/>
          <w:b/>
          <w:i/>
          <w:color w:val="FF0000"/>
        </w:rPr>
      </w:pPr>
    </w:p>
    <w:p w:rsidR="00924A0A" w:rsidRPr="00242122" w:rsidRDefault="00924A0A" w:rsidP="00924A0A">
      <w:pPr>
        <w:spacing w:after="0" w:line="240" w:lineRule="auto"/>
        <w:jc w:val="both"/>
        <w:rPr>
          <w:rFonts w:ascii="Arial" w:hAnsi="Arial" w:cs="Arial"/>
          <w:b/>
          <w:i/>
          <w:color w:val="FF0000"/>
          <w:sz w:val="24"/>
          <w:szCs w:val="24"/>
        </w:rPr>
      </w:pPr>
      <w:r w:rsidRPr="00242122">
        <w:rPr>
          <w:rFonts w:ascii="Arial" w:hAnsi="Arial" w:cs="Arial"/>
          <w:noProof/>
          <w:lang w:eastAsia="ro-RO"/>
        </w:rPr>
        <w:drawing>
          <wp:inline distT="0" distB="0" distL="0" distR="0" wp14:anchorId="68E35392" wp14:editId="740A0252">
            <wp:extent cx="6200775" cy="4068445"/>
            <wp:effectExtent l="0" t="0" r="9525" b="825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924A0A" w:rsidRPr="00242122" w:rsidRDefault="00924A0A" w:rsidP="00924A0A">
      <w:pPr>
        <w:spacing w:after="0" w:line="240" w:lineRule="auto"/>
        <w:jc w:val="both"/>
        <w:rPr>
          <w:rFonts w:ascii="Arial" w:hAnsi="Arial" w:cs="Arial"/>
          <w:b/>
          <w:i/>
          <w:color w:val="000000" w:themeColor="text1"/>
          <w:sz w:val="20"/>
          <w:szCs w:val="20"/>
        </w:rPr>
      </w:pPr>
      <w:r w:rsidRPr="00242122">
        <w:rPr>
          <w:rFonts w:ascii="Arial" w:hAnsi="Arial" w:cs="Arial"/>
          <w:b/>
          <w:i/>
          <w:color w:val="000000" w:themeColor="text1"/>
          <w:sz w:val="20"/>
          <w:szCs w:val="20"/>
        </w:rPr>
        <w:lastRenderedPageBreak/>
        <w:t>Figura II.2.1.1.2 Starea ecologică / potențialul ecologic al cursurilor de apă monitorizate (corpuri de apă naturale, puternic modificate, artificiale - râuri) pe spații / bazine hidrografice în anul 2021 (%)</w:t>
      </w:r>
    </w:p>
    <w:p w:rsidR="00924A0A" w:rsidRPr="00242122" w:rsidRDefault="00924A0A" w:rsidP="00924A0A">
      <w:pPr>
        <w:spacing w:after="0"/>
        <w:ind w:left="900" w:hanging="900"/>
        <w:jc w:val="both"/>
        <w:rPr>
          <w:rFonts w:ascii="Arial" w:hAnsi="Arial" w:cs="Arial"/>
          <w:i/>
          <w:iCs/>
          <w:color w:val="000000"/>
          <w:sz w:val="20"/>
          <w:szCs w:val="20"/>
          <w:lang w:eastAsia="ro-RO"/>
        </w:rPr>
      </w:pPr>
      <w:r w:rsidRPr="00242122">
        <w:rPr>
          <w:rFonts w:ascii="Arial" w:hAnsi="Arial" w:cs="Arial"/>
          <w:i/>
          <w:iCs/>
          <w:color w:val="000000"/>
          <w:sz w:val="20"/>
          <w:szCs w:val="20"/>
          <w:lang w:eastAsia="ro-RO"/>
        </w:rPr>
        <w:t>(Sursa: Administraţia Naţională “Apele Române”, Sinteza calităţii apelor din România în anul 2021)</w:t>
      </w:r>
    </w:p>
    <w:p w:rsidR="00924A0A" w:rsidRPr="00242122" w:rsidRDefault="00924A0A" w:rsidP="00924A0A">
      <w:pPr>
        <w:spacing w:after="0" w:line="240" w:lineRule="auto"/>
        <w:jc w:val="both"/>
        <w:rPr>
          <w:rFonts w:ascii="Arial" w:hAnsi="Arial" w:cs="Arial"/>
          <w:b/>
          <w:i/>
          <w:color w:val="FF0000"/>
          <w:sz w:val="20"/>
          <w:szCs w:val="16"/>
        </w:rPr>
      </w:pPr>
    </w:p>
    <w:p w:rsidR="00924A0A" w:rsidRPr="00242122" w:rsidRDefault="00924A0A" w:rsidP="00924A0A">
      <w:pPr>
        <w:spacing w:after="0" w:line="240" w:lineRule="auto"/>
        <w:rPr>
          <w:rFonts w:ascii="Arial" w:hAnsi="Arial" w:cs="Arial"/>
          <w:b/>
          <w:i/>
          <w:color w:val="FF0000"/>
          <w:sz w:val="20"/>
          <w:szCs w:val="16"/>
        </w:rPr>
      </w:pPr>
    </w:p>
    <w:p w:rsidR="00924A0A" w:rsidRPr="00242122" w:rsidRDefault="00924A0A" w:rsidP="00924A0A">
      <w:pPr>
        <w:spacing w:after="0" w:line="240" w:lineRule="auto"/>
        <w:jc w:val="both"/>
        <w:rPr>
          <w:rFonts w:ascii="Arial" w:hAnsi="Arial" w:cs="Arial"/>
          <w:b/>
          <w:i/>
          <w:color w:val="000000" w:themeColor="text1"/>
          <w:sz w:val="24"/>
          <w:szCs w:val="24"/>
        </w:rPr>
      </w:pPr>
      <w:r w:rsidRPr="00242122">
        <w:rPr>
          <w:rFonts w:ascii="Arial" w:hAnsi="Arial" w:cs="Arial"/>
          <w:b/>
          <w:i/>
          <w:color w:val="000000" w:themeColor="text1"/>
          <w:sz w:val="24"/>
          <w:szCs w:val="24"/>
        </w:rPr>
        <w:t>Evaluarea stării ecologice / potențialului ecologic al cursurilor de apă monitorizate (corpuri de apă naturale, puternic modificate, artificiale - râuri) la nivel național în anul 2021</w:t>
      </w:r>
    </w:p>
    <w:p w:rsidR="00924A0A" w:rsidRPr="00242122" w:rsidRDefault="00924A0A" w:rsidP="00924A0A">
      <w:pPr>
        <w:spacing w:after="0" w:line="240" w:lineRule="auto"/>
        <w:jc w:val="both"/>
        <w:rPr>
          <w:rFonts w:ascii="Arial" w:hAnsi="Arial" w:cs="Arial"/>
          <w:b/>
          <w:i/>
          <w:color w:val="000000" w:themeColor="text1"/>
          <w:sz w:val="24"/>
          <w:szCs w:val="24"/>
        </w:rPr>
      </w:pPr>
    </w:p>
    <w:p w:rsidR="00924A0A" w:rsidRPr="00242122" w:rsidRDefault="00924A0A" w:rsidP="00924A0A">
      <w:pPr>
        <w:spacing w:line="240" w:lineRule="auto"/>
        <w:jc w:val="both"/>
        <w:rPr>
          <w:rFonts w:ascii="Arial" w:hAnsi="Arial" w:cs="Arial"/>
          <w:b/>
          <w:i/>
          <w:color w:val="000000" w:themeColor="text1"/>
          <w:sz w:val="20"/>
          <w:szCs w:val="16"/>
        </w:rPr>
      </w:pPr>
      <w:r w:rsidRPr="00242122">
        <w:rPr>
          <w:rFonts w:ascii="Arial" w:hAnsi="Arial" w:cs="Arial"/>
          <w:b/>
          <w:i/>
          <w:color w:val="000000" w:themeColor="text1"/>
          <w:sz w:val="20"/>
          <w:szCs w:val="16"/>
        </w:rPr>
        <w:t>Tabelul II.2.1.1.1 Evaluarea stării ecologice / potențialului ecologic al cursurilor de apă monitorizate (corpuri de apă naturale, puternic modificate, artificiale - râuri) la nivel național în anul 2021</w:t>
      </w:r>
    </w:p>
    <w:tbl>
      <w:tblPr>
        <w:tblW w:w="5210" w:type="dxa"/>
        <w:jc w:val="center"/>
        <w:tblLayout w:type="fixed"/>
        <w:tblLook w:val="04A0" w:firstRow="1" w:lastRow="0" w:firstColumn="1" w:lastColumn="0" w:noHBand="0" w:noVBand="1"/>
      </w:tblPr>
      <w:tblGrid>
        <w:gridCol w:w="3770"/>
        <w:gridCol w:w="1440"/>
      </w:tblGrid>
      <w:tr w:rsidR="00924A0A" w:rsidRPr="00242122" w:rsidTr="00B8293F">
        <w:trPr>
          <w:trHeight w:val="471"/>
          <w:jc w:val="center"/>
        </w:trPr>
        <w:tc>
          <w:tcPr>
            <w:tcW w:w="3770" w:type="dxa"/>
            <w:tcBorders>
              <w:top w:val="single" w:sz="8" w:space="0" w:color="auto"/>
              <w:left w:val="single" w:sz="8" w:space="0" w:color="auto"/>
              <w:bottom w:val="single" w:sz="4" w:space="0" w:color="auto"/>
              <w:right w:val="single" w:sz="4" w:space="0" w:color="auto"/>
            </w:tcBorders>
            <w:shd w:val="clear" w:color="auto" w:fill="66CCFF"/>
            <w:vAlign w:val="center"/>
            <w:hideMark/>
          </w:tcPr>
          <w:p w:rsidR="00924A0A" w:rsidRPr="00242122" w:rsidRDefault="00924A0A" w:rsidP="00B8293F">
            <w:pPr>
              <w:spacing w:after="0" w:line="240" w:lineRule="auto"/>
              <w:jc w:val="center"/>
              <w:rPr>
                <w:rFonts w:ascii="Arial" w:eastAsia="Times New Roman" w:hAnsi="Arial" w:cs="Arial"/>
                <w:b/>
                <w:bCs/>
                <w:color w:val="000000" w:themeColor="text1"/>
                <w:sz w:val="18"/>
                <w:szCs w:val="18"/>
                <w:lang w:eastAsia="ro-RO"/>
              </w:rPr>
            </w:pPr>
            <w:r w:rsidRPr="00242122">
              <w:rPr>
                <w:rFonts w:ascii="Arial" w:eastAsia="Times New Roman" w:hAnsi="Arial" w:cs="Arial"/>
                <w:b/>
                <w:bCs/>
                <w:color w:val="000000" w:themeColor="text1"/>
                <w:sz w:val="18"/>
                <w:szCs w:val="18"/>
                <w:lang w:eastAsia="ro-RO"/>
              </w:rPr>
              <w:t xml:space="preserve">Stare ecologică / Potenţial ecologic </w:t>
            </w:r>
          </w:p>
        </w:tc>
        <w:tc>
          <w:tcPr>
            <w:tcW w:w="1440" w:type="dxa"/>
            <w:tcBorders>
              <w:top w:val="single" w:sz="8" w:space="0" w:color="auto"/>
              <w:left w:val="nil"/>
              <w:bottom w:val="nil"/>
              <w:right w:val="single" w:sz="8" w:space="0" w:color="auto"/>
            </w:tcBorders>
            <w:shd w:val="clear" w:color="auto" w:fill="66CCFF"/>
            <w:vAlign w:val="center"/>
          </w:tcPr>
          <w:p w:rsidR="00924A0A" w:rsidRPr="00242122" w:rsidRDefault="00924A0A" w:rsidP="00B8293F">
            <w:pPr>
              <w:spacing w:after="0" w:line="240" w:lineRule="auto"/>
              <w:jc w:val="center"/>
              <w:rPr>
                <w:rFonts w:ascii="Arial" w:eastAsia="Times New Roman" w:hAnsi="Arial" w:cs="Arial"/>
                <w:b/>
                <w:bCs/>
                <w:color w:val="000000" w:themeColor="text1"/>
                <w:sz w:val="18"/>
                <w:szCs w:val="18"/>
                <w:lang w:eastAsia="ro-RO"/>
              </w:rPr>
            </w:pPr>
            <w:r w:rsidRPr="00242122">
              <w:rPr>
                <w:rFonts w:ascii="Arial" w:eastAsia="Times New Roman" w:hAnsi="Arial" w:cs="Arial"/>
                <w:b/>
                <w:bCs/>
                <w:color w:val="000000" w:themeColor="text1"/>
                <w:sz w:val="18"/>
                <w:szCs w:val="18"/>
                <w:lang w:eastAsia="ro-RO"/>
              </w:rPr>
              <w:t>2021</w:t>
            </w:r>
          </w:p>
        </w:tc>
      </w:tr>
      <w:tr w:rsidR="00924A0A" w:rsidRPr="00242122" w:rsidTr="00B8293F">
        <w:trPr>
          <w:trHeight w:val="471"/>
          <w:jc w:val="center"/>
        </w:trPr>
        <w:tc>
          <w:tcPr>
            <w:tcW w:w="3770" w:type="dxa"/>
            <w:tcBorders>
              <w:top w:val="nil"/>
              <w:left w:val="single" w:sz="8" w:space="0" w:color="auto"/>
              <w:bottom w:val="single" w:sz="4" w:space="0" w:color="auto"/>
              <w:right w:val="single" w:sz="4" w:space="0" w:color="auto"/>
            </w:tcBorders>
            <w:shd w:val="clear" w:color="auto" w:fill="auto"/>
            <w:vAlign w:val="center"/>
            <w:hideMark/>
          </w:tcPr>
          <w:p w:rsidR="00924A0A" w:rsidRPr="00242122" w:rsidRDefault="00924A0A" w:rsidP="00B8293F">
            <w:pPr>
              <w:spacing w:after="0" w:line="240" w:lineRule="auto"/>
              <w:jc w:val="center"/>
              <w:rPr>
                <w:rFonts w:ascii="Arial" w:eastAsia="Times New Roman" w:hAnsi="Arial" w:cs="Arial"/>
                <w:b/>
                <w:bCs/>
                <w:color w:val="000000" w:themeColor="text1"/>
                <w:sz w:val="18"/>
                <w:szCs w:val="18"/>
                <w:lang w:eastAsia="ro-RO"/>
              </w:rPr>
            </w:pPr>
            <w:r w:rsidRPr="00242122">
              <w:rPr>
                <w:rFonts w:ascii="Arial" w:eastAsia="Times New Roman" w:hAnsi="Arial" w:cs="Arial"/>
                <w:b/>
                <w:bCs/>
                <w:color w:val="000000" w:themeColor="text1"/>
                <w:sz w:val="18"/>
                <w:szCs w:val="18"/>
                <w:lang w:eastAsia="ro-RO"/>
              </w:rPr>
              <w:t xml:space="preserve">Foarte Bună și Bună (%) / </w:t>
            </w:r>
            <w:r w:rsidRPr="00242122">
              <w:rPr>
                <w:rFonts w:ascii="Arial" w:eastAsia="Times New Roman" w:hAnsi="Arial" w:cs="Arial"/>
                <w:b/>
                <w:bCs/>
                <w:color w:val="000000" w:themeColor="text1"/>
                <w:sz w:val="18"/>
                <w:szCs w:val="18"/>
                <w:lang w:eastAsia="ro-RO"/>
              </w:rPr>
              <w:br/>
              <w:t>Maxim şi Bun (%)</w:t>
            </w:r>
          </w:p>
        </w:tc>
        <w:tc>
          <w:tcPr>
            <w:tcW w:w="1440" w:type="dxa"/>
            <w:tcBorders>
              <w:top w:val="single" w:sz="4" w:space="0" w:color="auto"/>
              <w:left w:val="nil"/>
              <w:bottom w:val="single" w:sz="4" w:space="0" w:color="auto"/>
              <w:right w:val="single" w:sz="8" w:space="0" w:color="auto"/>
            </w:tcBorders>
            <w:vAlign w:val="center"/>
          </w:tcPr>
          <w:p w:rsidR="00924A0A" w:rsidRPr="00242122" w:rsidRDefault="00924A0A" w:rsidP="00B8293F">
            <w:pPr>
              <w:spacing w:after="0" w:line="240" w:lineRule="auto"/>
              <w:jc w:val="center"/>
              <w:rPr>
                <w:rFonts w:ascii="Arial" w:eastAsia="Times New Roman" w:hAnsi="Arial" w:cs="Arial"/>
                <w:b/>
                <w:color w:val="000000" w:themeColor="text1"/>
                <w:sz w:val="18"/>
                <w:szCs w:val="18"/>
                <w:lang w:eastAsia="ro-RO"/>
              </w:rPr>
            </w:pPr>
            <w:r w:rsidRPr="00242122">
              <w:rPr>
                <w:rFonts w:ascii="Arial" w:eastAsia="Times New Roman" w:hAnsi="Arial" w:cs="Arial"/>
                <w:b/>
                <w:color w:val="000000" w:themeColor="text1"/>
                <w:sz w:val="18"/>
                <w:szCs w:val="18"/>
                <w:lang w:eastAsia="ro-RO"/>
              </w:rPr>
              <w:t>37,77</w:t>
            </w:r>
          </w:p>
        </w:tc>
      </w:tr>
      <w:tr w:rsidR="00924A0A" w:rsidRPr="00242122" w:rsidTr="00B8293F">
        <w:trPr>
          <w:trHeight w:val="277"/>
          <w:jc w:val="center"/>
        </w:trPr>
        <w:tc>
          <w:tcPr>
            <w:tcW w:w="3770" w:type="dxa"/>
            <w:tcBorders>
              <w:top w:val="nil"/>
              <w:left w:val="single" w:sz="8" w:space="0" w:color="auto"/>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b/>
                <w:bCs/>
                <w:color w:val="000000" w:themeColor="text1"/>
                <w:sz w:val="18"/>
                <w:szCs w:val="18"/>
                <w:lang w:eastAsia="ro-RO"/>
              </w:rPr>
            </w:pPr>
            <w:r w:rsidRPr="00242122">
              <w:rPr>
                <w:rFonts w:ascii="Arial" w:eastAsia="Times New Roman" w:hAnsi="Arial" w:cs="Arial"/>
                <w:b/>
                <w:bCs/>
                <w:color w:val="000000" w:themeColor="text1"/>
                <w:sz w:val="18"/>
                <w:szCs w:val="18"/>
                <w:lang w:eastAsia="ro-RO"/>
              </w:rPr>
              <w:t>Moderată (%) / Moderat (%)</w:t>
            </w:r>
          </w:p>
        </w:tc>
        <w:tc>
          <w:tcPr>
            <w:tcW w:w="1440" w:type="dxa"/>
            <w:tcBorders>
              <w:top w:val="nil"/>
              <w:left w:val="nil"/>
              <w:bottom w:val="single" w:sz="4" w:space="0" w:color="auto"/>
              <w:right w:val="single" w:sz="8" w:space="0" w:color="auto"/>
            </w:tcBorders>
            <w:vAlign w:val="center"/>
          </w:tcPr>
          <w:p w:rsidR="00924A0A" w:rsidRPr="00242122" w:rsidRDefault="00924A0A" w:rsidP="00B8293F">
            <w:pPr>
              <w:spacing w:after="0" w:line="240" w:lineRule="auto"/>
              <w:jc w:val="center"/>
              <w:rPr>
                <w:rFonts w:ascii="Arial" w:eastAsia="Times New Roman" w:hAnsi="Arial" w:cs="Arial"/>
                <w:b/>
                <w:color w:val="000000" w:themeColor="text1"/>
                <w:sz w:val="18"/>
                <w:szCs w:val="18"/>
                <w:lang w:eastAsia="ro-RO"/>
              </w:rPr>
            </w:pPr>
            <w:r w:rsidRPr="00242122">
              <w:rPr>
                <w:rFonts w:ascii="Arial" w:eastAsia="Times New Roman" w:hAnsi="Arial" w:cs="Arial"/>
                <w:b/>
                <w:color w:val="000000" w:themeColor="text1"/>
                <w:sz w:val="18"/>
                <w:szCs w:val="18"/>
                <w:lang w:eastAsia="ro-RO"/>
              </w:rPr>
              <w:t>53,69</w:t>
            </w:r>
          </w:p>
        </w:tc>
      </w:tr>
      <w:tr w:rsidR="00924A0A" w:rsidRPr="00242122" w:rsidTr="00B8293F">
        <w:trPr>
          <w:trHeight w:val="277"/>
          <w:jc w:val="center"/>
        </w:trPr>
        <w:tc>
          <w:tcPr>
            <w:tcW w:w="3770" w:type="dxa"/>
            <w:tcBorders>
              <w:top w:val="nil"/>
              <w:left w:val="single" w:sz="8" w:space="0" w:color="auto"/>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b/>
                <w:bCs/>
                <w:color w:val="000000" w:themeColor="text1"/>
                <w:sz w:val="18"/>
                <w:szCs w:val="18"/>
                <w:lang w:eastAsia="ro-RO"/>
              </w:rPr>
            </w:pPr>
            <w:r w:rsidRPr="00242122">
              <w:rPr>
                <w:rFonts w:ascii="Arial" w:eastAsia="Times New Roman" w:hAnsi="Arial" w:cs="Arial"/>
                <w:b/>
                <w:bCs/>
                <w:color w:val="000000" w:themeColor="text1"/>
                <w:sz w:val="18"/>
                <w:szCs w:val="18"/>
                <w:lang w:eastAsia="ro-RO"/>
              </w:rPr>
              <w:t>Slabă (%)</w:t>
            </w:r>
          </w:p>
        </w:tc>
        <w:tc>
          <w:tcPr>
            <w:tcW w:w="1440" w:type="dxa"/>
            <w:tcBorders>
              <w:top w:val="nil"/>
              <w:left w:val="nil"/>
              <w:bottom w:val="single" w:sz="4" w:space="0" w:color="auto"/>
              <w:right w:val="single" w:sz="8" w:space="0" w:color="auto"/>
            </w:tcBorders>
            <w:vAlign w:val="center"/>
          </w:tcPr>
          <w:p w:rsidR="00924A0A" w:rsidRPr="00242122" w:rsidRDefault="00924A0A" w:rsidP="00B8293F">
            <w:pPr>
              <w:spacing w:after="0" w:line="240" w:lineRule="auto"/>
              <w:jc w:val="center"/>
              <w:rPr>
                <w:rFonts w:ascii="Arial" w:eastAsia="Times New Roman" w:hAnsi="Arial" w:cs="Arial"/>
                <w:b/>
                <w:color w:val="000000" w:themeColor="text1"/>
                <w:sz w:val="18"/>
                <w:szCs w:val="18"/>
                <w:lang w:eastAsia="ro-RO"/>
              </w:rPr>
            </w:pPr>
            <w:r w:rsidRPr="00242122">
              <w:rPr>
                <w:rFonts w:ascii="Arial" w:eastAsia="Times New Roman" w:hAnsi="Arial" w:cs="Arial"/>
                <w:b/>
                <w:color w:val="000000" w:themeColor="text1"/>
                <w:sz w:val="18"/>
                <w:szCs w:val="18"/>
                <w:lang w:eastAsia="ro-RO"/>
              </w:rPr>
              <w:t>7,76</w:t>
            </w:r>
          </w:p>
        </w:tc>
      </w:tr>
      <w:tr w:rsidR="00924A0A" w:rsidRPr="00242122" w:rsidTr="00B8293F">
        <w:trPr>
          <w:trHeight w:val="277"/>
          <w:jc w:val="center"/>
        </w:trPr>
        <w:tc>
          <w:tcPr>
            <w:tcW w:w="3770" w:type="dxa"/>
            <w:tcBorders>
              <w:top w:val="nil"/>
              <w:left w:val="single" w:sz="8" w:space="0" w:color="auto"/>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b/>
                <w:bCs/>
                <w:color w:val="000000" w:themeColor="text1"/>
                <w:sz w:val="18"/>
                <w:szCs w:val="18"/>
                <w:lang w:eastAsia="ro-RO"/>
              </w:rPr>
            </w:pPr>
            <w:r w:rsidRPr="00242122">
              <w:rPr>
                <w:rFonts w:ascii="Arial" w:eastAsia="Times New Roman" w:hAnsi="Arial" w:cs="Arial"/>
                <w:b/>
                <w:bCs/>
                <w:color w:val="000000" w:themeColor="text1"/>
                <w:sz w:val="18"/>
                <w:szCs w:val="18"/>
                <w:lang w:eastAsia="ro-RO"/>
              </w:rPr>
              <w:t>Proastă (%)</w:t>
            </w:r>
          </w:p>
        </w:tc>
        <w:tc>
          <w:tcPr>
            <w:tcW w:w="1440" w:type="dxa"/>
            <w:tcBorders>
              <w:top w:val="nil"/>
              <w:left w:val="nil"/>
              <w:bottom w:val="single" w:sz="4" w:space="0" w:color="auto"/>
              <w:right w:val="single" w:sz="8" w:space="0" w:color="auto"/>
            </w:tcBorders>
            <w:vAlign w:val="center"/>
          </w:tcPr>
          <w:p w:rsidR="00924A0A" w:rsidRPr="00242122" w:rsidRDefault="00924A0A" w:rsidP="00B8293F">
            <w:pPr>
              <w:spacing w:after="0" w:line="240" w:lineRule="auto"/>
              <w:jc w:val="center"/>
              <w:rPr>
                <w:rFonts w:ascii="Arial" w:eastAsia="Times New Roman" w:hAnsi="Arial" w:cs="Arial"/>
                <w:b/>
                <w:color w:val="000000" w:themeColor="text1"/>
                <w:sz w:val="18"/>
                <w:szCs w:val="18"/>
                <w:lang w:eastAsia="ro-RO"/>
              </w:rPr>
            </w:pPr>
            <w:r w:rsidRPr="00242122">
              <w:rPr>
                <w:rFonts w:ascii="Arial" w:eastAsia="Times New Roman" w:hAnsi="Arial" w:cs="Arial"/>
                <w:b/>
                <w:color w:val="000000" w:themeColor="text1"/>
                <w:sz w:val="18"/>
                <w:szCs w:val="18"/>
                <w:lang w:eastAsia="ro-RO"/>
              </w:rPr>
              <w:t>0,78</w:t>
            </w:r>
          </w:p>
        </w:tc>
      </w:tr>
      <w:tr w:rsidR="00924A0A" w:rsidRPr="00242122" w:rsidTr="00B8293F">
        <w:trPr>
          <w:trHeight w:val="277"/>
          <w:jc w:val="center"/>
        </w:trPr>
        <w:tc>
          <w:tcPr>
            <w:tcW w:w="3770" w:type="dxa"/>
            <w:tcBorders>
              <w:top w:val="nil"/>
              <w:left w:val="single" w:sz="8" w:space="0" w:color="auto"/>
              <w:bottom w:val="single" w:sz="4" w:space="0" w:color="auto"/>
              <w:right w:val="single" w:sz="4" w:space="0" w:color="auto"/>
            </w:tcBorders>
            <w:shd w:val="clear" w:color="auto" w:fill="auto"/>
            <w:vAlign w:val="center"/>
            <w:hideMark/>
          </w:tcPr>
          <w:p w:rsidR="00924A0A" w:rsidRPr="00242122" w:rsidRDefault="00924A0A" w:rsidP="00B8293F">
            <w:pPr>
              <w:spacing w:after="0" w:line="240" w:lineRule="auto"/>
              <w:jc w:val="center"/>
              <w:rPr>
                <w:rFonts w:ascii="Arial" w:eastAsia="Times New Roman" w:hAnsi="Arial" w:cs="Arial"/>
                <w:b/>
                <w:bCs/>
                <w:color w:val="000000" w:themeColor="text1"/>
                <w:sz w:val="18"/>
                <w:szCs w:val="18"/>
                <w:lang w:eastAsia="ro-RO"/>
              </w:rPr>
            </w:pPr>
            <w:r w:rsidRPr="00242122">
              <w:rPr>
                <w:rFonts w:ascii="Arial" w:eastAsia="Times New Roman" w:hAnsi="Arial" w:cs="Arial"/>
                <w:b/>
                <w:bCs/>
                <w:color w:val="000000" w:themeColor="text1"/>
                <w:sz w:val="18"/>
                <w:szCs w:val="18"/>
                <w:lang w:eastAsia="ro-RO"/>
              </w:rPr>
              <w:t>SE inferioară stării bune (%)</w:t>
            </w:r>
          </w:p>
        </w:tc>
        <w:tc>
          <w:tcPr>
            <w:tcW w:w="1440" w:type="dxa"/>
            <w:tcBorders>
              <w:top w:val="nil"/>
              <w:left w:val="nil"/>
              <w:bottom w:val="single" w:sz="4" w:space="0" w:color="auto"/>
              <w:right w:val="single" w:sz="8" w:space="0" w:color="auto"/>
            </w:tcBorders>
            <w:vAlign w:val="center"/>
          </w:tcPr>
          <w:p w:rsidR="00924A0A" w:rsidRPr="00242122" w:rsidRDefault="00924A0A" w:rsidP="00B8293F">
            <w:pPr>
              <w:spacing w:after="0" w:line="240" w:lineRule="auto"/>
              <w:jc w:val="center"/>
              <w:rPr>
                <w:rFonts w:ascii="Arial" w:eastAsia="Times New Roman" w:hAnsi="Arial" w:cs="Arial"/>
                <w:b/>
                <w:color w:val="000000" w:themeColor="text1"/>
                <w:sz w:val="18"/>
                <w:szCs w:val="18"/>
                <w:lang w:eastAsia="ro-RO"/>
              </w:rPr>
            </w:pPr>
            <w:r w:rsidRPr="00242122">
              <w:rPr>
                <w:rFonts w:ascii="Arial" w:eastAsia="Times New Roman" w:hAnsi="Arial" w:cs="Arial"/>
                <w:b/>
                <w:color w:val="000000" w:themeColor="text1"/>
                <w:sz w:val="18"/>
                <w:szCs w:val="18"/>
                <w:lang w:eastAsia="ro-RO"/>
              </w:rPr>
              <w:t>62,23</w:t>
            </w:r>
          </w:p>
        </w:tc>
      </w:tr>
      <w:tr w:rsidR="00924A0A" w:rsidRPr="00242122" w:rsidTr="00B8293F">
        <w:trPr>
          <w:trHeight w:val="471"/>
          <w:jc w:val="center"/>
        </w:trPr>
        <w:tc>
          <w:tcPr>
            <w:tcW w:w="3770" w:type="dxa"/>
            <w:tcBorders>
              <w:top w:val="nil"/>
              <w:left w:val="single" w:sz="8" w:space="0" w:color="auto"/>
              <w:bottom w:val="single" w:sz="4" w:space="0" w:color="auto"/>
              <w:right w:val="single" w:sz="4" w:space="0" w:color="auto"/>
            </w:tcBorders>
            <w:shd w:val="clear" w:color="auto" w:fill="auto"/>
            <w:vAlign w:val="center"/>
            <w:hideMark/>
          </w:tcPr>
          <w:p w:rsidR="00924A0A" w:rsidRPr="00242122" w:rsidRDefault="00924A0A" w:rsidP="00B8293F">
            <w:pPr>
              <w:spacing w:after="0" w:line="240" w:lineRule="auto"/>
              <w:jc w:val="center"/>
              <w:rPr>
                <w:rFonts w:ascii="Arial" w:eastAsia="Times New Roman" w:hAnsi="Arial" w:cs="Arial"/>
                <w:b/>
                <w:bCs/>
                <w:color w:val="000000" w:themeColor="text1"/>
                <w:sz w:val="18"/>
                <w:szCs w:val="18"/>
                <w:lang w:eastAsia="ro-RO"/>
              </w:rPr>
            </w:pPr>
            <w:r w:rsidRPr="00242122">
              <w:rPr>
                <w:rFonts w:ascii="Arial" w:eastAsia="Times New Roman" w:hAnsi="Arial" w:cs="Arial"/>
                <w:b/>
                <w:bCs/>
                <w:color w:val="000000" w:themeColor="text1"/>
                <w:sz w:val="18"/>
                <w:szCs w:val="18"/>
                <w:lang w:eastAsia="ro-RO"/>
              </w:rPr>
              <w:t>Lungime rețea de râu monitorizată (km)</w:t>
            </w:r>
          </w:p>
        </w:tc>
        <w:tc>
          <w:tcPr>
            <w:tcW w:w="1440" w:type="dxa"/>
            <w:tcBorders>
              <w:top w:val="nil"/>
              <w:left w:val="nil"/>
              <w:bottom w:val="single" w:sz="4" w:space="0" w:color="auto"/>
              <w:right w:val="single" w:sz="8" w:space="0" w:color="auto"/>
            </w:tcBorders>
            <w:vAlign w:val="center"/>
          </w:tcPr>
          <w:p w:rsidR="00924A0A" w:rsidRPr="00242122" w:rsidRDefault="00924A0A" w:rsidP="00B8293F">
            <w:pPr>
              <w:spacing w:after="0" w:line="240" w:lineRule="auto"/>
              <w:jc w:val="center"/>
              <w:rPr>
                <w:rFonts w:ascii="Arial" w:eastAsia="Times New Roman" w:hAnsi="Arial" w:cs="Arial"/>
                <w:b/>
                <w:color w:val="000000" w:themeColor="text1"/>
                <w:sz w:val="18"/>
                <w:szCs w:val="18"/>
                <w:lang w:eastAsia="ro-RO"/>
              </w:rPr>
            </w:pPr>
            <w:r w:rsidRPr="00242122">
              <w:rPr>
                <w:rFonts w:ascii="Arial" w:eastAsia="Times New Roman" w:hAnsi="Arial" w:cs="Arial"/>
                <w:b/>
                <w:color w:val="000000" w:themeColor="text1"/>
                <w:sz w:val="18"/>
                <w:szCs w:val="18"/>
                <w:lang w:eastAsia="ro-RO"/>
              </w:rPr>
              <w:t>38874,173</w:t>
            </w:r>
          </w:p>
        </w:tc>
      </w:tr>
      <w:tr w:rsidR="00924A0A" w:rsidRPr="00242122" w:rsidTr="00B8293F">
        <w:trPr>
          <w:trHeight w:val="485"/>
          <w:jc w:val="center"/>
        </w:trPr>
        <w:tc>
          <w:tcPr>
            <w:tcW w:w="3770" w:type="dxa"/>
            <w:tcBorders>
              <w:top w:val="nil"/>
              <w:left w:val="single" w:sz="8" w:space="0" w:color="auto"/>
              <w:bottom w:val="single" w:sz="8" w:space="0" w:color="auto"/>
              <w:right w:val="single" w:sz="4" w:space="0" w:color="auto"/>
            </w:tcBorders>
            <w:shd w:val="clear" w:color="auto" w:fill="auto"/>
            <w:vAlign w:val="center"/>
            <w:hideMark/>
          </w:tcPr>
          <w:p w:rsidR="00924A0A" w:rsidRPr="00242122" w:rsidRDefault="00924A0A" w:rsidP="00B8293F">
            <w:pPr>
              <w:spacing w:after="0" w:line="240" w:lineRule="auto"/>
              <w:jc w:val="center"/>
              <w:rPr>
                <w:rFonts w:ascii="Arial" w:eastAsia="Times New Roman" w:hAnsi="Arial" w:cs="Arial"/>
                <w:b/>
                <w:bCs/>
                <w:color w:val="000000" w:themeColor="text1"/>
                <w:sz w:val="18"/>
                <w:szCs w:val="18"/>
                <w:lang w:eastAsia="ro-RO"/>
              </w:rPr>
            </w:pPr>
            <w:r w:rsidRPr="00242122">
              <w:rPr>
                <w:rFonts w:ascii="Arial" w:eastAsia="Times New Roman" w:hAnsi="Arial" w:cs="Arial"/>
                <w:b/>
                <w:bCs/>
                <w:color w:val="000000" w:themeColor="text1"/>
                <w:sz w:val="18"/>
                <w:szCs w:val="18"/>
                <w:lang w:eastAsia="ro-RO"/>
              </w:rPr>
              <w:t>Numărul secțiunilor de monitorizare</w:t>
            </w:r>
          </w:p>
        </w:tc>
        <w:tc>
          <w:tcPr>
            <w:tcW w:w="1440" w:type="dxa"/>
            <w:tcBorders>
              <w:top w:val="nil"/>
              <w:left w:val="nil"/>
              <w:bottom w:val="single" w:sz="8" w:space="0" w:color="auto"/>
              <w:right w:val="single" w:sz="8" w:space="0" w:color="auto"/>
            </w:tcBorders>
            <w:vAlign w:val="center"/>
          </w:tcPr>
          <w:p w:rsidR="00924A0A" w:rsidRPr="00242122" w:rsidRDefault="00924A0A" w:rsidP="00B8293F">
            <w:pPr>
              <w:spacing w:after="0" w:line="240" w:lineRule="auto"/>
              <w:jc w:val="center"/>
              <w:rPr>
                <w:rFonts w:ascii="Arial" w:eastAsia="Times New Roman" w:hAnsi="Arial" w:cs="Arial"/>
                <w:b/>
                <w:color w:val="000000" w:themeColor="text1"/>
                <w:sz w:val="18"/>
                <w:szCs w:val="18"/>
                <w:lang w:eastAsia="ro-RO"/>
              </w:rPr>
            </w:pPr>
            <w:r w:rsidRPr="00242122">
              <w:rPr>
                <w:rFonts w:ascii="Arial" w:eastAsia="Times New Roman" w:hAnsi="Arial" w:cs="Arial"/>
                <w:b/>
                <w:color w:val="000000" w:themeColor="text1"/>
                <w:sz w:val="18"/>
                <w:szCs w:val="18"/>
                <w:lang w:eastAsia="ro-RO"/>
              </w:rPr>
              <w:t>1166</w:t>
            </w:r>
          </w:p>
        </w:tc>
      </w:tr>
    </w:tbl>
    <w:p w:rsidR="00924A0A" w:rsidRPr="00242122" w:rsidRDefault="00924A0A" w:rsidP="00924A0A">
      <w:pPr>
        <w:spacing w:after="0"/>
        <w:ind w:left="900" w:hanging="900"/>
        <w:jc w:val="both"/>
        <w:rPr>
          <w:rFonts w:ascii="Arial" w:hAnsi="Arial" w:cs="Arial"/>
          <w:i/>
          <w:iCs/>
          <w:color w:val="000000"/>
          <w:sz w:val="20"/>
          <w:szCs w:val="20"/>
          <w:lang w:eastAsia="ro-RO"/>
        </w:rPr>
      </w:pPr>
      <w:r w:rsidRPr="00242122">
        <w:rPr>
          <w:rFonts w:ascii="Arial" w:hAnsi="Arial" w:cs="Arial"/>
          <w:i/>
          <w:iCs/>
          <w:color w:val="000000"/>
          <w:sz w:val="20"/>
          <w:szCs w:val="20"/>
          <w:lang w:eastAsia="ro-RO"/>
        </w:rPr>
        <w:t>(Sursa: Administraţia Naţională “Apele Române”, Sinteza calităţii apelor din România în anul 2021)</w:t>
      </w:r>
    </w:p>
    <w:p w:rsidR="00924A0A" w:rsidRPr="00242122" w:rsidRDefault="00924A0A" w:rsidP="00924A0A">
      <w:pPr>
        <w:rPr>
          <w:rFonts w:ascii="Arial" w:hAnsi="Arial" w:cs="Arial"/>
          <w:b/>
          <w:color w:val="FF0000"/>
          <w:sz w:val="24"/>
          <w:szCs w:val="24"/>
        </w:rPr>
      </w:pPr>
    </w:p>
    <w:p w:rsidR="00924A0A" w:rsidRPr="00242122" w:rsidRDefault="00924A0A" w:rsidP="00924A0A">
      <w:pPr>
        <w:spacing w:line="240" w:lineRule="auto"/>
        <w:rPr>
          <w:rFonts w:ascii="Arial" w:hAnsi="Arial" w:cs="Arial"/>
          <w:b/>
          <w:iCs/>
          <w:sz w:val="24"/>
          <w:szCs w:val="24"/>
        </w:rPr>
      </w:pPr>
      <w:r w:rsidRPr="00242122">
        <w:rPr>
          <w:rFonts w:ascii="Arial" w:hAnsi="Arial" w:cs="Arial"/>
          <w:b/>
          <w:iCs/>
          <w:sz w:val="24"/>
          <w:szCs w:val="24"/>
        </w:rPr>
        <w:t>II.2.1.2. Calitatea apei lacurilor</w:t>
      </w:r>
    </w:p>
    <w:p w:rsidR="00924A0A" w:rsidRPr="005B6804" w:rsidRDefault="00924A0A" w:rsidP="00924A0A">
      <w:pPr>
        <w:spacing w:after="0"/>
        <w:jc w:val="center"/>
        <w:rPr>
          <w:rFonts w:ascii="Arial" w:hAnsi="Arial" w:cs="Arial"/>
          <w:b/>
          <w:sz w:val="24"/>
          <w:szCs w:val="24"/>
        </w:rPr>
      </w:pPr>
    </w:p>
    <w:p w:rsidR="00924A0A" w:rsidRPr="00242122" w:rsidRDefault="00924A0A" w:rsidP="00924A0A">
      <w:pPr>
        <w:spacing w:after="0"/>
        <w:jc w:val="center"/>
        <w:rPr>
          <w:rFonts w:ascii="Arial" w:hAnsi="Arial" w:cs="Arial"/>
          <w:b/>
          <w:sz w:val="24"/>
          <w:szCs w:val="24"/>
        </w:rPr>
      </w:pPr>
      <w:r w:rsidRPr="005B6804">
        <w:rPr>
          <w:rFonts w:ascii="Arial" w:hAnsi="Arial" w:cs="Arial"/>
          <w:b/>
          <w:sz w:val="24"/>
          <w:szCs w:val="24"/>
        </w:rPr>
        <w:t>Indicator VHS 03.  Substanțele periculoase din lacuri RO 66</w:t>
      </w:r>
    </w:p>
    <w:p w:rsidR="00924A0A" w:rsidRPr="00242122" w:rsidRDefault="00924A0A" w:rsidP="00924A0A">
      <w:pPr>
        <w:spacing w:after="0" w:line="240" w:lineRule="auto"/>
        <w:jc w:val="both"/>
        <w:rPr>
          <w:rFonts w:ascii="Arial" w:hAnsi="Arial" w:cs="Arial"/>
          <w:b/>
          <w:i/>
          <w:sz w:val="24"/>
          <w:szCs w:val="24"/>
        </w:rPr>
      </w:pPr>
    </w:p>
    <w:p w:rsidR="00924A0A" w:rsidRPr="00242122" w:rsidRDefault="00924A0A" w:rsidP="00924A0A">
      <w:pPr>
        <w:spacing w:after="0" w:line="240" w:lineRule="auto"/>
        <w:jc w:val="both"/>
        <w:rPr>
          <w:rFonts w:ascii="Arial" w:hAnsi="Arial" w:cs="Arial"/>
          <w:b/>
          <w:i/>
          <w:sz w:val="24"/>
          <w:szCs w:val="24"/>
          <w:u w:val="single"/>
        </w:rPr>
      </w:pPr>
      <w:r w:rsidRPr="00242122">
        <w:rPr>
          <w:rFonts w:ascii="Arial" w:hAnsi="Arial" w:cs="Arial"/>
          <w:b/>
          <w:i/>
          <w:sz w:val="24"/>
          <w:szCs w:val="24"/>
        </w:rPr>
        <w:t xml:space="preserve">Pentru acest indicator s-a avut în vedere raportarea </w:t>
      </w:r>
      <w:r w:rsidRPr="00242122">
        <w:rPr>
          <w:rFonts w:ascii="Arial" w:hAnsi="Arial" w:cs="Arial"/>
          <w:b/>
          <w:i/>
          <w:sz w:val="24"/>
          <w:szCs w:val="24"/>
          <w:u w:val="single"/>
        </w:rPr>
        <w:t>substanțelor prioritare</w:t>
      </w:r>
      <w:r w:rsidRPr="00242122">
        <w:rPr>
          <w:rFonts w:ascii="Arial" w:hAnsi="Arial" w:cs="Arial"/>
          <w:b/>
          <w:i/>
          <w:sz w:val="24"/>
          <w:szCs w:val="24"/>
        </w:rPr>
        <w:t xml:space="preserve"> din HG 570/2016 care stau la baza evaluării stării chimice a apelor de suprafață (mediul de investigare APĂ). De asemenea, </w:t>
      </w:r>
      <w:r w:rsidRPr="00242122">
        <w:rPr>
          <w:rFonts w:ascii="Arial" w:hAnsi="Arial" w:cs="Arial"/>
          <w:b/>
          <w:i/>
          <w:sz w:val="24"/>
          <w:szCs w:val="24"/>
          <w:u w:val="single"/>
        </w:rPr>
        <w:t xml:space="preserve">prin depășiri față de SCM se înțelege atât depășirile față de SCM-MA, </w:t>
      </w:r>
      <w:r w:rsidRPr="00242122">
        <w:rPr>
          <w:rFonts w:ascii="Arial" w:hAnsi="Arial" w:cs="Arial"/>
          <w:b/>
          <w:sz w:val="24"/>
          <w:szCs w:val="24"/>
          <w:u w:val="single"/>
        </w:rPr>
        <w:t xml:space="preserve">valoarea mediei aritmetice, </w:t>
      </w:r>
      <w:r w:rsidRPr="00242122">
        <w:rPr>
          <w:rFonts w:ascii="Arial" w:hAnsi="Arial" w:cs="Arial"/>
          <w:b/>
          <w:i/>
          <w:sz w:val="24"/>
          <w:szCs w:val="24"/>
          <w:u w:val="single"/>
        </w:rPr>
        <w:t xml:space="preserve">cât și față de SCM-CMA, </w:t>
      </w:r>
      <w:r w:rsidRPr="00242122">
        <w:rPr>
          <w:rFonts w:ascii="Arial" w:hAnsi="Arial" w:cs="Arial"/>
          <w:b/>
          <w:sz w:val="24"/>
          <w:szCs w:val="24"/>
          <w:u w:val="single"/>
        </w:rPr>
        <w:t>valoarea concentrației maxime admisibile</w:t>
      </w:r>
      <w:r w:rsidRPr="00242122">
        <w:rPr>
          <w:rFonts w:ascii="Arial" w:hAnsi="Arial" w:cs="Arial"/>
          <w:b/>
          <w:i/>
          <w:sz w:val="24"/>
          <w:szCs w:val="24"/>
          <w:u w:val="single"/>
        </w:rPr>
        <w:t xml:space="preserve"> (conform H.G. 570/2016).</w:t>
      </w:r>
    </w:p>
    <w:p w:rsidR="00924A0A" w:rsidRPr="00242122" w:rsidRDefault="00924A0A" w:rsidP="00924A0A">
      <w:pPr>
        <w:spacing w:line="240" w:lineRule="auto"/>
        <w:rPr>
          <w:rFonts w:ascii="Arial" w:hAnsi="Arial" w:cs="Arial"/>
          <w:color w:val="FF0000"/>
        </w:rPr>
      </w:pPr>
    </w:p>
    <w:p w:rsidR="00924A0A" w:rsidRPr="00242122" w:rsidRDefault="00924A0A" w:rsidP="00924A0A">
      <w:pPr>
        <w:spacing w:after="0" w:line="240" w:lineRule="auto"/>
        <w:jc w:val="both"/>
        <w:rPr>
          <w:rFonts w:ascii="Arial" w:hAnsi="Arial" w:cs="Arial"/>
          <w:b/>
          <w:i/>
          <w:sz w:val="24"/>
          <w:szCs w:val="24"/>
        </w:rPr>
      </w:pPr>
      <w:r w:rsidRPr="00242122">
        <w:rPr>
          <w:rFonts w:ascii="Arial" w:hAnsi="Arial" w:cs="Arial"/>
          <w:b/>
          <w:i/>
          <w:sz w:val="24"/>
          <w:szCs w:val="24"/>
        </w:rPr>
        <w:t>Distribuția numărului de substanțe prioritare monitorizate în lacuri (lacuri naturale, puternic modificate și artificiale) pe spații/bazine hidrografice în anul 2021</w:t>
      </w:r>
    </w:p>
    <w:p w:rsidR="00924A0A" w:rsidRPr="00242122" w:rsidRDefault="00924A0A" w:rsidP="00924A0A">
      <w:pPr>
        <w:spacing w:after="0" w:line="240" w:lineRule="auto"/>
        <w:jc w:val="both"/>
        <w:rPr>
          <w:rFonts w:ascii="Arial" w:hAnsi="Arial" w:cs="Arial"/>
          <w:b/>
          <w:i/>
          <w:color w:val="FF0000"/>
          <w:sz w:val="24"/>
          <w:szCs w:val="24"/>
        </w:rPr>
      </w:pPr>
    </w:p>
    <w:tbl>
      <w:tblPr>
        <w:tblW w:w="7290" w:type="dxa"/>
        <w:jc w:val="center"/>
        <w:tblLook w:val="04A0" w:firstRow="1" w:lastRow="0" w:firstColumn="1" w:lastColumn="0" w:noHBand="0" w:noVBand="1"/>
      </w:tblPr>
      <w:tblGrid>
        <w:gridCol w:w="2150"/>
        <w:gridCol w:w="1600"/>
        <w:gridCol w:w="1820"/>
        <w:gridCol w:w="1720"/>
      </w:tblGrid>
      <w:tr w:rsidR="00924A0A" w:rsidRPr="00242122" w:rsidTr="00B8293F">
        <w:trPr>
          <w:trHeight w:val="300"/>
          <w:jc w:val="center"/>
        </w:trPr>
        <w:tc>
          <w:tcPr>
            <w:tcW w:w="215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Spaţiu / Bazin hidrografic</w:t>
            </w:r>
          </w:p>
        </w:tc>
        <w:tc>
          <w:tcPr>
            <w:tcW w:w="1600" w:type="dxa"/>
            <w:vMerge w:val="restart"/>
            <w:tcBorders>
              <w:top w:val="single" w:sz="8" w:space="0" w:color="auto"/>
              <w:left w:val="single" w:sz="8" w:space="0" w:color="auto"/>
              <w:bottom w:val="nil"/>
              <w:right w:val="single" w:sz="8" w:space="0" w:color="auto"/>
            </w:tcBorders>
            <w:shd w:val="clear" w:color="auto" w:fill="auto"/>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Secțiuni monitorizate (nr.)</w:t>
            </w:r>
          </w:p>
        </w:tc>
        <w:tc>
          <w:tcPr>
            <w:tcW w:w="3540" w:type="dxa"/>
            <w:gridSpan w:val="2"/>
            <w:tcBorders>
              <w:top w:val="single" w:sz="8" w:space="0" w:color="auto"/>
              <w:left w:val="nil"/>
              <w:bottom w:val="single" w:sz="8" w:space="0" w:color="auto"/>
              <w:right w:val="single" w:sz="8" w:space="0" w:color="000000"/>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Substanțe prioritare APA</w:t>
            </w:r>
          </w:p>
        </w:tc>
      </w:tr>
      <w:tr w:rsidR="00924A0A" w:rsidRPr="00242122" w:rsidTr="00B8293F">
        <w:trPr>
          <w:trHeight w:val="713"/>
          <w:jc w:val="center"/>
        </w:trPr>
        <w:tc>
          <w:tcPr>
            <w:tcW w:w="2150" w:type="dxa"/>
            <w:vMerge/>
            <w:tcBorders>
              <w:top w:val="single" w:sz="8" w:space="0" w:color="auto"/>
              <w:left w:val="single" w:sz="8" w:space="0" w:color="auto"/>
              <w:bottom w:val="single" w:sz="8" w:space="0" w:color="000000"/>
              <w:right w:val="single" w:sz="8" w:space="0" w:color="auto"/>
            </w:tcBorders>
            <w:vAlign w:val="center"/>
            <w:hideMark/>
          </w:tcPr>
          <w:p w:rsidR="00924A0A" w:rsidRPr="00242122" w:rsidRDefault="00924A0A" w:rsidP="00B8293F">
            <w:pPr>
              <w:spacing w:after="0" w:line="240" w:lineRule="auto"/>
              <w:rPr>
                <w:rFonts w:ascii="Arial" w:eastAsia="Times New Roman" w:hAnsi="Arial" w:cs="Arial"/>
                <w:b/>
                <w:bCs/>
                <w:sz w:val="20"/>
                <w:szCs w:val="20"/>
                <w:lang w:eastAsia="ro-RO"/>
              </w:rPr>
            </w:pPr>
          </w:p>
        </w:tc>
        <w:tc>
          <w:tcPr>
            <w:tcW w:w="1600" w:type="dxa"/>
            <w:vMerge/>
            <w:tcBorders>
              <w:top w:val="single" w:sz="8" w:space="0" w:color="auto"/>
              <w:left w:val="single" w:sz="8" w:space="0" w:color="auto"/>
              <w:bottom w:val="nil"/>
              <w:right w:val="single" w:sz="8" w:space="0" w:color="auto"/>
            </w:tcBorders>
            <w:vAlign w:val="center"/>
            <w:hideMark/>
          </w:tcPr>
          <w:p w:rsidR="00924A0A" w:rsidRPr="00242122" w:rsidRDefault="00924A0A" w:rsidP="00B8293F">
            <w:pPr>
              <w:spacing w:after="0" w:line="240" w:lineRule="auto"/>
              <w:rPr>
                <w:rFonts w:ascii="Arial" w:eastAsia="Times New Roman" w:hAnsi="Arial" w:cs="Arial"/>
                <w:b/>
                <w:bCs/>
                <w:sz w:val="20"/>
                <w:szCs w:val="20"/>
                <w:lang w:eastAsia="ro-RO"/>
              </w:rPr>
            </w:pPr>
          </w:p>
        </w:tc>
        <w:tc>
          <w:tcPr>
            <w:tcW w:w="1820" w:type="dxa"/>
            <w:tcBorders>
              <w:top w:val="nil"/>
              <w:left w:val="nil"/>
              <w:bottom w:val="nil"/>
              <w:right w:val="single" w:sz="8" w:space="0" w:color="auto"/>
            </w:tcBorders>
            <w:shd w:val="clear" w:color="auto" w:fill="auto"/>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Metale prioritare (nr.)</w:t>
            </w:r>
          </w:p>
        </w:tc>
        <w:tc>
          <w:tcPr>
            <w:tcW w:w="1720" w:type="dxa"/>
            <w:tcBorders>
              <w:top w:val="nil"/>
              <w:left w:val="nil"/>
              <w:bottom w:val="nil"/>
              <w:right w:val="single" w:sz="8" w:space="0" w:color="auto"/>
            </w:tcBorders>
            <w:shd w:val="clear" w:color="auto" w:fill="auto"/>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Micropoluanţi organici (nr.)</w:t>
            </w:r>
          </w:p>
        </w:tc>
      </w:tr>
      <w:tr w:rsidR="00924A0A" w:rsidRPr="00242122" w:rsidTr="00B8293F">
        <w:trPr>
          <w:trHeight w:val="300"/>
          <w:jc w:val="center"/>
        </w:trPr>
        <w:tc>
          <w:tcPr>
            <w:tcW w:w="2150" w:type="dxa"/>
            <w:tcBorders>
              <w:top w:val="nil"/>
              <w:left w:val="single" w:sz="8" w:space="0" w:color="auto"/>
              <w:bottom w:val="single" w:sz="8" w:space="0" w:color="auto"/>
              <w:right w:val="nil"/>
            </w:tcBorders>
            <w:shd w:val="clear" w:color="auto" w:fill="auto"/>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Someș - Tisa</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22</w:t>
            </w:r>
          </w:p>
        </w:tc>
        <w:tc>
          <w:tcPr>
            <w:tcW w:w="1820" w:type="dxa"/>
            <w:tcBorders>
              <w:top w:val="single" w:sz="4" w:space="0" w:color="auto"/>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3</w:t>
            </w:r>
          </w:p>
        </w:tc>
        <w:tc>
          <w:tcPr>
            <w:tcW w:w="1720" w:type="dxa"/>
            <w:tcBorders>
              <w:top w:val="single" w:sz="4" w:space="0" w:color="auto"/>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10</w:t>
            </w:r>
          </w:p>
        </w:tc>
      </w:tr>
      <w:tr w:rsidR="00924A0A" w:rsidRPr="00242122" w:rsidTr="00B8293F">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Crișuri</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0</w:t>
            </w:r>
          </w:p>
        </w:tc>
        <w:tc>
          <w:tcPr>
            <w:tcW w:w="18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0</w:t>
            </w:r>
          </w:p>
        </w:tc>
        <w:tc>
          <w:tcPr>
            <w:tcW w:w="17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0</w:t>
            </w:r>
          </w:p>
        </w:tc>
      </w:tr>
      <w:tr w:rsidR="00924A0A" w:rsidRPr="00242122" w:rsidTr="00B8293F">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Mureș</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17</w:t>
            </w:r>
          </w:p>
        </w:tc>
        <w:tc>
          <w:tcPr>
            <w:tcW w:w="18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3</w:t>
            </w:r>
          </w:p>
        </w:tc>
        <w:tc>
          <w:tcPr>
            <w:tcW w:w="17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22</w:t>
            </w:r>
          </w:p>
        </w:tc>
      </w:tr>
      <w:tr w:rsidR="00924A0A" w:rsidRPr="00242122" w:rsidTr="00B8293F">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Banat</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5</w:t>
            </w:r>
          </w:p>
        </w:tc>
        <w:tc>
          <w:tcPr>
            <w:tcW w:w="18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3</w:t>
            </w:r>
          </w:p>
        </w:tc>
        <w:tc>
          <w:tcPr>
            <w:tcW w:w="17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6</w:t>
            </w:r>
          </w:p>
        </w:tc>
      </w:tr>
      <w:tr w:rsidR="00924A0A" w:rsidRPr="00242122" w:rsidTr="00B8293F">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Jiu</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6</w:t>
            </w:r>
          </w:p>
        </w:tc>
        <w:tc>
          <w:tcPr>
            <w:tcW w:w="18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3</w:t>
            </w:r>
          </w:p>
        </w:tc>
        <w:tc>
          <w:tcPr>
            <w:tcW w:w="17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9</w:t>
            </w:r>
          </w:p>
        </w:tc>
      </w:tr>
      <w:tr w:rsidR="00924A0A" w:rsidRPr="00242122" w:rsidTr="00B8293F">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Olt</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14</w:t>
            </w:r>
          </w:p>
        </w:tc>
        <w:tc>
          <w:tcPr>
            <w:tcW w:w="18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3</w:t>
            </w:r>
          </w:p>
        </w:tc>
        <w:tc>
          <w:tcPr>
            <w:tcW w:w="17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9</w:t>
            </w:r>
          </w:p>
        </w:tc>
      </w:tr>
      <w:tr w:rsidR="00924A0A" w:rsidRPr="00242122" w:rsidTr="00B8293F">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Argeș - Vedea</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1</w:t>
            </w:r>
          </w:p>
        </w:tc>
        <w:tc>
          <w:tcPr>
            <w:tcW w:w="18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2</w:t>
            </w:r>
          </w:p>
        </w:tc>
        <w:tc>
          <w:tcPr>
            <w:tcW w:w="17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7</w:t>
            </w:r>
          </w:p>
        </w:tc>
      </w:tr>
      <w:tr w:rsidR="00924A0A" w:rsidRPr="00242122" w:rsidTr="00B8293F">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Buzău - Ialomița</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4</w:t>
            </w:r>
          </w:p>
        </w:tc>
        <w:tc>
          <w:tcPr>
            <w:tcW w:w="18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0</w:t>
            </w:r>
          </w:p>
        </w:tc>
        <w:tc>
          <w:tcPr>
            <w:tcW w:w="17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8</w:t>
            </w:r>
          </w:p>
        </w:tc>
      </w:tr>
      <w:tr w:rsidR="00924A0A" w:rsidRPr="00242122" w:rsidTr="00B8293F">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lastRenderedPageBreak/>
              <w:t>Siret</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6</w:t>
            </w:r>
          </w:p>
        </w:tc>
        <w:tc>
          <w:tcPr>
            <w:tcW w:w="18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3</w:t>
            </w:r>
          </w:p>
        </w:tc>
        <w:tc>
          <w:tcPr>
            <w:tcW w:w="17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7</w:t>
            </w:r>
          </w:p>
        </w:tc>
      </w:tr>
      <w:tr w:rsidR="00924A0A" w:rsidRPr="00242122" w:rsidTr="00B8293F">
        <w:trPr>
          <w:trHeight w:val="300"/>
          <w:jc w:val="center"/>
        </w:trPr>
        <w:tc>
          <w:tcPr>
            <w:tcW w:w="2150" w:type="dxa"/>
            <w:tcBorders>
              <w:top w:val="nil"/>
              <w:left w:val="single" w:sz="8" w:space="0" w:color="auto"/>
              <w:bottom w:val="single" w:sz="8" w:space="0" w:color="auto"/>
              <w:right w:val="nil"/>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Prut - Bârlad</w:t>
            </w:r>
          </w:p>
        </w:tc>
        <w:tc>
          <w:tcPr>
            <w:tcW w:w="1600" w:type="dxa"/>
            <w:tcBorders>
              <w:top w:val="nil"/>
              <w:left w:val="single" w:sz="4" w:space="0" w:color="auto"/>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21</w:t>
            </w:r>
          </w:p>
        </w:tc>
        <w:tc>
          <w:tcPr>
            <w:tcW w:w="182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3</w:t>
            </w:r>
          </w:p>
        </w:tc>
        <w:tc>
          <w:tcPr>
            <w:tcW w:w="172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9</w:t>
            </w:r>
          </w:p>
        </w:tc>
      </w:tr>
      <w:tr w:rsidR="00924A0A" w:rsidRPr="00242122" w:rsidTr="00B8293F">
        <w:trPr>
          <w:trHeight w:val="300"/>
          <w:jc w:val="center"/>
        </w:trPr>
        <w:tc>
          <w:tcPr>
            <w:tcW w:w="2150" w:type="dxa"/>
            <w:tcBorders>
              <w:top w:val="nil"/>
              <w:left w:val="single" w:sz="8" w:space="0" w:color="auto"/>
              <w:bottom w:val="single" w:sz="4" w:space="0" w:color="auto"/>
              <w:right w:val="nil"/>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Dobrogea – Litoral*</w:t>
            </w:r>
          </w:p>
        </w:tc>
        <w:tc>
          <w:tcPr>
            <w:tcW w:w="1600" w:type="dxa"/>
            <w:tcBorders>
              <w:top w:val="nil"/>
              <w:left w:val="single" w:sz="4" w:space="0" w:color="auto"/>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14</w:t>
            </w:r>
          </w:p>
        </w:tc>
        <w:tc>
          <w:tcPr>
            <w:tcW w:w="18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3</w:t>
            </w:r>
          </w:p>
        </w:tc>
        <w:tc>
          <w:tcPr>
            <w:tcW w:w="172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sz w:val="20"/>
                <w:szCs w:val="20"/>
                <w:lang w:eastAsia="ro-RO"/>
              </w:rPr>
            </w:pPr>
            <w:r w:rsidRPr="00242122">
              <w:rPr>
                <w:rFonts w:ascii="Arial" w:eastAsia="Times New Roman" w:hAnsi="Arial" w:cs="Arial"/>
                <w:sz w:val="20"/>
                <w:szCs w:val="20"/>
                <w:lang w:eastAsia="ro-RO"/>
              </w:rPr>
              <w:t>5</w:t>
            </w:r>
          </w:p>
        </w:tc>
      </w:tr>
      <w:tr w:rsidR="00924A0A" w:rsidRPr="00242122" w:rsidTr="00B8293F">
        <w:trPr>
          <w:trHeight w:val="300"/>
          <w:jc w:val="center"/>
        </w:trPr>
        <w:tc>
          <w:tcPr>
            <w:tcW w:w="2150" w:type="dxa"/>
            <w:tcBorders>
              <w:top w:val="single" w:sz="4" w:space="0" w:color="auto"/>
              <w:left w:val="single" w:sz="4" w:space="0" w:color="auto"/>
              <w:bottom w:val="single" w:sz="4" w:space="0" w:color="auto"/>
              <w:right w:val="single" w:sz="4" w:space="0" w:color="auto"/>
            </w:tcBorders>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Total</w:t>
            </w:r>
          </w:p>
        </w:tc>
        <w:tc>
          <w:tcPr>
            <w:tcW w:w="1600" w:type="dxa"/>
            <w:tcBorders>
              <w:top w:val="single" w:sz="4" w:space="0" w:color="auto"/>
              <w:left w:val="single" w:sz="4" w:space="0" w:color="auto"/>
              <w:bottom w:val="single" w:sz="4" w:space="0" w:color="auto"/>
              <w:right w:val="single" w:sz="4" w:space="0" w:color="auto"/>
            </w:tcBorders>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110</w:t>
            </w:r>
          </w:p>
        </w:tc>
        <w:tc>
          <w:tcPr>
            <w:tcW w:w="1820" w:type="dxa"/>
            <w:tcBorders>
              <w:top w:val="single" w:sz="4" w:space="0" w:color="auto"/>
              <w:left w:val="single" w:sz="4" w:space="0" w:color="auto"/>
              <w:bottom w:val="single" w:sz="4" w:space="0" w:color="auto"/>
              <w:right w:val="single" w:sz="4" w:space="0" w:color="auto"/>
            </w:tcBorders>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3</w:t>
            </w:r>
          </w:p>
        </w:tc>
        <w:tc>
          <w:tcPr>
            <w:tcW w:w="1720" w:type="dxa"/>
            <w:tcBorders>
              <w:top w:val="single" w:sz="4" w:space="0" w:color="auto"/>
              <w:left w:val="single" w:sz="4" w:space="0" w:color="auto"/>
              <w:bottom w:val="single" w:sz="4" w:space="0" w:color="auto"/>
              <w:right w:val="single" w:sz="4" w:space="0" w:color="auto"/>
            </w:tcBorders>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 w:val="20"/>
                <w:szCs w:val="20"/>
                <w:lang w:eastAsia="ro-RO"/>
              </w:rPr>
            </w:pPr>
            <w:r w:rsidRPr="00242122">
              <w:rPr>
                <w:rFonts w:ascii="Arial" w:eastAsia="Times New Roman" w:hAnsi="Arial" w:cs="Arial"/>
                <w:b/>
                <w:bCs/>
                <w:sz w:val="20"/>
                <w:szCs w:val="20"/>
                <w:lang w:eastAsia="ro-RO"/>
              </w:rPr>
              <w:t>22</w:t>
            </w:r>
          </w:p>
        </w:tc>
      </w:tr>
    </w:tbl>
    <w:p w:rsidR="00924A0A" w:rsidRPr="00242122" w:rsidRDefault="00924A0A" w:rsidP="00924A0A">
      <w:pPr>
        <w:spacing w:line="240" w:lineRule="auto"/>
        <w:jc w:val="both"/>
        <w:rPr>
          <w:rFonts w:ascii="Arial" w:hAnsi="Arial" w:cs="Arial"/>
          <w:b/>
          <w:i/>
          <w:sz w:val="24"/>
          <w:szCs w:val="24"/>
        </w:rPr>
      </w:pPr>
      <w:r w:rsidRPr="00242122">
        <w:rPr>
          <w:rFonts w:ascii="Arial" w:hAnsi="Arial" w:cs="Arial"/>
          <w:b/>
          <w:i/>
          <w:color w:val="FF0000"/>
          <w:sz w:val="24"/>
          <w:szCs w:val="24"/>
        </w:rPr>
        <w:tab/>
      </w:r>
      <w:r w:rsidRPr="00242122">
        <w:rPr>
          <w:rFonts w:ascii="Arial" w:hAnsi="Arial" w:cs="Arial"/>
          <w:b/>
          <w:i/>
          <w:sz w:val="24"/>
          <w:szCs w:val="24"/>
        </w:rPr>
        <w:tab/>
      </w:r>
      <w:r w:rsidRPr="00242122">
        <w:rPr>
          <w:rFonts w:ascii="Arial" w:hAnsi="Arial" w:cs="Arial"/>
          <w:b/>
          <w:i/>
          <w:sz w:val="20"/>
          <w:szCs w:val="20"/>
        </w:rPr>
        <w:t>*include și lacul tranzitoriu lacustru Sinoe</w:t>
      </w:r>
    </w:p>
    <w:p w:rsidR="00924A0A" w:rsidRPr="00242122" w:rsidRDefault="00924A0A" w:rsidP="00924A0A">
      <w:pPr>
        <w:spacing w:after="0" w:line="240" w:lineRule="auto"/>
        <w:jc w:val="both"/>
        <w:rPr>
          <w:rFonts w:ascii="Arial" w:hAnsi="Arial" w:cs="Arial"/>
          <w:b/>
          <w:i/>
          <w:sz w:val="20"/>
          <w:szCs w:val="16"/>
          <w:u w:val="single"/>
        </w:rPr>
      </w:pPr>
      <w:r w:rsidRPr="00242122">
        <w:rPr>
          <w:rFonts w:ascii="Arial" w:hAnsi="Arial" w:cs="Arial"/>
          <w:b/>
          <w:i/>
          <w:sz w:val="20"/>
          <w:szCs w:val="16"/>
        </w:rPr>
        <w:t xml:space="preserve">Tabelul II.2.1.2.1 Distribuția substanțelor prioritare monitorizate în lacuri (lacuri naturale, puternic  modificate și artificiale) pe spații/bazine hidrografice în anul 2021 – </w:t>
      </w:r>
      <w:r w:rsidRPr="00242122">
        <w:rPr>
          <w:rFonts w:ascii="Arial" w:hAnsi="Arial" w:cs="Arial"/>
          <w:b/>
          <w:i/>
          <w:sz w:val="20"/>
          <w:szCs w:val="16"/>
          <w:u w:val="single"/>
        </w:rPr>
        <w:t>mediul de investigare APĂ</w:t>
      </w:r>
    </w:p>
    <w:p w:rsidR="00924A0A" w:rsidRPr="00242122" w:rsidRDefault="00924A0A" w:rsidP="00924A0A">
      <w:pPr>
        <w:spacing w:after="0"/>
        <w:ind w:left="900" w:hanging="900"/>
        <w:jc w:val="both"/>
        <w:rPr>
          <w:rFonts w:ascii="Arial" w:hAnsi="Arial" w:cs="Arial"/>
          <w:i/>
          <w:iCs/>
          <w:color w:val="000000"/>
          <w:sz w:val="20"/>
          <w:szCs w:val="20"/>
          <w:lang w:eastAsia="ro-RO"/>
        </w:rPr>
      </w:pPr>
      <w:r w:rsidRPr="00242122">
        <w:rPr>
          <w:rFonts w:ascii="Arial" w:hAnsi="Arial" w:cs="Arial"/>
          <w:i/>
          <w:iCs/>
          <w:color w:val="000000"/>
          <w:sz w:val="20"/>
          <w:szCs w:val="20"/>
          <w:lang w:eastAsia="ro-RO"/>
        </w:rPr>
        <w:t>(Sursa: Administraţia Naţională “Apele Române”, Sinteza calităţii apelor din România în anul 2021)</w:t>
      </w:r>
    </w:p>
    <w:p w:rsidR="00924A0A" w:rsidRPr="00242122" w:rsidRDefault="00924A0A" w:rsidP="00924A0A">
      <w:pPr>
        <w:spacing w:after="0" w:line="240" w:lineRule="auto"/>
        <w:jc w:val="both"/>
        <w:rPr>
          <w:rFonts w:ascii="Arial" w:hAnsi="Arial" w:cs="Arial"/>
          <w:b/>
          <w:i/>
          <w:sz w:val="20"/>
          <w:szCs w:val="16"/>
          <w:u w:val="single"/>
        </w:rPr>
      </w:pPr>
    </w:p>
    <w:p w:rsidR="00924A0A" w:rsidRPr="00242122" w:rsidRDefault="00924A0A" w:rsidP="00924A0A">
      <w:pPr>
        <w:spacing w:after="0" w:line="240" w:lineRule="auto"/>
        <w:jc w:val="both"/>
        <w:rPr>
          <w:rFonts w:ascii="Arial" w:hAnsi="Arial" w:cs="Arial"/>
          <w:b/>
          <w:i/>
          <w:color w:val="FF0000"/>
          <w:sz w:val="20"/>
          <w:szCs w:val="16"/>
          <w:u w:val="single"/>
        </w:rPr>
      </w:pPr>
    </w:p>
    <w:p w:rsidR="00924A0A" w:rsidRPr="00242122" w:rsidRDefault="00924A0A" w:rsidP="00924A0A">
      <w:pPr>
        <w:spacing w:after="0" w:line="240" w:lineRule="auto"/>
        <w:jc w:val="both"/>
        <w:rPr>
          <w:rFonts w:ascii="Arial" w:hAnsi="Arial" w:cs="Arial"/>
          <w:b/>
          <w:i/>
          <w:color w:val="FF0000"/>
          <w:sz w:val="20"/>
          <w:szCs w:val="20"/>
          <w:u w:val="single"/>
        </w:rPr>
      </w:pPr>
      <w:r w:rsidRPr="00242122">
        <w:rPr>
          <w:rFonts w:ascii="Arial" w:hAnsi="Arial" w:cs="Arial"/>
          <w:noProof/>
          <w:lang w:eastAsia="ro-RO"/>
        </w:rPr>
        <w:drawing>
          <wp:inline distT="0" distB="0" distL="0" distR="0" wp14:anchorId="16EB6EF5" wp14:editId="610C6FD7">
            <wp:extent cx="6276813" cy="2867025"/>
            <wp:effectExtent l="0" t="0" r="10160" b="9525"/>
            <wp:docPr id="11" name="Chart 11">
              <a:extLst xmlns:a="http://schemas.openxmlformats.org/drawingml/2006/main">
                <a:ext uri="{FF2B5EF4-FFF2-40B4-BE49-F238E27FC236}">
                  <a16:creationId xmlns:a16="http://schemas.microsoft.com/office/drawing/2014/main" id="{53AC5F92-AFFD-4189-8797-2F2379E9DB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924A0A" w:rsidRPr="00242122" w:rsidRDefault="00924A0A" w:rsidP="00924A0A">
      <w:pPr>
        <w:spacing w:after="0" w:line="240" w:lineRule="auto"/>
        <w:jc w:val="both"/>
        <w:rPr>
          <w:rFonts w:ascii="Arial" w:hAnsi="Arial" w:cs="Arial"/>
          <w:b/>
          <w:i/>
          <w:sz w:val="20"/>
          <w:szCs w:val="16"/>
          <w:u w:val="single"/>
        </w:rPr>
      </w:pPr>
      <w:r w:rsidRPr="00242122">
        <w:rPr>
          <w:rFonts w:ascii="Arial" w:hAnsi="Arial" w:cs="Arial"/>
          <w:b/>
          <w:i/>
          <w:sz w:val="20"/>
          <w:szCs w:val="16"/>
        </w:rPr>
        <w:t xml:space="preserve">Figura II.2.1.2.1 Distribuția substanțelor prioritare monitorizate în lacuri (lacuri naturale, puternic modificate și artificiale) pe spații/bazine hidrografice în anul 2021 – </w:t>
      </w:r>
      <w:r w:rsidRPr="00242122">
        <w:rPr>
          <w:rFonts w:ascii="Arial" w:hAnsi="Arial" w:cs="Arial"/>
          <w:b/>
          <w:i/>
          <w:sz w:val="20"/>
          <w:szCs w:val="16"/>
          <w:u w:val="single"/>
        </w:rPr>
        <w:t>mediul de investigare APĂ</w:t>
      </w:r>
    </w:p>
    <w:p w:rsidR="00924A0A" w:rsidRPr="00242122" w:rsidRDefault="00924A0A" w:rsidP="00924A0A">
      <w:pPr>
        <w:spacing w:after="0"/>
        <w:ind w:left="900" w:hanging="900"/>
        <w:jc w:val="both"/>
        <w:rPr>
          <w:rFonts w:ascii="Arial" w:hAnsi="Arial" w:cs="Arial"/>
          <w:i/>
          <w:iCs/>
          <w:color w:val="000000"/>
          <w:sz w:val="20"/>
          <w:szCs w:val="20"/>
          <w:lang w:eastAsia="ro-RO"/>
        </w:rPr>
      </w:pPr>
      <w:r w:rsidRPr="00242122">
        <w:rPr>
          <w:rFonts w:ascii="Arial" w:hAnsi="Arial" w:cs="Arial"/>
          <w:i/>
          <w:iCs/>
          <w:color w:val="000000"/>
          <w:sz w:val="20"/>
          <w:szCs w:val="20"/>
          <w:lang w:eastAsia="ro-RO"/>
        </w:rPr>
        <w:t>(Sursa: Administraţia Naţională “Apele Române”, Sinteza calităţii apelor din România în anul 2021)</w:t>
      </w:r>
    </w:p>
    <w:p w:rsidR="00924A0A" w:rsidRPr="00242122" w:rsidRDefault="00924A0A" w:rsidP="00924A0A">
      <w:pPr>
        <w:spacing w:after="0" w:line="240" w:lineRule="auto"/>
        <w:jc w:val="both"/>
        <w:rPr>
          <w:rFonts w:ascii="Arial" w:hAnsi="Arial" w:cs="Arial"/>
          <w:b/>
          <w:i/>
          <w:color w:val="FF0000"/>
          <w:sz w:val="20"/>
          <w:szCs w:val="16"/>
          <w:u w:val="single"/>
        </w:rPr>
      </w:pPr>
    </w:p>
    <w:p w:rsidR="00924A0A" w:rsidRPr="00242122" w:rsidRDefault="00924A0A" w:rsidP="00924A0A">
      <w:pPr>
        <w:spacing w:after="0" w:line="240" w:lineRule="auto"/>
        <w:jc w:val="both"/>
        <w:rPr>
          <w:rFonts w:ascii="Arial" w:hAnsi="Arial" w:cs="Arial"/>
          <w:b/>
          <w:i/>
          <w:color w:val="FF0000"/>
          <w:sz w:val="20"/>
          <w:szCs w:val="16"/>
        </w:rPr>
      </w:pPr>
    </w:p>
    <w:tbl>
      <w:tblPr>
        <w:tblW w:w="9535" w:type="dxa"/>
        <w:jc w:val="center"/>
        <w:tblLook w:val="04A0" w:firstRow="1" w:lastRow="0" w:firstColumn="1" w:lastColumn="0" w:noHBand="0" w:noVBand="1"/>
      </w:tblPr>
      <w:tblGrid>
        <w:gridCol w:w="2560"/>
        <w:gridCol w:w="1680"/>
        <w:gridCol w:w="2325"/>
        <w:gridCol w:w="2970"/>
      </w:tblGrid>
      <w:tr w:rsidR="00924A0A" w:rsidRPr="00242122" w:rsidTr="00B8293F">
        <w:trPr>
          <w:trHeight w:val="1320"/>
          <w:jc w:val="center"/>
        </w:trPr>
        <w:tc>
          <w:tcPr>
            <w:tcW w:w="25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b/>
                <w:bCs/>
                <w:lang w:eastAsia="ro-RO"/>
              </w:rPr>
            </w:pPr>
            <w:r w:rsidRPr="00242122">
              <w:rPr>
                <w:rFonts w:ascii="Arial" w:eastAsia="Times New Roman" w:hAnsi="Arial" w:cs="Arial"/>
                <w:b/>
                <w:bCs/>
                <w:lang w:eastAsia="ro-RO"/>
              </w:rPr>
              <w:t>Spațiu / Bazin hidrografic</w:t>
            </w:r>
          </w:p>
        </w:tc>
        <w:tc>
          <w:tcPr>
            <w:tcW w:w="1680" w:type="dxa"/>
            <w:tcBorders>
              <w:top w:val="single" w:sz="4" w:space="0" w:color="auto"/>
              <w:left w:val="nil"/>
              <w:bottom w:val="single" w:sz="4" w:space="0" w:color="auto"/>
              <w:right w:val="single" w:sz="4" w:space="0" w:color="auto"/>
            </w:tcBorders>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b/>
                <w:bCs/>
                <w:lang w:eastAsia="ro-RO"/>
              </w:rPr>
            </w:pPr>
            <w:r w:rsidRPr="00242122">
              <w:rPr>
                <w:rFonts w:ascii="Arial" w:eastAsia="Times New Roman" w:hAnsi="Arial" w:cs="Arial"/>
                <w:b/>
                <w:bCs/>
                <w:lang w:eastAsia="ro-RO"/>
              </w:rPr>
              <w:t>Secțiuni de monitorizare</w:t>
            </w:r>
            <w:r w:rsidRPr="00242122">
              <w:rPr>
                <w:rFonts w:ascii="Arial" w:eastAsia="Times New Roman" w:hAnsi="Arial" w:cs="Arial"/>
                <w:b/>
                <w:bCs/>
                <w:lang w:eastAsia="ro-RO"/>
              </w:rPr>
              <w:br/>
              <w:t>(nr.)</w:t>
            </w:r>
          </w:p>
        </w:tc>
        <w:tc>
          <w:tcPr>
            <w:tcW w:w="2325" w:type="dxa"/>
            <w:tcBorders>
              <w:top w:val="single" w:sz="4" w:space="0" w:color="auto"/>
              <w:left w:val="nil"/>
              <w:bottom w:val="single" w:sz="4" w:space="0" w:color="auto"/>
              <w:right w:val="single" w:sz="4" w:space="0" w:color="auto"/>
            </w:tcBorders>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b/>
                <w:bCs/>
                <w:lang w:eastAsia="ro-RO"/>
              </w:rPr>
            </w:pPr>
            <w:r w:rsidRPr="00242122">
              <w:rPr>
                <w:rFonts w:ascii="Arial" w:eastAsia="Times New Roman" w:hAnsi="Arial" w:cs="Arial"/>
                <w:b/>
                <w:bCs/>
                <w:lang w:eastAsia="ro-RO"/>
              </w:rPr>
              <w:t>Secțiuni de monitorizare cu concentrații mai mari decât SCM (nr.)</w:t>
            </w:r>
          </w:p>
        </w:tc>
        <w:tc>
          <w:tcPr>
            <w:tcW w:w="2970" w:type="dxa"/>
            <w:tcBorders>
              <w:top w:val="single" w:sz="4" w:space="0" w:color="auto"/>
              <w:left w:val="nil"/>
              <w:bottom w:val="single" w:sz="4" w:space="0" w:color="auto"/>
              <w:right w:val="single" w:sz="4" w:space="0" w:color="auto"/>
            </w:tcBorders>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b/>
                <w:bCs/>
                <w:lang w:eastAsia="ro-RO"/>
              </w:rPr>
            </w:pPr>
            <w:r w:rsidRPr="00242122">
              <w:rPr>
                <w:rFonts w:ascii="Arial" w:eastAsia="Times New Roman" w:hAnsi="Arial" w:cs="Arial"/>
                <w:b/>
                <w:bCs/>
                <w:lang w:eastAsia="ro-RO"/>
              </w:rPr>
              <w:t>Ponderea secțiunilor de monitorizare cu  concentrații mai mari decât SCM</w:t>
            </w:r>
            <w:r w:rsidRPr="00242122">
              <w:rPr>
                <w:rFonts w:ascii="Arial" w:eastAsia="Times New Roman" w:hAnsi="Arial" w:cs="Arial"/>
                <w:b/>
                <w:bCs/>
                <w:lang w:eastAsia="ro-RO"/>
              </w:rPr>
              <w:br/>
              <w:t xml:space="preserve"> (%)</w:t>
            </w:r>
          </w:p>
        </w:tc>
      </w:tr>
      <w:tr w:rsidR="00924A0A" w:rsidRPr="00242122" w:rsidTr="00B8293F">
        <w:trPr>
          <w:trHeight w:val="288"/>
          <w:jc w:val="center"/>
        </w:trPr>
        <w:tc>
          <w:tcPr>
            <w:tcW w:w="2560" w:type="dxa"/>
            <w:tcBorders>
              <w:top w:val="nil"/>
              <w:left w:val="single" w:sz="4" w:space="0" w:color="auto"/>
              <w:bottom w:val="single" w:sz="4" w:space="0" w:color="auto"/>
              <w:right w:val="single" w:sz="4" w:space="0" w:color="auto"/>
            </w:tcBorders>
            <w:shd w:val="clear" w:color="auto" w:fill="auto"/>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Someș - Tisa</w:t>
            </w:r>
          </w:p>
        </w:tc>
        <w:tc>
          <w:tcPr>
            <w:tcW w:w="168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22</w:t>
            </w:r>
          </w:p>
        </w:tc>
        <w:tc>
          <w:tcPr>
            <w:tcW w:w="2325" w:type="dxa"/>
            <w:tcBorders>
              <w:top w:val="nil"/>
              <w:left w:val="nil"/>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924A0A" w:rsidRPr="00242122" w:rsidTr="00B8293F">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Crișuri</w:t>
            </w:r>
          </w:p>
        </w:tc>
        <w:tc>
          <w:tcPr>
            <w:tcW w:w="168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325" w:type="dxa"/>
            <w:tcBorders>
              <w:top w:val="nil"/>
              <w:left w:val="nil"/>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924A0A" w:rsidRPr="00242122" w:rsidTr="00B8293F">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Mureș</w:t>
            </w:r>
          </w:p>
        </w:tc>
        <w:tc>
          <w:tcPr>
            <w:tcW w:w="168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17</w:t>
            </w:r>
          </w:p>
        </w:tc>
        <w:tc>
          <w:tcPr>
            <w:tcW w:w="2325" w:type="dxa"/>
            <w:tcBorders>
              <w:top w:val="nil"/>
              <w:left w:val="nil"/>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924A0A" w:rsidRPr="00242122" w:rsidTr="00B8293F">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Banat</w:t>
            </w:r>
          </w:p>
        </w:tc>
        <w:tc>
          <w:tcPr>
            <w:tcW w:w="168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5</w:t>
            </w:r>
          </w:p>
        </w:tc>
        <w:tc>
          <w:tcPr>
            <w:tcW w:w="2325" w:type="dxa"/>
            <w:tcBorders>
              <w:top w:val="nil"/>
              <w:left w:val="nil"/>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924A0A" w:rsidRPr="00242122" w:rsidTr="00B8293F">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Jiu</w:t>
            </w:r>
          </w:p>
        </w:tc>
        <w:tc>
          <w:tcPr>
            <w:tcW w:w="168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6</w:t>
            </w:r>
          </w:p>
        </w:tc>
        <w:tc>
          <w:tcPr>
            <w:tcW w:w="2325" w:type="dxa"/>
            <w:tcBorders>
              <w:top w:val="nil"/>
              <w:left w:val="nil"/>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924A0A" w:rsidRPr="00242122" w:rsidTr="00B8293F">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Olt</w:t>
            </w:r>
          </w:p>
        </w:tc>
        <w:tc>
          <w:tcPr>
            <w:tcW w:w="168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14</w:t>
            </w:r>
          </w:p>
        </w:tc>
        <w:tc>
          <w:tcPr>
            <w:tcW w:w="2325" w:type="dxa"/>
            <w:tcBorders>
              <w:top w:val="nil"/>
              <w:left w:val="nil"/>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924A0A" w:rsidRPr="00242122" w:rsidTr="00B8293F">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Argeș - Vedea</w:t>
            </w:r>
          </w:p>
        </w:tc>
        <w:tc>
          <w:tcPr>
            <w:tcW w:w="168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w:t>
            </w:r>
          </w:p>
        </w:tc>
        <w:tc>
          <w:tcPr>
            <w:tcW w:w="2325" w:type="dxa"/>
            <w:tcBorders>
              <w:top w:val="nil"/>
              <w:left w:val="nil"/>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924A0A" w:rsidRPr="00242122" w:rsidTr="00B8293F">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Buzău - Ialomița</w:t>
            </w:r>
          </w:p>
        </w:tc>
        <w:tc>
          <w:tcPr>
            <w:tcW w:w="168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4</w:t>
            </w:r>
          </w:p>
        </w:tc>
        <w:tc>
          <w:tcPr>
            <w:tcW w:w="2325" w:type="dxa"/>
            <w:tcBorders>
              <w:top w:val="nil"/>
              <w:left w:val="nil"/>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924A0A" w:rsidRPr="00242122" w:rsidTr="00B8293F">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Siret</w:t>
            </w:r>
          </w:p>
        </w:tc>
        <w:tc>
          <w:tcPr>
            <w:tcW w:w="168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6</w:t>
            </w:r>
          </w:p>
        </w:tc>
        <w:tc>
          <w:tcPr>
            <w:tcW w:w="2325" w:type="dxa"/>
            <w:tcBorders>
              <w:top w:val="nil"/>
              <w:left w:val="nil"/>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924A0A" w:rsidRPr="00242122" w:rsidTr="00B8293F">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Prut - Bârlad</w:t>
            </w:r>
          </w:p>
        </w:tc>
        <w:tc>
          <w:tcPr>
            <w:tcW w:w="168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21</w:t>
            </w:r>
          </w:p>
        </w:tc>
        <w:tc>
          <w:tcPr>
            <w:tcW w:w="2325" w:type="dxa"/>
            <w:tcBorders>
              <w:top w:val="nil"/>
              <w:left w:val="nil"/>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924A0A" w:rsidRPr="00242122" w:rsidTr="00B8293F">
        <w:trPr>
          <w:trHeight w:val="288"/>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Dobrogea - Litoral*</w:t>
            </w:r>
          </w:p>
        </w:tc>
        <w:tc>
          <w:tcPr>
            <w:tcW w:w="1680" w:type="dxa"/>
            <w:tcBorders>
              <w:top w:val="nil"/>
              <w:left w:val="nil"/>
              <w:bottom w:val="single" w:sz="4" w:space="0" w:color="auto"/>
              <w:right w:val="single" w:sz="4" w:space="0" w:color="auto"/>
            </w:tcBorders>
            <w:shd w:val="clear" w:color="000000" w:fill="FFFFFF"/>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14</w:t>
            </w:r>
          </w:p>
        </w:tc>
        <w:tc>
          <w:tcPr>
            <w:tcW w:w="2325" w:type="dxa"/>
            <w:tcBorders>
              <w:top w:val="nil"/>
              <w:left w:val="nil"/>
              <w:bottom w:val="single" w:sz="4" w:space="0" w:color="auto"/>
              <w:right w:val="single" w:sz="4" w:space="0" w:color="auto"/>
            </w:tcBorders>
            <w:shd w:val="clear" w:color="auto" w:fill="auto"/>
            <w:noWrap/>
            <w:vAlign w:val="bottom"/>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97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924A0A" w:rsidRPr="00242122" w:rsidTr="00B8293F">
        <w:trPr>
          <w:trHeight w:val="288"/>
          <w:jc w:val="center"/>
        </w:trPr>
        <w:tc>
          <w:tcPr>
            <w:tcW w:w="2560" w:type="dxa"/>
            <w:tcBorders>
              <w:top w:val="nil"/>
              <w:left w:val="single" w:sz="4" w:space="0" w:color="auto"/>
              <w:bottom w:val="single" w:sz="4" w:space="0" w:color="auto"/>
              <w:right w:val="single" w:sz="4" w:space="0" w:color="auto"/>
            </w:tcBorders>
            <w:shd w:val="clear" w:color="auto" w:fill="66CCFF"/>
            <w:noWrap/>
            <w:vAlign w:val="bottom"/>
            <w:hideMark/>
          </w:tcPr>
          <w:p w:rsidR="00924A0A" w:rsidRPr="00242122" w:rsidRDefault="00924A0A" w:rsidP="00B8293F">
            <w:pPr>
              <w:spacing w:after="0" w:line="240" w:lineRule="auto"/>
              <w:jc w:val="center"/>
              <w:rPr>
                <w:rFonts w:ascii="Arial" w:eastAsia="Times New Roman" w:hAnsi="Arial" w:cs="Arial"/>
                <w:b/>
                <w:bCs/>
                <w:lang w:eastAsia="ro-RO"/>
              </w:rPr>
            </w:pPr>
            <w:r w:rsidRPr="00242122">
              <w:rPr>
                <w:rFonts w:ascii="Arial" w:eastAsia="Times New Roman" w:hAnsi="Arial" w:cs="Arial"/>
                <w:b/>
                <w:bCs/>
                <w:lang w:eastAsia="ro-RO"/>
              </w:rPr>
              <w:t>Total</w:t>
            </w:r>
          </w:p>
        </w:tc>
        <w:tc>
          <w:tcPr>
            <w:tcW w:w="1680" w:type="dxa"/>
            <w:tcBorders>
              <w:top w:val="nil"/>
              <w:left w:val="nil"/>
              <w:bottom w:val="single" w:sz="4" w:space="0" w:color="auto"/>
              <w:right w:val="single" w:sz="4" w:space="0" w:color="auto"/>
            </w:tcBorders>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lang w:eastAsia="ro-RO"/>
              </w:rPr>
            </w:pPr>
            <w:r w:rsidRPr="00242122">
              <w:rPr>
                <w:rFonts w:ascii="Arial" w:eastAsia="Times New Roman" w:hAnsi="Arial" w:cs="Arial"/>
                <w:b/>
                <w:bCs/>
                <w:lang w:eastAsia="ro-RO"/>
              </w:rPr>
              <w:t>110</w:t>
            </w:r>
          </w:p>
        </w:tc>
        <w:tc>
          <w:tcPr>
            <w:tcW w:w="2325" w:type="dxa"/>
            <w:tcBorders>
              <w:top w:val="nil"/>
              <w:left w:val="nil"/>
              <w:bottom w:val="single" w:sz="4" w:space="0" w:color="auto"/>
              <w:right w:val="single" w:sz="4" w:space="0" w:color="auto"/>
            </w:tcBorders>
            <w:shd w:val="clear" w:color="auto" w:fill="66CCFF"/>
            <w:noWrap/>
            <w:vAlign w:val="bottom"/>
            <w:hideMark/>
          </w:tcPr>
          <w:p w:rsidR="00924A0A" w:rsidRPr="00242122" w:rsidRDefault="00924A0A" w:rsidP="00B8293F">
            <w:pPr>
              <w:spacing w:after="0" w:line="240" w:lineRule="auto"/>
              <w:jc w:val="center"/>
              <w:rPr>
                <w:rFonts w:ascii="Arial" w:eastAsia="Times New Roman" w:hAnsi="Arial" w:cs="Arial"/>
                <w:b/>
                <w:bCs/>
                <w:lang w:eastAsia="ro-RO"/>
              </w:rPr>
            </w:pPr>
            <w:r w:rsidRPr="00242122">
              <w:rPr>
                <w:rFonts w:ascii="Arial" w:eastAsia="Times New Roman" w:hAnsi="Arial" w:cs="Arial"/>
                <w:b/>
                <w:bCs/>
                <w:lang w:eastAsia="ro-RO"/>
              </w:rPr>
              <w:t>0</w:t>
            </w:r>
          </w:p>
        </w:tc>
        <w:tc>
          <w:tcPr>
            <w:tcW w:w="2970" w:type="dxa"/>
            <w:tcBorders>
              <w:top w:val="nil"/>
              <w:left w:val="nil"/>
              <w:bottom w:val="single" w:sz="4" w:space="0" w:color="auto"/>
              <w:right w:val="single" w:sz="4" w:space="0" w:color="auto"/>
            </w:tcBorders>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lang w:eastAsia="ro-RO"/>
              </w:rPr>
            </w:pPr>
            <w:r w:rsidRPr="00242122">
              <w:rPr>
                <w:rFonts w:ascii="Arial" w:eastAsia="Times New Roman" w:hAnsi="Arial" w:cs="Arial"/>
                <w:b/>
                <w:bCs/>
                <w:lang w:eastAsia="ro-RO"/>
              </w:rPr>
              <w:t>0,00</w:t>
            </w:r>
          </w:p>
        </w:tc>
      </w:tr>
    </w:tbl>
    <w:p w:rsidR="00924A0A" w:rsidRPr="00242122" w:rsidRDefault="00924A0A" w:rsidP="00924A0A">
      <w:pPr>
        <w:spacing w:after="0" w:line="240" w:lineRule="auto"/>
        <w:ind w:firstLine="708"/>
        <w:jc w:val="both"/>
        <w:rPr>
          <w:rFonts w:ascii="Arial" w:hAnsi="Arial" w:cs="Arial"/>
          <w:b/>
          <w:i/>
          <w:sz w:val="20"/>
          <w:szCs w:val="16"/>
          <w:lang w:val="fr-FR"/>
        </w:rPr>
      </w:pPr>
      <w:r w:rsidRPr="00242122">
        <w:rPr>
          <w:rFonts w:ascii="Arial" w:eastAsia="Times New Roman" w:hAnsi="Arial" w:cs="Arial"/>
          <w:szCs w:val="20"/>
          <w:lang w:eastAsia="ro-RO"/>
        </w:rPr>
        <w:t>*include si lacul tranzitoriu lacustru Sinoe</w:t>
      </w:r>
    </w:p>
    <w:p w:rsidR="00924A0A" w:rsidRPr="00242122" w:rsidRDefault="00924A0A" w:rsidP="00924A0A">
      <w:pPr>
        <w:spacing w:after="0" w:line="240" w:lineRule="auto"/>
        <w:jc w:val="both"/>
        <w:rPr>
          <w:rFonts w:ascii="Arial" w:hAnsi="Arial" w:cs="Arial"/>
          <w:i/>
          <w:sz w:val="20"/>
          <w:szCs w:val="16"/>
          <w:lang w:val="fr-FR"/>
        </w:rPr>
      </w:pPr>
      <w:r w:rsidRPr="00242122">
        <w:rPr>
          <w:rFonts w:ascii="Arial" w:hAnsi="Arial" w:cs="Arial"/>
          <w:b/>
          <w:i/>
          <w:sz w:val="20"/>
          <w:szCs w:val="16"/>
        </w:rPr>
        <w:t xml:space="preserve">Tabelul II.2.1.2.2 Ponderea secțiunilor de monitorizare a substanțelor prioritare cu concentrații mai mari decât SCM (%) în anul 2021 pe spații/bazine hidrografice – </w:t>
      </w:r>
      <w:r w:rsidRPr="00242122">
        <w:rPr>
          <w:rFonts w:ascii="Arial" w:hAnsi="Arial" w:cs="Arial"/>
          <w:b/>
          <w:i/>
          <w:sz w:val="20"/>
          <w:szCs w:val="16"/>
          <w:u w:val="single"/>
        </w:rPr>
        <w:t>mediul de investigare APĂ</w:t>
      </w:r>
    </w:p>
    <w:p w:rsidR="00924A0A" w:rsidRPr="00242122" w:rsidRDefault="00924A0A" w:rsidP="00924A0A">
      <w:pPr>
        <w:spacing w:after="0"/>
        <w:ind w:left="900" w:hanging="900"/>
        <w:jc w:val="both"/>
        <w:rPr>
          <w:rFonts w:ascii="Arial" w:hAnsi="Arial" w:cs="Arial"/>
          <w:i/>
          <w:iCs/>
          <w:color w:val="000000"/>
          <w:sz w:val="20"/>
          <w:szCs w:val="20"/>
          <w:lang w:eastAsia="ro-RO"/>
        </w:rPr>
      </w:pPr>
      <w:r w:rsidRPr="00242122">
        <w:rPr>
          <w:rFonts w:ascii="Arial" w:hAnsi="Arial" w:cs="Arial"/>
          <w:i/>
          <w:iCs/>
          <w:color w:val="000000"/>
          <w:sz w:val="20"/>
          <w:szCs w:val="20"/>
          <w:lang w:eastAsia="ro-RO"/>
        </w:rPr>
        <w:t>(Sursa: Administraţia Naţională “Apele Române”, Sinteza calităţii apelor din România în anul 2021)</w:t>
      </w:r>
    </w:p>
    <w:p w:rsidR="00924A0A" w:rsidRPr="00242122" w:rsidRDefault="00924A0A" w:rsidP="00924A0A">
      <w:pPr>
        <w:spacing w:line="240" w:lineRule="auto"/>
        <w:rPr>
          <w:rFonts w:ascii="Arial" w:hAnsi="Arial" w:cs="Arial"/>
          <w:b/>
          <w:color w:val="FF0000"/>
          <w:sz w:val="24"/>
          <w:szCs w:val="24"/>
        </w:rPr>
      </w:pPr>
    </w:p>
    <w:p w:rsidR="00924A0A" w:rsidRPr="00242122" w:rsidRDefault="00924A0A" w:rsidP="00924A0A">
      <w:pPr>
        <w:spacing w:line="240" w:lineRule="auto"/>
        <w:rPr>
          <w:rFonts w:ascii="Arial" w:hAnsi="Arial" w:cs="Arial"/>
          <w:b/>
          <w:sz w:val="24"/>
          <w:szCs w:val="24"/>
        </w:rPr>
      </w:pPr>
      <w:r w:rsidRPr="00242122">
        <w:rPr>
          <w:rFonts w:ascii="Arial" w:hAnsi="Arial" w:cs="Arial"/>
          <w:b/>
          <w:sz w:val="24"/>
          <w:szCs w:val="24"/>
        </w:rPr>
        <w:t>Evoluția secțiunilor de monitorizare cu concentrație mai mare decât SCM</w:t>
      </w:r>
    </w:p>
    <w:tbl>
      <w:tblPr>
        <w:tblW w:w="10260" w:type="dxa"/>
        <w:tblInd w:w="-635" w:type="dxa"/>
        <w:tblLook w:val="04A0" w:firstRow="1" w:lastRow="0" w:firstColumn="1" w:lastColumn="0" w:noHBand="0" w:noVBand="1"/>
      </w:tblPr>
      <w:tblGrid>
        <w:gridCol w:w="2195"/>
        <w:gridCol w:w="903"/>
        <w:gridCol w:w="1055"/>
        <w:gridCol w:w="1260"/>
        <w:gridCol w:w="1260"/>
        <w:gridCol w:w="1170"/>
        <w:gridCol w:w="1260"/>
        <w:gridCol w:w="1157"/>
      </w:tblGrid>
      <w:tr w:rsidR="00924A0A" w:rsidRPr="00242122" w:rsidTr="00B8293F">
        <w:trPr>
          <w:trHeight w:val="255"/>
        </w:trPr>
        <w:tc>
          <w:tcPr>
            <w:tcW w:w="2195" w:type="dxa"/>
            <w:tcBorders>
              <w:top w:val="single" w:sz="4" w:space="0" w:color="auto"/>
              <w:left w:val="single" w:sz="4" w:space="0" w:color="auto"/>
              <w:bottom w:val="single" w:sz="4" w:space="0" w:color="auto"/>
              <w:right w:val="single" w:sz="4" w:space="0" w:color="auto"/>
            </w:tcBorders>
            <w:shd w:val="clear" w:color="auto" w:fill="66CCFF"/>
            <w:vAlign w:val="center"/>
            <w:hideMark/>
          </w:tcPr>
          <w:p w:rsidR="00924A0A" w:rsidRPr="00242122" w:rsidRDefault="00924A0A" w:rsidP="00B8293F">
            <w:pPr>
              <w:spacing w:after="0" w:line="240" w:lineRule="auto"/>
              <w:jc w:val="center"/>
              <w:rPr>
                <w:rFonts w:ascii="Arial" w:eastAsia="Times New Roman" w:hAnsi="Arial" w:cs="Arial"/>
                <w:b/>
                <w:bCs/>
                <w:szCs w:val="20"/>
                <w:lang w:eastAsia="ro-RO"/>
              </w:rPr>
            </w:pPr>
            <w:r w:rsidRPr="00242122">
              <w:rPr>
                <w:rFonts w:ascii="Arial" w:eastAsia="Times New Roman" w:hAnsi="Arial" w:cs="Arial"/>
                <w:b/>
                <w:bCs/>
                <w:szCs w:val="20"/>
                <w:lang w:eastAsia="ro-RO"/>
              </w:rPr>
              <w:t>Anul</w:t>
            </w:r>
          </w:p>
        </w:tc>
        <w:tc>
          <w:tcPr>
            <w:tcW w:w="903" w:type="dxa"/>
            <w:tcBorders>
              <w:top w:val="single" w:sz="4" w:space="0" w:color="auto"/>
              <w:left w:val="nil"/>
              <w:bottom w:val="single" w:sz="4" w:space="0" w:color="auto"/>
              <w:right w:val="single" w:sz="4" w:space="0" w:color="auto"/>
            </w:tcBorders>
            <w:shd w:val="clear" w:color="auto" w:fill="66CCFF"/>
            <w:vAlign w:val="center"/>
            <w:hideMark/>
          </w:tcPr>
          <w:p w:rsidR="00924A0A" w:rsidRPr="00242122" w:rsidRDefault="00924A0A" w:rsidP="00B8293F">
            <w:pPr>
              <w:spacing w:after="0" w:line="240" w:lineRule="auto"/>
              <w:jc w:val="center"/>
              <w:rPr>
                <w:rFonts w:ascii="Arial" w:eastAsia="Times New Roman" w:hAnsi="Arial" w:cs="Arial"/>
                <w:b/>
                <w:bCs/>
                <w:szCs w:val="20"/>
                <w:lang w:eastAsia="ro-RO"/>
              </w:rPr>
            </w:pPr>
            <w:r w:rsidRPr="00242122">
              <w:rPr>
                <w:rFonts w:ascii="Arial" w:eastAsia="Times New Roman" w:hAnsi="Arial" w:cs="Arial"/>
                <w:b/>
                <w:bCs/>
                <w:szCs w:val="20"/>
                <w:lang w:eastAsia="ro-RO"/>
              </w:rPr>
              <w:t>2015</w:t>
            </w:r>
          </w:p>
        </w:tc>
        <w:tc>
          <w:tcPr>
            <w:tcW w:w="1055" w:type="dxa"/>
            <w:tcBorders>
              <w:top w:val="single" w:sz="4" w:space="0" w:color="auto"/>
              <w:left w:val="nil"/>
              <w:bottom w:val="single" w:sz="4" w:space="0" w:color="auto"/>
              <w:right w:val="single" w:sz="4" w:space="0" w:color="auto"/>
            </w:tcBorders>
            <w:shd w:val="clear" w:color="auto" w:fill="66CCFF"/>
            <w:vAlign w:val="center"/>
            <w:hideMark/>
          </w:tcPr>
          <w:p w:rsidR="00924A0A" w:rsidRPr="00242122" w:rsidRDefault="00924A0A" w:rsidP="00B8293F">
            <w:pPr>
              <w:spacing w:after="0" w:line="240" w:lineRule="auto"/>
              <w:jc w:val="center"/>
              <w:rPr>
                <w:rFonts w:ascii="Arial" w:eastAsia="Times New Roman" w:hAnsi="Arial" w:cs="Arial"/>
                <w:b/>
                <w:bCs/>
                <w:szCs w:val="20"/>
                <w:lang w:eastAsia="ro-RO"/>
              </w:rPr>
            </w:pPr>
            <w:r w:rsidRPr="00242122">
              <w:rPr>
                <w:rFonts w:ascii="Arial" w:eastAsia="Times New Roman" w:hAnsi="Arial" w:cs="Arial"/>
                <w:b/>
                <w:bCs/>
                <w:szCs w:val="20"/>
                <w:lang w:eastAsia="ro-RO"/>
              </w:rPr>
              <w:t>2016</w:t>
            </w:r>
          </w:p>
        </w:tc>
        <w:tc>
          <w:tcPr>
            <w:tcW w:w="1260" w:type="dxa"/>
            <w:tcBorders>
              <w:top w:val="single" w:sz="4" w:space="0" w:color="auto"/>
              <w:left w:val="nil"/>
              <w:bottom w:val="single" w:sz="4" w:space="0" w:color="auto"/>
              <w:right w:val="single" w:sz="4" w:space="0" w:color="auto"/>
            </w:tcBorders>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Cs w:val="20"/>
                <w:lang w:eastAsia="ro-RO"/>
              </w:rPr>
            </w:pPr>
            <w:r w:rsidRPr="00242122">
              <w:rPr>
                <w:rFonts w:ascii="Arial" w:eastAsia="Times New Roman" w:hAnsi="Arial" w:cs="Arial"/>
                <w:b/>
                <w:bCs/>
                <w:szCs w:val="20"/>
                <w:lang w:eastAsia="ro-RO"/>
              </w:rPr>
              <w:t>2017</w:t>
            </w:r>
          </w:p>
        </w:tc>
        <w:tc>
          <w:tcPr>
            <w:tcW w:w="1260" w:type="dxa"/>
            <w:tcBorders>
              <w:top w:val="single" w:sz="4" w:space="0" w:color="auto"/>
              <w:left w:val="nil"/>
              <w:bottom w:val="single" w:sz="4" w:space="0" w:color="auto"/>
              <w:right w:val="single" w:sz="4" w:space="0" w:color="auto"/>
            </w:tcBorders>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Cs w:val="20"/>
                <w:lang w:eastAsia="ro-RO"/>
              </w:rPr>
            </w:pPr>
            <w:r w:rsidRPr="00242122">
              <w:rPr>
                <w:rFonts w:ascii="Arial" w:eastAsia="Times New Roman" w:hAnsi="Arial" w:cs="Arial"/>
                <w:b/>
                <w:bCs/>
                <w:szCs w:val="20"/>
                <w:lang w:eastAsia="ro-RO"/>
              </w:rPr>
              <w:t>2018</w:t>
            </w:r>
          </w:p>
        </w:tc>
        <w:tc>
          <w:tcPr>
            <w:tcW w:w="1170" w:type="dxa"/>
            <w:tcBorders>
              <w:top w:val="single" w:sz="4" w:space="0" w:color="auto"/>
              <w:left w:val="nil"/>
              <w:bottom w:val="single" w:sz="4" w:space="0" w:color="auto"/>
              <w:right w:val="single" w:sz="4" w:space="0" w:color="auto"/>
            </w:tcBorders>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Cs w:val="20"/>
                <w:lang w:eastAsia="ro-RO"/>
              </w:rPr>
            </w:pPr>
            <w:r w:rsidRPr="00242122">
              <w:rPr>
                <w:rFonts w:ascii="Arial" w:eastAsia="Times New Roman" w:hAnsi="Arial" w:cs="Arial"/>
                <w:b/>
                <w:bCs/>
                <w:szCs w:val="20"/>
                <w:lang w:eastAsia="ro-RO"/>
              </w:rPr>
              <w:t>2019</w:t>
            </w:r>
          </w:p>
        </w:tc>
        <w:tc>
          <w:tcPr>
            <w:tcW w:w="1260" w:type="dxa"/>
            <w:tcBorders>
              <w:top w:val="single" w:sz="4" w:space="0" w:color="auto"/>
              <w:left w:val="nil"/>
              <w:bottom w:val="single" w:sz="4" w:space="0" w:color="auto"/>
              <w:right w:val="single" w:sz="4" w:space="0" w:color="auto"/>
            </w:tcBorders>
            <w:shd w:val="clear" w:color="auto" w:fill="66CCFF"/>
            <w:noWrap/>
            <w:vAlign w:val="center"/>
            <w:hideMark/>
          </w:tcPr>
          <w:p w:rsidR="00924A0A" w:rsidRPr="00242122" w:rsidRDefault="00924A0A" w:rsidP="00B8293F">
            <w:pPr>
              <w:spacing w:after="0" w:line="240" w:lineRule="auto"/>
              <w:jc w:val="center"/>
              <w:rPr>
                <w:rFonts w:ascii="Arial" w:eastAsia="Times New Roman" w:hAnsi="Arial" w:cs="Arial"/>
                <w:b/>
                <w:bCs/>
                <w:szCs w:val="20"/>
                <w:lang w:eastAsia="ro-RO"/>
              </w:rPr>
            </w:pPr>
            <w:r w:rsidRPr="00242122">
              <w:rPr>
                <w:rFonts w:ascii="Arial" w:eastAsia="Times New Roman" w:hAnsi="Arial" w:cs="Arial"/>
                <w:b/>
                <w:bCs/>
                <w:szCs w:val="20"/>
                <w:lang w:eastAsia="ro-RO"/>
              </w:rPr>
              <w:t>2020</w:t>
            </w:r>
          </w:p>
        </w:tc>
        <w:tc>
          <w:tcPr>
            <w:tcW w:w="1157" w:type="dxa"/>
            <w:tcBorders>
              <w:top w:val="single" w:sz="4" w:space="0" w:color="auto"/>
              <w:left w:val="nil"/>
              <w:bottom w:val="single" w:sz="4" w:space="0" w:color="auto"/>
              <w:right w:val="single" w:sz="4" w:space="0" w:color="auto"/>
            </w:tcBorders>
            <w:shd w:val="clear" w:color="auto" w:fill="66CCFF"/>
          </w:tcPr>
          <w:p w:rsidR="00924A0A" w:rsidRPr="00242122" w:rsidRDefault="00924A0A" w:rsidP="00B8293F">
            <w:pPr>
              <w:spacing w:after="0" w:line="240" w:lineRule="auto"/>
              <w:jc w:val="center"/>
              <w:rPr>
                <w:rFonts w:ascii="Arial" w:eastAsia="Times New Roman" w:hAnsi="Arial" w:cs="Arial"/>
                <w:b/>
                <w:bCs/>
                <w:szCs w:val="20"/>
                <w:lang w:eastAsia="ro-RO"/>
              </w:rPr>
            </w:pPr>
            <w:r w:rsidRPr="00242122">
              <w:rPr>
                <w:rFonts w:ascii="Arial" w:eastAsia="Times New Roman" w:hAnsi="Arial" w:cs="Arial"/>
                <w:b/>
                <w:bCs/>
                <w:szCs w:val="20"/>
                <w:lang w:eastAsia="ro-RO"/>
              </w:rPr>
              <w:t>2021</w:t>
            </w:r>
          </w:p>
        </w:tc>
      </w:tr>
      <w:tr w:rsidR="00924A0A" w:rsidRPr="00242122" w:rsidTr="00B8293F">
        <w:trPr>
          <w:trHeight w:val="467"/>
        </w:trPr>
        <w:tc>
          <w:tcPr>
            <w:tcW w:w="2195" w:type="dxa"/>
            <w:tcBorders>
              <w:top w:val="nil"/>
              <w:left w:val="single" w:sz="4" w:space="0" w:color="auto"/>
              <w:bottom w:val="single" w:sz="4" w:space="0" w:color="auto"/>
              <w:right w:val="single" w:sz="4" w:space="0" w:color="auto"/>
            </w:tcBorders>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b/>
                <w:bCs/>
                <w:szCs w:val="20"/>
                <w:lang w:eastAsia="ro-RO"/>
              </w:rPr>
            </w:pPr>
            <w:r w:rsidRPr="00242122">
              <w:rPr>
                <w:rFonts w:ascii="Arial" w:eastAsia="Times New Roman" w:hAnsi="Arial" w:cs="Arial"/>
                <w:b/>
                <w:bCs/>
                <w:szCs w:val="20"/>
                <w:lang w:eastAsia="ro-RO"/>
              </w:rPr>
              <w:t>Substanțe prioritare monitorizate (nr.)</w:t>
            </w:r>
          </w:p>
        </w:tc>
        <w:tc>
          <w:tcPr>
            <w:tcW w:w="903" w:type="dxa"/>
            <w:tcBorders>
              <w:top w:val="nil"/>
              <w:left w:val="nil"/>
              <w:bottom w:val="single" w:sz="4" w:space="0" w:color="auto"/>
              <w:right w:val="single" w:sz="4" w:space="0" w:color="auto"/>
            </w:tcBorders>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31</w:t>
            </w:r>
          </w:p>
        </w:tc>
        <w:tc>
          <w:tcPr>
            <w:tcW w:w="1055" w:type="dxa"/>
            <w:tcBorders>
              <w:top w:val="nil"/>
              <w:left w:val="nil"/>
              <w:bottom w:val="single" w:sz="4" w:space="0" w:color="auto"/>
              <w:right w:val="single" w:sz="4" w:space="0" w:color="auto"/>
            </w:tcBorders>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37</w:t>
            </w:r>
          </w:p>
        </w:tc>
        <w:tc>
          <w:tcPr>
            <w:tcW w:w="126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26</w:t>
            </w:r>
          </w:p>
        </w:tc>
        <w:tc>
          <w:tcPr>
            <w:tcW w:w="126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18</w:t>
            </w:r>
          </w:p>
        </w:tc>
        <w:tc>
          <w:tcPr>
            <w:tcW w:w="117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32</w:t>
            </w:r>
          </w:p>
        </w:tc>
        <w:tc>
          <w:tcPr>
            <w:tcW w:w="126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32</w:t>
            </w:r>
          </w:p>
        </w:tc>
        <w:tc>
          <w:tcPr>
            <w:tcW w:w="1157" w:type="dxa"/>
            <w:tcBorders>
              <w:top w:val="nil"/>
              <w:left w:val="nil"/>
              <w:bottom w:val="single" w:sz="4" w:space="0" w:color="auto"/>
              <w:right w:val="single" w:sz="4" w:space="0" w:color="auto"/>
            </w:tcBorders>
            <w:vAlign w:val="center"/>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25</w:t>
            </w:r>
          </w:p>
        </w:tc>
      </w:tr>
      <w:tr w:rsidR="00924A0A" w:rsidRPr="00242122" w:rsidTr="00B8293F">
        <w:trPr>
          <w:trHeight w:val="467"/>
        </w:trPr>
        <w:tc>
          <w:tcPr>
            <w:tcW w:w="2195" w:type="dxa"/>
            <w:tcBorders>
              <w:top w:val="nil"/>
              <w:left w:val="single" w:sz="4" w:space="0" w:color="auto"/>
              <w:bottom w:val="single" w:sz="4" w:space="0" w:color="auto"/>
              <w:right w:val="single" w:sz="4" w:space="0" w:color="auto"/>
            </w:tcBorders>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b/>
                <w:bCs/>
                <w:szCs w:val="20"/>
                <w:lang w:eastAsia="ro-RO"/>
              </w:rPr>
            </w:pPr>
            <w:r w:rsidRPr="00242122">
              <w:rPr>
                <w:rFonts w:ascii="Arial" w:eastAsia="Times New Roman" w:hAnsi="Arial" w:cs="Arial"/>
                <w:b/>
                <w:bCs/>
                <w:szCs w:val="20"/>
                <w:lang w:eastAsia="ro-RO"/>
              </w:rPr>
              <w:t>Secțiuni de monitorizare (nr.)</w:t>
            </w:r>
          </w:p>
        </w:tc>
        <w:tc>
          <w:tcPr>
            <w:tcW w:w="903" w:type="dxa"/>
            <w:tcBorders>
              <w:top w:val="nil"/>
              <w:left w:val="nil"/>
              <w:bottom w:val="single" w:sz="4" w:space="0" w:color="auto"/>
              <w:right w:val="single" w:sz="4" w:space="0" w:color="auto"/>
            </w:tcBorders>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71</w:t>
            </w:r>
          </w:p>
        </w:tc>
        <w:tc>
          <w:tcPr>
            <w:tcW w:w="1055" w:type="dxa"/>
            <w:tcBorders>
              <w:top w:val="nil"/>
              <w:left w:val="nil"/>
              <w:bottom w:val="single" w:sz="4" w:space="0" w:color="auto"/>
              <w:right w:val="single" w:sz="4" w:space="0" w:color="auto"/>
            </w:tcBorders>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95</w:t>
            </w:r>
          </w:p>
        </w:tc>
        <w:tc>
          <w:tcPr>
            <w:tcW w:w="126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55</w:t>
            </w:r>
          </w:p>
        </w:tc>
        <w:tc>
          <w:tcPr>
            <w:tcW w:w="126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111</w:t>
            </w:r>
          </w:p>
        </w:tc>
        <w:tc>
          <w:tcPr>
            <w:tcW w:w="117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107</w:t>
            </w:r>
          </w:p>
        </w:tc>
        <w:tc>
          <w:tcPr>
            <w:tcW w:w="126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104</w:t>
            </w:r>
          </w:p>
        </w:tc>
        <w:tc>
          <w:tcPr>
            <w:tcW w:w="1157" w:type="dxa"/>
            <w:tcBorders>
              <w:top w:val="nil"/>
              <w:left w:val="nil"/>
              <w:bottom w:val="single" w:sz="4" w:space="0" w:color="auto"/>
              <w:right w:val="single" w:sz="4" w:space="0" w:color="auto"/>
            </w:tcBorders>
            <w:vAlign w:val="center"/>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110</w:t>
            </w:r>
          </w:p>
        </w:tc>
      </w:tr>
      <w:tr w:rsidR="00924A0A" w:rsidRPr="00242122" w:rsidTr="00B8293F">
        <w:trPr>
          <w:trHeight w:val="701"/>
        </w:trPr>
        <w:tc>
          <w:tcPr>
            <w:tcW w:w="2195" w:type="dxa"/>
            <w:tcBorders>
              <w:top w:val="nil"/>
              <w:left w:val="single" w:sz="4" w:space="0" w:color="auto"/>
              <w:bottom w:val="single" w:sz="4" w:space="0" w:color="auto"/>
              <w:right w:val="single" w:sz="4" w:space="0" w:color="auto"/>
            </w:tcBorders>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b/>
                <w:bCs/>
                <w:szCs w:val="20"/>
                <w:lang w:eastAsia="ro-RO"/>
              </w:rPr>
            </w:pPr>
            <w:r w:rsidRPr="00242122">
              <w:rPr>
                <w:rFonts w:ascii="Arial" w:eastAsia="Times New Roman" w:hAnsi="Arial" w:cs="Arial"/>
                <w:b/>
                <w:bCs/>
                <w:szCs w:val="20"/>
                <w:lang w:eastAsia="ro-RO"/>
              </w:rPr>
              <w:t>Ponderea secțiunilor cu  concentrație mai mare decat SCM (%)</w:t>
            </w:r>
          </w:p>
        </w:tc>
        <w:tc>
          <w:tcPr>
            <w:tcW w:w="903" w:type="dxa"/>
            <w:tcBorders>
              <w:top w:val="nil"/>
              <w:left w:val="nil"/>
              <w:bottom w:val="single" w:sz="4" w:space="0" w:color="auto"/>
              <w:right w:val="single" w:sz="4" w:space="0" w:color="auto"/>
            </w:tcBorders>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2,81</w:t>
            </w:r>
          </w:p>
        </w:tc>
        <w:tc>
          <w:tcPr>
            <w:tcW w:w="1055" w:type="dxa"/>
            <w:tcBorders>
              <w:top w:val="nil"/>
              <w:left w:val="nil"/>
              <w:bottom w:val="single" w:sz="4" w:space="0" w:color="auto"/>
              <w:right w:val="single" w:sz="4" w:space="0" w:color="auto"/>
            </w:tcBorders>
            <w:shd w:val="clear" w:color="000000" w:fill="FFFFFF"/>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3,15</w:t>
            </w:r>
          </w:p>
        </w:tc>
        <w:tc>
          <w:tcPr>
            <w:tcW w:w="126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1,82</w:t>
            </w:r>
          </w:p>
        </w:tc>
        <w:tc>
          <w:tcPr>
            <w:tcW w:w="126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0,90</w:t>
            </w:r>
          </w:p>
        </w:tc>
        <w:tc>
          <w:tcPr>
            <w:tcW w:w="117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1,87</w:t>
            </w:r>
          </w:p>
        </w:tc>
        <w:tc>
          <w:tcPr>
            <w:tcW w:w="1260" w:type="dxa"/>
            <w:tcBorders>
              <w:top w:val="nil"/>
              <w:left w:val="nil"/>
              <w:bottom w:val="single" w:sz="4" w:space="0" w:color="auto"/>
              <w:right w:val="single" w:sz="4" w:space="0" w:color="auto"/>
            </w:tcBorders>
            <w:shd w:val="clear" w:color="auto" w:fill="auto"/>
            <w:noWrap/>
            <w:vAlign w:val="center"/>
            <w:hideMark/>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2,88</w:t>
            </w:r>
          </w:p>
        </w:tc>
        <w:tc>
          <w:tcPr>
            <w:tcW w:w="1157" w:type="dxa"/>
            <w:tcBorders>
              <w:top w:val="nil"/>
              <w:left w:val="nil"/>
              <w:bottom w:val="single" w:sz="4" w:space="0" w:color="auto"/>
              <w:right w:val="single" w:sz="4" w:space="0" w:color="auto"/>
            </w:tcBorders>
            <w:vAlign w:val="center"/>
          </w:tcPr>
          <w:p w:rsidR="00924A0A" w:rsidRPr="00242122" w:rsidRDefault="00924A0A" w:rsidP="00B8293F">
            <w:pPr>
              <w:spacing w:after="0" w:line="240" w:lineRule="auto"/>
              <w:jc w:val="center"/>
              <w:rPr>
                <w:rFonts w:ascii="Arial" w:eastAsia="Times New Roman" w:hAnsi="Arial" w:cs="Arial"/>
                <w:szCs w:val="20"/>
                <w:lang w:eastAsia="ro-RO"/>
              </w:rPr>
            </w:pPr>
            <w:r w:rsidRPr="00242122">
              <w:rPr>
                <w:rFonts w:ascii="Arial" w:eastAsia="Times New Roman" w:hAnsi="Arial" w:cs="Arial"/>
                <w:szCs w:val="20"/>
                <w:lang w:eastAsia="ro-RO"/>
              </w:rPr>
              <w:t>0,00</w:t>
            </w:r>
          </w:p>
        </w:tc>
      </w:tr>
    </w:tbl>
    <w:p w:rsidR="00924A0A" w:rsidRPr="00242122" w:rsidRDefault="00924A0A" w:rsidP="00924A0A">
      <w:pPr>
        <w:spacing w:after="0" w:line="240" w:lineRule="auto"/>
        <w:jc w:val="both"/>
        <w:rPr>
          <w:rFonts w:ascii="Arial" w:hAnsi="Arial" w:cs="Arial"/>
          <w:b/>
          <w:i/>
          <w:sz w:val="20"/>
          <w:szCs w:val="16"/>
        </w:rPr>
      </w:pPr>
      <w:r w:rsidRPr="00242122">
        <w:rPr>
          <w:rFonts w:ascii="Arial" w:hAnsi="Arial" w:cs="Arial"/>
          <w:b/>
          <w:i/>
          <w:sz w:val="20"/>
          <w:szCs w:val="16"/>
        </w:rPr>
        <w:t>Tabelul II.2.1.2.3 Ponderea secțiunilor de monitorizare cu concentrație mai mare decât SCM (%) în perioada 2015 - 2021</w:t>
      </w:r>
    </w:p>
    <w:p w:rsidR="00924A0A" w:rsidRPr="00242122" w:rsidRDefault="00924A0A" w:rsidP="00924A0A">
      <w:pPr>
        <w:spacing w:after="0"/>
        <w:ind w:left="900" w:hanging="900"/>
        <w:jc w:val="both"/>
        <w:rPr>
          <w:rFonts w:ascii="Arial" w:hAnsi="Arial" w:cs="Arial"/>
          <w:i/>
          <w:iCs/>
          <w:color w:val="000000"/>
          <w:sz w:val="20"/>
          <w:szCs w:val="20"/>
          <w:lang w:eastAsia="ro-RO"/>
        </w:rPr>
      </w:pPr>
      <w:r w:rsidRPr="00242122">
        <w:rPr>
          <w:rFonts w:ascii="Arial" w:hAnsi="Arial" w:cs="Arial"/>
          <w:i/>
          <w:iCs/>
          <w:color w:val="000000"/>
          <w:sz w:val="20"/>
          <w:szCs w:val="20"/>
          <w:lang w:eastAsia="ro-RO"/>
        </w:rPr>
        <w:t>(Sursa: Administraţia Naţională “Apele Române”, Sinteza calităţii apelor din România în anul 2021)</w:t>
      </w:r>
    </w:p>
    <w:p w:rsidR="002967F0" w:rsidRPr="00242122" w:rsidRDefault="002967F0" w:rsidP="002967F0">
      <w:pPr>
        <w:rPr>
          <w:rFonts w:ascii="Arial" w:hAnsi="Arial" w:cs="Arial"/>
          <w:b/>
          <w:color w:val="FF0000"/>
          <w:sz w:val="28"/>
          <w:szCs w:val="28"/>
          <w:lang w:val="en-US"/>
        </w:rPr>
      </w:pPr>
    </w:p>
    <w:p w:rsidR="002967F0" w:rsidRPr="005B6804" w:rsidRDefault="002967F0" w:rsidP="005B6804">
      <w:pPr>
        <w:shd w:val="clear" w:color="auto" w:fill="FFFFFF" w:themeFill="background1"/>
        <w:rPr>
          <w:rFonts w:ascii="Arial" w:hAnsi="Arial" w:cs="Arial"/>
          <w:b/>
          <w:iCs/>
          <w:sz w:val="24"/>
          <w:szCs w:val="24"/>
          <w:lang w:val="en-US"/>
        </w:rPr>
      </w:pPr>
      <w:r w:rsidRPr="00242122">
        <w:rPr>
          <w:rFonts w:ascii="Arial" w:hAnsi="Arial" w:cs="Arial"/>
          <w:b/>
          <w:iCs/>
          <w:sz w:val="24"/>
          <w:szCs w:val="24"/>
          <w:lang w:val="en-US"/>
        </w:rPr>
        <w:t>II.2.</w:t>
      </w:r>
      <w:r w:rsidR="005B6804">
        <w:rPr>
          <w:rFonts w:ascii="Arial" w:hAnsi="Arial" w:cs="Arial"/>
          <w:b/>
          <w:iCs/>
          <w:sz w:val="24"/>
          <w:szCs w:val="24"/>
          <w:lang w:val="en-US"/>
        </w:rPr>
        <w:t>1.3. Calitatea apelor subterane</w:t>
      </w:r>
    </w:p>
    <w:p w:rsidR="002967F0" w:rsidRPr="00242122" w:rsidRDefault="002967F0" w:rsidP="005B6804">
      <w:pPr>
        <w:spacing w:line="240" w:lineRule="auto"/>
        <w:jc w:val="center"/>
        <w:rPr>
          <w:rFonts w:ascii="Arial" w:hAnsi="Arial" w:cs="Arial"/>
          <w:b/>
          <w:sz w:val="24"/>
          <w:szCs w:val="24"/>
          <w:lang w:val="en-US"/>
        </w:rPr>
      </w:pPr>
      <w:r w:rsidRPr="005B6804">
        <w:rPr>
          <w:rFonts w:ascii="Arial" w:hAnsi="Arial" w:cs="Arial"/>
          <w:b/>
          <w:sz w:val="24"/>
          <w:szCs w:val="24"/>
          <w:lang w:val="en-US"/>
        </w:rPr>
        <w:t>Indicator CSI 20. Nutrienţi în apă RO 20</w:t>
      </w:r>
    </w:p>
    <w:p w:rsidR="002967F0" w:rsidRPr="00242122" w:rsidRDefault="002967F0" w:rsidP="002967F0">
      <w:pPr>
        <w:spacing w:after="0" w:line="240" w:lineRule="auto"/>
        <w:jc w:val="both"/>
        <w:rPr>
          <w:rFonts w:ascii="Arial" w:hAnsi="Arial" w:cs="Arial"/>
          <w:b/>
          <w:i/>
          <w:sz w:val="24"/>
          <w:szCs w:val="24"/>
          <w:lang w:val="en-US"/>
        </w:rPr>
      </w:pPr>
    </w:p>
    <w:p w:rsidR="002967F0" w:rsidRPr="00242122" w:rsidRDefault="002967F0" w:rsidP="002967F0">
      <w:pPr>
        <w:spacing w:after="0" w:line="240" w:lineRule="auto"/>
        <w:jc w:val="both"/>
        <w:rPr>
          <w:rFonts w:ascii="Arial" w:hAnsi="Arial" w:cs="Arial"/>
          <w:b/>
          <w:i/>
          <w:sz w:val="24"/>
          <w:szCs w:val="24"/>
          <w:lang w:val="en-US"/>
        </w:rPr>
      </w:pPr>
      <w:r w:rsidRPr="00242122">
        <w:rPr>
          <w:rFonts w:ascii="Arial" w:hAnsi="Arial" w:cs="Arial"/>
          <w:b/>
          <w:i/>
          <w:sz w:val="24"/>
          <w:szCs w:val="24"/>
          <w:lang w:val="en-US"/>
        </w:rPr>
        <w:t>EVOLUȚIA NUMĂRULUI PUNCTELOR DE MONITORIZARE CU DEPĂȘIRI LA CONȚINUTUL DE NITRAȚI ÎN PERIOADA 2015 – 2021 (%)</w:t>
      </w:r>
    </w:p>
    <w:p w:rsidR="002967F0" w:rsidRPr="00242122" w:rsidRDefault="002967F0" w:rsidP="002967F0">
      <w:pPr>
        <w:spacing w:after="0" w:line="240" w:lineRule="auto"/>
        <w:jc w:val="both"/>
        <w:rPr>
          <w:rFonts w:ascii="Arial" w:hAnsi="Arial" w:cs="Arial"/>
          <w:b/>
          <w:i/>
          <w:sz w:val="24"/>
          <w:szCs w:val="24"/>
          <w:lang w:val="en-US"/>
        </w:rPr>
      </w:pPr>
    </w:p>
    <w:p w:rsidR="002967F0" w:rsidRPr="00242122" w:rsidRDefault="002967F0" w:rsidP="002967F0">
      <w:pPr>
        <w:spacing w:after="0" w:line="240" w:lineRule="auto"/>
        <w:jc w:val="both"/>
        <w:rPr>
          <w:rFonts w:ascii="Arial" w:hAnsi="Arial" w:cs="Arial"/>
          <w:b/>
          <w:i/>
          <w:color w:val="FF0000"/>
          <w:sz w:val="24"/>
          <w:szCs w:val="24"/>
          <w:lang w:val="en-US"/>
        </w:rPr>
      </w:pPr>
      <w:r w:rsidRPr="00242122">
        <w:rPr>
          <w:rFonts w:ascii="Arial" w:hAnsi="Arial" w:cs="Arial"/>
          <w:noProof/>
          <w:lang w:eastAsia="ro-RO"/>
        </w:rPr>
        <w:drawing>
          <wp:inline distT="0" distB="0" distL="0" distR="0" wp14:anchorId="211B5F1C" wp14:editId="321C8A37">
            <wp:extent cx="5915936" cy="2775005"/>
            <wp:effectExtent l="0" t="0" r="8890" b="635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2967F0" w:rsidRPr="00242122" w:rsidRDefault="002967F0" w:rsidP="002967F0">
      <w:pPr>
        <w:spacing w:after="0" w:line="240" w:lineRule="auto"/>
        <w:rPr>
          <w:rFonts w:ascii="Arial" w:hAnsi="Arial" w:cs="Arial"/>
          <w:b/>
          <w:i/>
          <w:sz w:val="20"/>
          <w:szCs w:val="16"/>
        </w:rPr>
      </w:pPr>
    </w:p>
    <w:p w:rsidR="002967F0" w:rsidRPr="00242122" w:rsidRDefault="002967F0" w:rsidP="002967F0">
      <w:pPr>
        <w:spacing w:after="0" w:line="240" w:lineRule="auto"/>
        <w:rPr>
          <w:rFonts w:ascii="Arial" w:hAnsi="Arial" w:cs="Arial"/>
          <w:b/>
          <w:i/>
          <w:sz w:val="20"/>
          <w:szCs w:val="16"/>
        </w:rPr>
      </w:pPr>
      <w:r w:rsidRPr="00242122">
        <w:rPr>
          <w:rFonts w:ascii="Arial" w:hAnsi="Arial" w:cs="Arial"/>
          <w:b/>
          <w:i/>
          <w:sz w:val="20"/>
          <w:szCs w:val="16"/>
        </w:rPr>
        <w:t>Figura II.2.1.3.1 Evoluția punctelor de monitorizare cu depășiri ale concentrațiilor de nitrați  în  perioada 2015 - 2021 (%)</w:t>
      </w:r>
    </w:p>
    <w:p w:rsidR="002967F0" w:rsidRPr="00242122" w:rsidRDefault="002967F0" w:rsidP="002967F0">
      <w:pPr>
        <w:spacing w:after="0"/>
        <w:ind w:left="900" w:hanging="900"/>
        <w:jc w:val="both"/>
        <w:rPr>
          <w:rFonts w:ascii="Arial" w:hAnsi="Arial" w:cs="Arial"/>
          <w:i/>
          <w:iCs/>
          <w:color w:val="000000"/>
          <w:sz w:val="20"/>
          <w:szCs w:val="20"/>
          <w:lang w:eastAsia="ro-RO"/>
        </w:rPr>
      </w:pPr>
      <w:r w:rsidRPr="00242122">
        <w:rPr>
          <w:rFonts w:ascii="Arial" w:hAnsi="Arial" w:cs="Arial"/>
          <w:i/>
          <w:iCs/>
          <w:color w:val="000000"/>
          <w:sz w:val="20"/>
          <w:szCs w:val="20"/>
          <w:lang w:eastAsia="ro-RO"/>
        </w:rPr>
        <w:t>(Sursa: Administraţia Naţională “Apele Române”, Sinteza calităţii apelor din România în anul 2021)</w:t>
      </w:r>
    </w:p>
    <w:p w:rsidR="002967F0" w:rsidRPr="00242122" w:rsidRDefault="002967F0" w:rsidP="002967F0">
      <w:pPr>
        <w:spacing w:after="0" w:line="240" w:lineRule="auto"/>
        <w:ind w:left="708" w:firstLine="708"/>
        <w:rPr>
          <w:rFonts w:ascii="Arial" w:hAnsi="Arial" w:cs="Arial"/>
          <w:b/>
          <w:sz w:val="24"/>
          <w:szCs w:val="24"/>
        </w:rPr>
      </w:pPr>
    </w:p>
    <w:p w:rsidR="005B6804" w:rsidRDefault="005B6804" w:rsidP="002967F0">
      <w:pPr>
        <w:spacing w:line="240" w:lineRule="auto"/>
        <w:jc w:val="center"/>
        <w:rPr>
          <w:rFonts w:ascii="Arial" w:hAnsi="Arial" w:cs="Arial"/>
          <w:b/>
          <w:sz w:val="24"/>
          <w:szCs w:val="24"/>
          <w:highlight w:val="green"/>
        </w:rPr>
      </w:pPr>
    </w:p>
    <w:p w:rsidR="005B6804" w:rsidRDefault="005B6804" w:rsidP="002967F0">
      <w:pPr>
        <w:spacing w:line="240" w:lineRule="auto"/>
        <w:jc w:val="center"/>
        <w:rPr>
          <w:rFonts w:ascii="Arial" w:hAnsi="Arial" w:cs="Arial"/>
          <w:b/>
          <w:sz w:val="24"/>
          <w:szCs w:val="24"/>
          <w:highlight w:val="green"/>
        </w:rPr>
      </w:pPr>
    </w:p>
    <w:p w:rsidR="005B6804" w:rsidRDefault="005B6804" w:rsidP="002967F0">
      <w:pPr>
        <w:spacing w:line="240" w:lineRule="auto"/>
        <w:jc w:val="center"/>
        <w:rPr>
          <w:rFonts w:ascii="Arial" w:hAnsi="Arial" w:cs="Arial"/>
          <w:b/>
          <w:sz w:val="24"/>
          <w:szCs w:val="24"/>
          <w:highlight w:val="green"/>
        </w:rPr>
      </w:pPr>
    </w:p>
    <w:p w:rsidR="005B6804" w:rsidRDefault="005B6804" w:rsidP="002967F0">
      <w:pPr>
        <w:spacing w:line="240" w:lineRule="auto"/>
        <w:jc w:val="center"/>
        <w:rPr>
          <w:rFonts w:ascii="Arial" w:hAnsi="Arial" w:cs="Arial"/>
          <w:b/>
          <w:sz w:val="24"/>
          <w:szCs w:val="24"/>
          <w:highlight w:val="green"/>
        </w:rPr>
      </w:pPr>
    </w:p>
    <w:p w:rsidR="005B6804" w:rsidRDefault="005B6804" w:rsidP="002967F0">
      <w:pPr>
        <w:spacing w:line="240" w:lineRule="auto"/>
        <w:jc w:val="center"/>
        <w:rPr>
          <w:rFonts w:ascii="Arial" w:hAnsi="Arial" w:cs="Arial"/>
          <w:b/>
          <w:sz w:val="24"/>
          <w:szCs w:val="24"/>
          <w:highlight w:val="green"/>
        </w:rPr>
      </w:pPr>
    </w:p>
    <w:p w:rsidR="002967F0" w:rsidRPr="00242122" w:rsidRDefault="002967F0" w:rsidP="002967F0">
      <w:pPr>
        <w:spacing w:line="240" w:lineRule="auto"/>
        <w:jc w:val="center"/>
        <w:rPr>
          <w:rFonts w:ascii="Arial" w:hAnsi="Arial" w:cs="Arial"/>
          <w:b/>
          <w:sz w:val="24"/>
          <w:szCs w:val="24"/>
        </w:rPr>
      </w:pPr>
      <w:r w:rsidRPr="005B6804">
        <w:rPr>
          <w:rFonts w:ascii="Arial" w:hAnsi="Arial" w:cs="Arial"/>
          <w:b/>
          <w:sz w:val="24"/>
          <w:szCs w:val="24"/>
        </w:rPr>
        <w:lastRenderedPageBreak/>
        <w:t>Indicator VHS 01. Pesticidele din apele subterane RO 64</w:t>
      </w:r>
    </w:p>
    <w:p w:rsidR="002967F0" w:rsidRPr="00242122" w:rsidRDefault="002967F0" w:rsidP="002967F0">
      <w:pPr>
        <w:spacing w:line="240" w:lineRule="auto"/>
        <w:jc w:val="both"/>
        <w:rPr>
          <w:rFonts w:ascii="Arial" w:hAnsi="Arial" w:cs="Arial"/>
          <w:b/>
          <w:i/>
          <w:sz w:val="24"/>
          <w:szCs w:val="24"/>
        </w:rPr>
      </w:pPr>
      <w:r w:rsidRPr="00242122">
        <w:rPr>
          <w:rFonts w:ascii="Arial" w:hAnsi="Arial" w:cs="Arial"/>
          <w:b/>
          <w:i/>
          <w:sz w:val="24"/>
          <w:szCs w:val="24"/>
        </w:rPr>
        <w:t xml:space="preserve">Distribuția numărului punctelor de monitorizare a pesticidelor pe spații/bazine hidrografice în anul 2021 </w:t>
      </w:r>
    </w:p>
    <w:tbl>
      <w:tblPr>
        <w:tblW w:w="98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0"/>
        <w:gridCol w:w="1840"/>
        <w:gridCol w:w="2240"/>
        <w:gridCol w:w="2160"/>
        <w:gridCol w:w="1620"/>
      </w:tblGrid>
      <w:tr w:rsidR="002967F0" w:rsidRPr="00242122" w:rsidTr="00B8293F">
        <w:trPr>
          <w:trHeight w:val="288"/>
        </w:trPr>
        <w:tc>
          <w:tcPr>
            <w:tcW w:w="9880" w:type="dxa"/>
            <w:gridSpan w:val="5"/>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b/>
                <w:bCs/>
                <w:color w:val="000000"/>
                <w:lang w:eastAsia="ro-RO"/>
              </w:rPr>
            </w:pPr>
            <w:r w:rsidRPr="00242122">
              <w:rPr>
                <w:rFonts w:ascii="Arial" w:eastAsia="Times New Roman" w:hAnsi="Arial" w:cs="Arial"/>
                <w:b/>
                <w:bCs/>
                <w:color w:val="000000"/>
                <w:lang w:eastAsia="ro-RO"/>
              </w:rPr>
              <w:t>2021</w:t>
            </w:r>
          </w:p>
        </w:tc>
      </w:tr>
      <w:tr w:rsidR="002967F0" w:rsidRPr="00242122" w:rsidTr="00B8293F">
        <w:trPr>
          <w:trHeight w:val="1116"/>
        </w:trPr>
        <w:tc>
          <w:tcPr>
            <w:tcW w:w="2020"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bCs/>
                <w:color w:val="000000"/>
                <w:lang w:eastAsia="ro-RO"/>
              </w:rPr>
            </w:pPr>
            <w:r w:rsidRPr="00242122">
              <w:rPr>
                <w:rFonts w:ascii="Arial" w:eastAsia="Times New Roman" w:hAnsi="Arial" w:cs="Arial"/>
                <w:b/>
                <w:bCs/>
                <w:color w:val="000000"/>
                <w:lang w:eastAsia="ro-RO"/>
              </w:rPr>
              <w:t>Spaţiu / Bazin hidrografic</w:t>
            </w:r>
          </w:p>
        </w:tc>
        <w:tc>
          <w:tcPr>
            <w:tcW w:w="1840"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bCs/>
                <w:color w:val="000000"/>
                <w:lang w:eastAsia="ro-RO"/>
              </w:rPr>
            </w:pPr>
            <w:r w:rsidRPr="00242122">
              <w:rPr>
                <w:rFonts w:ascii="Arial" w:eastAsia="Times New Roman" w:hAnsi="Arial" w:cs="Arial"/>
                <w:b/>
                <w:bCs/>
                <w:color w:val="000000"/>
                <w:lang w:eastAsia="ro-RO"/>
              </w:rPr>
              <w:t>Număr corpuri de apă monitorizate</w:t>
            </w:r>
          </w:p>
        </w:tc>
        <w:tc>
          <w:tcPr>
            <w:tcW w:w="2240"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bCs/>
                <w:color w:val="000000"/>
                <w:lang w:eastAsia="ro-RO"/>
              </w:rPr>
            </w:pPr>
            <w:r w:rsidRPr="00242122">
              <w:rPr>
                <w:rFonts w:ascii="Arial" w:eastAsia="Times New Roman" w:hAnsi="Arial" w:cs="Arial"/>
                <w:b/>
                <w:bCs/>
                <w:color w:val="000000"/>
                <w:lang w:eastAsia="ro-RO"/>
              </w:rPr>
              <w:t>Număr total de puncte de monitorizare</w:t>
            </w:r>
          </w:p>
        </w:tc>
        <w:tc>
          <w:tcPr>
            <w:tcW w:w="2160"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bCs/>
                <w:color w:val="000000"/>
                <w:lang w:eastAsia="ro-RO"/>
              </w:rPr>
            </w:pPr>
            <w:r w:rsidRPr="00242122">
              <w:rPr>
                <w:rFonts w:ascii="Arial" w:eastAsia="Times New Roman" w:hAnsi="Arial" w:cs="Arial"/>
                <w:b/>
                <w:bCs/>
                <w:color w:val="000000"/>
                <w:lang w:eastAsia="ro-RO"/>
              </w:rPr>
              <w:t>Număr de puncte în care sunt monitorizate   pesticidele</w:t>
            </w:r>
          </w:p>
        </w:tc>
        <w:tc>
          <w:tcPr>
            <w:tcW w:w="1620"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bCs/>
                <w:color w:val="000000"/>
                <w:lang w:eastAsia="ro-RO"/>
              </w:rPr>
            </w:pPr>
            <w:r w:rsidRPr="00242122">
              <w:rPr>
                <w:rFonts w:ascii="Arial" w:eastAsia="Times New Roman" w:hAnsi="Arial" w:cs="Arial"/>
                <w:b/>
                <w:bCs/>
                <w:color w:val="000000"/>
                <w:lang w:eastAsia="ro-RO"/>
              </w:rPr>
              <w:t>Pesticide monitorizate (nr.)</w:t>
            </w:r>
          </w:p>
        </w:tc>
      </w:tr>
      <w:tr w:rsidR="002967F0" w:rsidRPr="00242122" w:rsidTr="00B8293F">
        <w:trPr>
          <w:trHeight w:val="327"/>
        </w:trPr>
        <w:tc>
          <w:tcPr>
            <w:tcW w:w="2020"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Someș - Tisa</w:t>
            </w:r>
          </w:p>
        </w:tc>
        <w:tc>
          <w:tcPr>
            <w:tcW w:w="18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15</w:t>
            </w:r>
          </w:p>
        </w:tc>
        <w:tc>
          <w:tcPr>
            <w:tcW w:w="22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133</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w:t>
            </w:r>
          </w:p>
        </w:tc>
        <w:tc>
          <w:tcPr>
            <w:tcW w:w="16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2</w:t>
            </w:r>
          </w:p>
        </w:tc>
      </w:tr>
      <w:tr w:rsidR="002967F0" w:rsidRPr="00242122" w:rsidTr="00B8293F">
        <w:trPr>
          <w:trHeight w:val="309"/>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Crișuri</w:t>
            </w:r>
          </w:p>
        </w:tc>
        <w:tc>
          <w:tcPr>
            <w:tcW w:w="18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9</w:t>
            </w:r>
          </w:p>
        </w:tc>
        <w:tc>
          <w:tcPr>
            <w:tcW w:w="22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133</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w:t>
            </w:r>
          </w:p>
        </w:tc>
        <w:tc>
          <w:tcPr>
            <w:tcW w:w="16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3</w:t>
            </w:r>
          </w:p>
        </w:tc>
      </w:tr>
      <w:tr w:rsidR="002967F0" w:rsidRPr="00242122" w:rsidTr="00B8293F">
        <w:trPr>
          <w:trHeight w:val="276"/>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Mureș</w:t>
            </w:r>
          </w:p>
        </w:tc>
        <w:tc>
          <w:tcPr>
            <w:tcW w:w="1840" w:type="dxa"/>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22</w:t>
            </w:r>
          </w:p>
        </w:tc>
        <w:tc>
          <w:tcPr>
            <w:tcW w:w="2240" w:type="dxa"/>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122</w:t>
            </w:r>
          </w:p>
        </w:tc>
        <w:tc>
          <w:tcPr>
            <w:tcW w:w="2160" w:type="dxa"/>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6</w:t>
            </w:r>
          </w:p>
        </w:tc>
        <w:tc>
          <w:tcPr>
            <w:tcW w:w="1620" w:type="dxa"/>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FF0000"/>
                <w:lang w:eastAsia="ro-RO"/>
              </w:rPr>
            </w:pPr>
            <w:r w:rsidRPr="00242122">
              <w:rPr>
                <w:rFonts w:ascii="Arial" w:eastAsia="Times New Roman" w:hAnsi="Arial" w:cs="Arial"/>
                <w:lang w:eastAsia="ro-RO"/>
              </w:rPr>
              <w:t>12</w:t>
            </w:r>
          </w:p>
        </w:tc>
      </w:tr>
      <w:tr w:rsidR="002967F0" w:rsidRPr="00242122" w:rsidTr="00B8293F">
        <w:trPr>
          <w:trHeight w:val="276"/>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Banat</w:t>
            </w:r>
          </w:p>
        </w:tc>
        <w:tc>
          <w:tcPr>
            <w:tcW w:w="18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20</w:t>
            </w:r>
          </w:p>
        </w:tc>
        <w:tc>
          <w:tcPr>
            <w:tcW w:w="22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214</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color w:val="FF0000"/>
                <w:lang w:eastAsia="ro-RO"/>
              </w:rPr>
            </w:pPr>
            <w:r w:rsidRPr="00242122">
              <w:rPr>
                <w:rFonts w:ascii="Arial" w:eastAsia="Times New Roman" w:hAnsi="Arial" w:cs="Arial"/>
                <w:lang w:eastAsia="ro-RO"/>
              </w:rPr>
              <w:t>15</w:t>
            </w:r>
          </w:p>
        </w:tc>
        <w:tc>
          <w:tcPr>
            <w:tcW w:w="16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color w:val="FF0000"/>
                <w:lang w:eastAsia="ro-RO"/>
              </w:rPr>
            </w:pPr>
            <w:r w:rsidRPr="00242122">
              <w:rPr>
                <w:rFonts w:ascii="Arial" w:eastAsia="Times New Roman" w:hAnsi="Arial" w:cs="Arial"/>
                <w:lang w:eastAsia="ro-RO"/>
              </w:rPr>
              <w:t>5</w:t>
            </w:r>
          </w:p>
        </w:tc>
      </w:tr>
      <w:tr w:rsidR="002967F0" w:rsidRPr="00242122" w:rsidTr="00B8293F">
        <w:trPr>
          <w:trHeight w:val="276"/>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Jiu</w:t>
            </w:r>
          </w:p>
        </w:tc>
        <w:tc>
          <w:tcPr>
            <w:tcW w:w="18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8</w:t>
            </w:r>
          </w:p>
        </w:tc>
        <w:tc>
          <w:tcPr>
            <w:tcW w:w="22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95</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69</w:t>
            </w:r>
          </w:p>
        </w:tc>
        <w:tc>
          <w:tcPr>
            <w:tcW w:w="16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2</w:t>
            </w:r>
          </w:p>
        </w:tc>
      </w:tr>
      <w:tr w:rsidR="002967F0" w:rsidRPr="00242122" w:rsidTr="00B8293F">
        <w:trPr>
          <w:trHeight w:val="276"/>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Olt</w:t>
            </w:r>
          </w:p>
        </w:tc>
        <w:tc>
          <w:tcPr>
            <w:tcW w:w="18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14</w:t>
            </w:r>
          </w:p>
        </w:tc>
        <w:tc>
          <w:tcPr>
            <w:tcW w:w="22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137</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12</w:t>
            </w:r>
          </w:p>
        </w:tc>
        <w:tc>
          <w:tcPr>
            <w:tcW w:w="16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13</w:t>
            </w:r>
          </w:p>
        </w:tc>
      </w:tr>
      <w:tr w:rsidR="002967F0" w:rsidRPr="00242122" w:rsidTr="00B8293F">
        <w:trPr>
          <w:trHeight w:val="276"/>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Argeș - Vedea</w:t>
            </w:r>
          </w:p>
        </w:tc>
        <w:tc>
          <w:tcPr>
            <w:tcW w:w="18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11</w:t>
            </w:r>
          </w:p>
        </w:tc>
        <w:tc>
          <w:tcPr>
            <w:tcW w:w="22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163</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120</w:t>
            </w:r>
          </w:p>
        </w:tc>
        <w:tc>
          <w:tcPr>
            <w:tcW w:w="16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27</w:t>
            </w:r>
          </w:p>
        </w:tc>
      </w:tr>
      <w:tr w:rsidR="002967F0" w:rsidRPr="00242122" w:rsidTr="00B8293F">
        <w:trPr>
          <w:trHeight w:val="276"/>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Buzău - Ialomița</w:t>
            </w:r>
          </w:p>
        </w:tc>
        <w:tc>
          <w:tcPr>
            <w:tcW w:w="18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18</w:t>
            </w:r>
          </w:p>
        </w:tc>
        <w:tc>
          <w:tcPr>
            <w:tcW w:w="22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192</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53</w:t>
            </w:r>
          </w:p>
        </w:tc>
        <w:tc>
          <w:tcPr>
            <w:tcW w:w="16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8</w:t>
            </w:r>
          </w:p>
        </w:tc>
      </w:tr>
      <w:tr w:rsidR="002967F0" w:rsidRPr="00242122" w:rsidTr="00B8293F">
        <w:trPr>
          <w:trHeight w:val="276"/>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Siret</w:t>
            </w:r>
          </w:p>
        </w:tc>
        <w:tc>
          <w:tcPr>
            <w:tcW w:w="18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6</w:t>
            </w:r>
          </w:p>
        </w:tc>
        <w:tc>
          <w:tcPr>
            <w:tcW w:w="22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109</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2</w:t>
            </w:r>
          </w:p>
        </w:tc>
        <w:tc>
          <w:tcPr>
            <w:tcW w:w="16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18</w:t>
            </w:r>
          </w:p>
        </w:tc>
      </w:tr>
      <w:tr w:rsidR="002967F0" w:rsidRPr="00242122" w:rsidTr="00B8293F">
        <w:trPr>
          <w:trHeight w:val="276"/>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Prut- Bârlad</w:t>
            </w:r>
          </w:p>
        </w:tc>
        <w:tc>
          <w:tcPr>
            <w:tcW w:w="1840" w:type="dxa"/>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7</w:t>
            </w:r>
          </w:p>
        </w:tc>
        <w:tc>
          <w:tcPr>
            <w:tcW w:w="22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120</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57</w:t>
            </w:r>
          </w:p>
        </w:tc>
        <w:tc>
          <w:tcPr>
            <w:tcW w:w="16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20</w:t>
            </w:r>
          </w:p>
        </w:tc>
      </w:tr>
      <w:tr w:rsidR="002967F0" w:rsidRPr="00242122" w:rsidTr="00B8293F">
        <w:trPr>
          <w:trHeight w:val="288"/>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Dobrogea - Litoral</w:t>
            </w:r>
          </w:p>
        </w:tc>
        <w:tc>
          <w:tcPr>
            <w:tcW w:w="18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9</w:t>
            </w:r>
          </w:p>
        </w:tc>
        <w:tc>
          <w:tcPr>
            <w:tcW w:w="224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106</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10</w:t>
            </w:r>
          </w:p>
        </w:tc>
        <w:tc>
          <w:tcPr>
            <w:tcW w:w="16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18</w:t>
            </w:r>
          </w:p>
        </w:tc>
      </w:tr>
      <w:tr w:rsidR="002967F0" w:rsidRPr="00242122" w:rsidTr="00B8293F">
        <w:trPr>
          <w:trHeight w:val="336"/>
        </w:trPr>
        <w:tc>
          <w:tcPr>
            <w:tcW w:w="2020" w:type="dxa"/>
            <w:shd w:val="clear" w:color="auto" w:fill="66CCFF"/>
            <w:noWrap/>
            <w:vAlign w:val="center"/>
            <w:hideMark/>
          </w:tcPr>
          <w:p w:rsidR="002967F0" w:rsidRPr="00242122" w:rsidRDefault="002967F0" w:rsidP="00B8293F">
            <w:pPr>
              <w:spacing w:after="0" w:line="240" w:lineRule="auto"/>
              <w:jc w:val="center"/>
              <w:rPr>
                <w:rFonts w:ascii="Arial" w:eastAsia="Times New Roman" w:hAnsi="Arial" w:cs="Arial"/>
                <w:b/>
                <w:bCs/>
                <w:color w:val="000000"/>
                <w:lang w:eastAsia="ro-RO"/>
              </w:rPr>
            </w:pPr>
            <w:r w:rsidRPr="00242122">
              <w:rPr>
                <w:rFonts w:ascii="Arial" w:eastAsia="Times New Roman" w:hAnsi="Arial" w:cs="Arial"/>
                <w:b/>
                <w:bCs/>
                <w:color w:val="000000"/>
                <w:lang w:eastAsia="ro-RO"/>
              </w:rPr>
              <w:t>TOTAL</w:t>
            </w:r>
          </w:p>
        </w:tc>
        <w:tc>
          <w:tcPr>
            <w:tcW w:w="1840" w:type="dxa"/>
            <w:shd w:val="clear" w:color="auto" w:fill="66CCFF"/>
            <w:noWrap/>
            <w:vAlign w:val="center"/>
            <w:hideMark/>
          </w:tcPr>
          <w:p w:rsidR="002967F0" w:rsidRPr="00242122" w:rsidRDefault="002967F0" w:rsidP="00B8293F">
            <w:pPr>
              <w:spacing w:after="0" w:line="240" w:lineRule="auto"/>
              <w:jc w:val="center"/>
              <w:rPr>
                <w:rFonts w:ascii="Arial" w:eastAsia="Times New Roman" w:hAnsi="Arial" w:cs="Arial"/>
                <w:b/>
                <w:bCs/>
                <w:lang w:eastAsia="ro-RO"/>
              </w:rPr>
            </w:pPr>
            <w:r w:rsidRPr="00242122">
              <w:rPr>
                <w:rFonts w:ascii="Arial" w:eastAsia="Times New Roman" w:hAnsi="Arial" w:cs="Arial"/>
                <w:b/>
                <w:bCs/>
                <w:lang w:eastAsia="ro-RO"/>
              </w:rPr>
              <w:t>139</w:t>
            </w:r>
          </w:p>
        </w:tc>
        <w:tc>
          <w:tcPr>
            <w:tcW w:w="2240" w:type="dxa"/>
            <w:shd w:val="clear" w:color="auto" w:fill="66CCFF"/>
            <w:noWrap/>
            <w:vAlign w:val="center"/>
            <w:hideMark/>
          </w:tcPr>
          <w:p w:rsidR="002967F0" w:rsidRPr="00242122" w:rsidRDefault="002967F0" w:rsidP="00B8293F">
            <w:pPr>
              <w:spacing w:after="0" w:line="240" w:lineRule="auto"/>
              <w:jc w:val="center"/>
              <w:rPr>
                <w:rFonts w:ascii="Arial" w:eastAsia="Times New Roman" w:hAnsi="Arial" w:cs="Arial"/>
                <w:b/>
                <w:bCs/>
                <w:lang w:eastAsia="ro-RO"/>
              </w:rPr>
            </w:pPr>
            <w:r w:rsidRPr="00242122">
              <w:rPr>
                <w:rFonts w:ascii="Arial" w:eastAsia="Times New Roman" w:hAnsi="Arial" w:cs="Arial"/>
                <w:b/>
                <w:bCs/>
                <w:lang w:eastAsia="ro-RO"/>
              </w:rPr>
              <w:t>1524</w:t>
            </w:r>
          </w:p>
        </w:tc>
        <w:tc>
          <w:tcPr>
            <w:tcW w:w="2160" w:type="dxa"/>
            <w:shd w:val="clear" w:color="auto" w:fill="66CCFF"/>
            <w:noWrap/>
            <w:vAlign w:val="center"/>
            <w:hideMark/>
          </w:tcPr>
          <w:p w:rsidR="002967F0" w:rsidRPr="00242122" w:rsidRDefault="002967F0" w:rsidP="00B8293F">
            <w:pPr>
              <w:spacing w:after="0" w:line="240" w:lineRule="auto"/>
              <w:jc w:val="center"/>
              <w:rPr>
                <w:rFonts w:ascii="Arial" w:eastAsia="Times New Roman" w:hAnsi="Arial" w:cs="Arial"/>
                <w:b/>
                <w:bCs/>
                <w:color w:val="FF0000"/>
                <w:lang w:eastAsia="ro-RO"/>
              </w:rPr>
            </w:pPr>
            <w:r w:rsidRPr="00242122">
              <w:rPr>
                <w:rFonts w:ascii="Arial" w:eastAsia="Times New Roman" w:hAnsi="Arial" w:cs="Arial"/>
                <w:b/>
                <w:bCs/>
                <w:lang w:eastAsia="ro-RO"/>
              </w:rPr>
              <w:t>346</w:t>
            </w:r>
          </w:p>
        </w:tc>
        <w:tc>
          <w:tcPr>
            <w:tcW w:w="1620" w:type="dxa"/>
            <w:shd w:val="clear" w:color="auto" w:fill="66CCFF"/>
            <w:noWrap/>
            <w:vAlign w:val="center"/>
            <w:hideMark/>
          </w:tcPr>
          <w:p w:rsidR="002967F0" w:rsidRPr="00242122" w:rsidRDefault="002967F0" w:rsidP="00B8293F">
            <w:pPr>
              <w:spacing w:after="0" w:line="240" w:lineRule="auto"/>
              <w:jc w:val="center"/>
              <w:rPr>
                <w:rFonts w:ascii="Arial" w:eastAsia="Times New Roman" w:hAnsi="Arial" w:cs="Arial"/>
                <w:b/>
                <w:bCs/>
                <w:color w:val="FF0000"/>
                <w:lang w:eastAsia="ro-RO"/>
              </w:rPr>
            </w:pPr>
            <w:r w:rsidRPr="00242122">
              <w:rPr>
                <w:rFonts w:ascii="Arial" w:eastAsia="Times New Roman" w:hAnsi="Arial" w:cs="Arial"/>
                <w:b/>
                <w:bCs/>
                <w:lang w:eastAsia="ro-RO"/>
              </w:rPr>
              <w:t>28</w:t>
            </w:r>
          </w:p>
        </w:tc>
      </w:tr>
    </w:tbl>
    <w:p w:rsidR="002967F0" w:rsidRPr="00242122" w:rsidRDefault="002967F0" w:rsidP="002967F0">
      <w:pPr>
        <w:spacing w:after="0" w:line="240" w:lineRule="auto"/>
        <w:rPr>
          <w:rFonts w:ascii="Arial" w:hAnsi="Arial" w:cs="Arial"/>
          <w:b/>
          <w:i/>
          <w:sz w:val="20"/>
          <w:szCs w:val="16"/>
        </w:rPr>
      </w:pPr>
      <w:r w:rsidRPr="00242122">
        <w:rPr>
          <w:rFonts w:ascii="Arial" w:hAnsi="Arial" w:cs="Arial"/>
          <w:b/>
          <w:i/>
          <w:sz w:val="20"/>
          <w:szCs w:val="16"/>
        </w:rPr>
        <w:t>Tabelul II.2.1.3.1 Pesticide monitorizate în anul 2021 (nr.)</w:t>
      </w:r>
    </w:p>
    <w:p w:rsidR="002967F0" w:rsidRPr="00242122" w:rsidRDefault="002967F0" w:rsidP="002967F0">
      <w:pPr>
        <w:spacing w:after="0"/>
        <w:ind w:left="900" w:hanging="900"/>
        <w:jc w:val="both"/>
        <w:rPr>
          <w:rFonts w:ascii="Arial" w:hAnsi="Arial" w:cs="Arial"/>
          <w:i/>
          <w:iCs/>
          <w:color w:val="000000"/>
          <w:sz w:val="20"/>
          <w:szCs w:val="20"/>
          <w:lang w:eastAsia="ro-RO"/>
        </w:rPr>
      </w:pPr>
      <w:r w:rsidRPr="00242122">
        <w:rPr>
          <w:rFonts w:ascii="Arial" w:hAnsi="Arial" w:cs="Arial"/>
          <w:i/>
          <w:iCs/>
          <w:color w:val="000000"/>
          <w:sz w:val="20"/>
          <w:szCs w:val="20"/>
          <w:lang w:eastAsia="ro-RO"/>
        </w:rPr>
        <w:t>(Sursa: Administraţia Naţională “Apele Române”, Sinteza calităţii apelor din România în anul 2021)</w:t>
      </w:r>
    </w:p>
    <w:p w:rsidR="002967F0" w:rsidRPr="00242122" w:rsidRDefault="002967F0" w:rsidP="002967F0">
      <w:pPr>
        <w:spacing w:after="0" w:line="240" w:lineRule="auto"/>
        <w:rPr>
          <w:rFonts w:ascii="Arial" w:hAnsi="Arial" w:cs="Arial"/>
          <w:b/>
          <w:i/>
          <w:sz w:val="20"/>
          <w:szCs w:val="16"/>
        </w:rPr>
      </w:pPr>
    </w:p>
    <w:p w:rsidR="002967F0" w:rsidRPr="00242122" w:rsidRDefault="002967F0" w:rsidP="002967F0">
      <w:pPr>
        <w:spacing w:line="240" w:lineRule="auto"/>
        <w:rPr>
          <w:rFonts w:ascii="Arial" w:hAnsi="Arial" w:cs="Arial"/>
          <w:b/>
          <w:i/>
          <w:sz w:val="24"/>
          <w:szCs w:val="24"/>
        </w:rPr>
      </w:pPr>
    </w:p>
    <w:p w:rsidR="002967F0" w:rsidRPr="00242122" w:rsidRDefault="002967F0" w:rsidP="002967F0">
      <w:pPr>
        <w:spacing w:line="240" w:lineRule="auto"/>
        <w:rPr>
          <w:rFonts w:ascii="Arial" w:hAnsi="Arial" w:cs="Arial"/>
          <w:b/>
          <w:i/>
          <w:sz w:val="24"/>
          <w:szCs w:val="24"/>
        </w:rPr>
      </w:pPr>
      <w:r w:rsidRPr="00242122">
        <w:rPr>
          <w:rFonts w:ascii="Arial" w:hAnsi="Arial" w:cs="Arial"/>
          <w:b/>
          <w:i/>
          <w:sz w:val="24"/>
          <w:szCs w:val="24"/>
        </w:rPr>
        <w:t>Ponderea punctelor de monitorizare cu concentrație mai mare de 0,1</w:t>
      </w:r>
      <w:r w:rsidRPr="00242122">
        <w:rPr>
          <w:rFonts w:ascii="Arial" w:eastAsia="Times New Roman" w:hAnsi="Arial" w:cs="Arial"/>
          <w:i/>
          <w:sz w:val="24"/>
          <w:szCs w:val="24"/>
          <w:lang w:eastAsia="ro-RO"/>
        </w:rPr>
        <w:t xml:space="preserve"> </w:t>
      </w:r>
      <w:r w:rsidRPr="00242122">
        <w:rPr>
          <w:rFonts w:ascii="Arial" w:eastAsia="Times New Roman" w:hAnsi="Arial" w:cs="Arial"/>
          <w:b/>
          <w:i/>
          <w:sz w:val="24"/>
          <w:szCs w:val="24"/>
          <w:lang w:eastAsia="ro-RO"/>
        </w:rPr>
        <w:t>µg/L din numărul de foraje în care s-au monitorizat pesticidele în anul 2021</w:t>
      </w:r>
    </w:p>
    <w:tbl>
      <w:tblPr>
        <w:tblW w:w="8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0"/>
        <w:gridCol w:w="2025"/>
        <w:gridCol w:w="2055"/>
        <w:gridCol w:w="2160"/>
      </w:tblGrid>
      <w:tr w:rsidR="002967F0" w:rsidRPr="00242122" w:rsidTr="00B8293F">
        <w:trPr>
          <w:trHeight w:val="792"/>
          <w:jc w:val="center"/>
        </w:trPr>
        <w:tc>
          <w:tcPr>
            <w:tcW w:w="2020"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bCs/>
                <w:color w:val="000000"/>
                <w:lang w:eastAsia="ro-RO"/>
              </w:rPr>
            </w:pPr>
            <w:r w:rsidRPr="00242122">
              <w:rPr>
                <w:rFonts w:ascii="Arial" w:eastAsia="Times New Roman" w:hAnsi="Arial" w:cs="Arial"/>
                <w:b/>
                <w:bCs/>
                <w:color w:val="000000"/>
                <w:lang w:eastAsia="ro-RO"/>
              </w:rPr>
              <w:t>Spaţiu / Bazin hidrografic</w:t>
            </w:r>
          </w:p>
        </w:tc>
        <w:tc>
          <w:tcPr>
            <w:tcW w:w="2025"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bCs/>
                <w:color w:val="000000"/>
                <w:lang w:eastAsia="ro-RO"/>
              </w:rPr>
            </w:pPr>
            <w:r w:rsidRPr="00242122">
              <w:rPr>
                <w:rFonts w:ascii="Arial" w:eastAsia="Times New Roman" w:hAnsi="Arial" w:cs="Arial"/>
                <w:b/>
                <w:bCs/>
                <w:color w:val="000000"/>
                <w:lang w:eastAsia="ro-RO"/>
              </w:rPr>
              <w:t>Puncte în care sunt monitorizate   pesticidele (nr.)</w:t>
            </w:r>
          </w:p>
        </w:tc>
        <w:tc>
          <w:tcPr>
            <w:tcW w:w="2055"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bCs/>
                <w:color w:val="000000"/>
                <w:lang w:eastAsia="ro-RO"/>
              </w:rPr>
            </w:pPr>
            <w:r w:rsidRPr="00242122">
              <w:rPr>
                <w:rFonts w:ascii="Arial" w:eastAsia="Times New Roman" w:hAnsi="Arial" w:cs="Arial"/>
                <w:b/>
                <w:bCs/>
                <w:color w:val="000000"/>
                <w:lang w:eastAsia="ro-RO"/>
              </w:rPr>
              <w:t>Puncte de monitorizare cu conc. &gt; 0,1 µg/L (nr.)</w:t>
            </w:r>
          </w:p>
        </w:tc>
        <w:tc>
          <w:tcPr>
            <w:tcW w:w="2160"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bCs/>
                <w:color w:val="000000"/>
                <w:lang w:eastAsia="ro-RO"/>
              </w:rPr>
            </w:pPr>
            <w:r w:rsidRPr="00242122">
              <w:rPr>
                <w:rFonts w:ascii="Arial" w:eastAsia="Times New Roman" w:hAnsi="Arial" w:cs="Arial"/>
                <w:b/>
                <w:bCs/>
                <w:color w:val="000000"/>
                <w:lang w:eastAsia="ro-RO"/>
              </w:rPr>
              <w:t>Puncte de monitorizare cu conc. &gt; 0,1 µg/L  (%)</w:t>
            </w:r>
          </w:p>
        </w:tc>
      </w:tr>
      <w:tr w:rsidR="002967F0" w:rsidRPr="00242122" w:rsidTr="00B8293F">
        <w:trPr>
          <w:trHeight w:val="408"/>
          <w:jc w:val="center"/>
        </w:trPr>
        <w:tc>
          <w:tcPr>
            <w:tcW w:w="2020"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Someș - Tisa</w:t>
            </w:r>
          </w:p>
        </w:tc>
        <w:tc>
          <w:tcPr>
            <w:tcW w:w="2025"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w:t>
            </w:r>
          </w:p>
        </w:tc>
        <w:tc>
          <w:tcPr>
            <w:tcW w:w="2055"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2967F0" w:rsidRPr="00242122" w:rsidTr="00B8293F">
        <w:trPr>
          <w:trHeight w:val="381"/>
          <w:jc w:val="center"/>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Crișuri</w:t>
            </w:r>
          </w:p>
        </w:tc>
        <w:tc>
          <w:tcPr>
            <w:tcW w:w="2025"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w:t>
            </w:r>
          </w:p>
        </w:tc>
        <w:tc>
          <w:tcPr>
            <w:tcW w:w="2055"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2967F0" w:rsidRPr="00242122" w:rsidTr="00B8293F">
        <w:trPr>
          <w:trHeight w:val="354"/>
          <w:jc w:val="center"/>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Mureș</w:t>
            </w:r>
          </w:p>
        </w:tc>
        <w:tc>
          <w:tcPr>
            <w:tcW w:w="2025"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6</w:t>
            </w:r>
          </w:p>
        </w:tc>
        <w:tc>
          <w:tcPr>
            <w:tcW w:w="2055"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2967F0" w:rsidRPr="00242122" w:rsidTr="00B8293F">
        <w:trPr>
          <w:trHeight w:val="345"/>
          <w:jc w:val="center"/>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Banat</w:t>
            </w:r>
          </w:p>
        </w:tc>
        <w:tc>
          <w:tcPr>
            <w:tcW w:w="2025"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15</w:t>
            </w:r>
          </w:p>
        </w:tc>
        <w:tc>
          <w:tcPr>
            <w:tcW w:w="2055"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2967F0" w:rsidRPr="00242122" w:rsidTr="00B8293F">
        <w:trPr>
          <w:trHeight w:val="288"/>
          <w:jc w:val="center"/>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Jiu</w:t>
            </w:r>
          </w:p>
        </w:tc>
        <w:tc>
          <w:tcPr>
            <w:tcW w:w="2025"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69</w:t>
            </w:r>
          </w:p>
        </w:tc>
        <w:tc>
          <w:tcPr>
            <w:tcW w:w="2055"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2967F0" w:rsidRPr="00242122" w:rsidTr="00B8293F">
        <w:trPr>
          <w:trHeight w:val="288"/>
          <w:jc w:val="center"/>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Olt</w:t>
            </w:r>
          </w:p>
        </w:tc>
        <w:tc>
          <w:tcPr>
            <w:tcW w:w="2025"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12</w:t>
            </w:r>
          </w:p>
        </w:tc>
        <w:tc>
          <w:tcPr>
            <w:tcW w:w="2055"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2967F0" w:rsidRPr="00242122" w:rsidTr="00B8293F">
        <w:trPr>
          <w:trHeight w:val="288"/>
          <w:jc w:val="center"/>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Argeș - Vedea</w:t>
            </w:r>
          </w:p>
        </w:tc>
        <w:tc>
          <w:tcPr>
            <w:tcW w:w="2025"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120</w:t>
            </w:r>
          </w:p>
        </w:tc>
        <w:tc>
          <w:tcPr>
            <w:tcW w:w="2055"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1</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0,83</w:t>
            </w:r>
          </w:p>
        </w:tc>
      </w:tr>
      <w:tr w:rsidR="002967F0" w:rsidRPr="00242122" w:rsidTr="00B8293F">
        <w:trPr>
          <w:trHeight w:val="288"/>
          <w:jc w:val="center"/>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Buzău - Ialomița</w:t>
            </w:r>
          </w:p>
        </w:tc>
        <w:tc>
          <w:tcPr>
            <w:tcW w:w="2025"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53</w:t>
            </w:r>
          </w:p>
        </w:tc>
        <w:tc>
          <w:tcPr>
            <w:tcW w:w="2055"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2967F0" w:rsidRPr="00242122" w:rsidTr="00B8293F">
        <w:trPr>
          <w:trHeight w:val="288"/>
          <w:jc w:val="center"/>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color w:val="FF0000"/>
                <w:lang w:eastAsia="ro-RO"/>
              </w:rPr>
            </w:pPr>
            <w:r w:rsidRPr="00242122">
              <w:rPr>
                <w:rFonts w:ascii="Arial" w:eastAsia="Times New Roman" w:hAnsi="Arial" w:cs="Arial"/>
                <w:lang w:eastAsia="ro-RO"/>
              </w:rPr>
              <w:t>Siret</w:t>
            </w:r>
          </w:p>
        </w:tc>
        <w:tc>
          <w:tcPr>
            <w:tcW w:w="2025"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2</w:t>
            </w:r>
          </w:p>
        </w:tc>
        <w:tc>
          <w:tcPr>
            <w:tcW w:w="2055"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2967F0" w:rsidRPr="00242122" w:rsidTr="00B8293F">
        <w:trPr>
          <w:trHeight w:val="288"/>
          <w:jc w:val="center"/>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color w:val="FF0000"/>
                <w:lang w:eastAsia="ro-RO"/>
              </w:rPr>
            </w:pPr>
            <w:r w:rsidRPr="00242122">
              <w:rPr>
                <w:rFonts w:ascii="Arial" w:eastAsia="Times New Roman" w:hAnsi="Arial" w:cs="Arial"/>
                <w:lang w:eastAsia="ro-RO"/>
              </w:rPr>
              <w:t>Prut- Bârlad</w:t>
            </w:r>
          </w:p>
        </w:tc>
        <w:tc>
          <w:tcPr>
            <w:tcW w:w="2025"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57</w:t>
            </w:r>
          </w:p>
        </w:tc>
        <w:tc>
          <w:tcPr>
            <w:tcW w:w="2055"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2967F0" w:rsidRPr="00242122" w:rsidTr="00B8293F">
        <w:trPr>
          <w:trHeight w:val="288"/>
          <w:jc w:val="center"/>
        </w:trPr>
        <w:tc>
          <w:tcPr>
            <w:tcW w:w="202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color w:val="FF0000"/>
                <w:lang w:eastAsia="ro-RO"/>
              </w:rPr>
            </w:pPr>
            <w:r w:rsidRPr="00242122">
              <w:rPr>
                <w:rFonts w:ascii="Arial" w:eastAsia="Times New Roman" w:hAnsi="Arial" w:cs="Arial"/>
                <w:lang w:eastAsia="ro-RO"/>
              </w:rPr>
              <w:t>Dobrogea - Litoral</w:t>
            </w:r>
          </w:p>
        </w:tc>
        <w:tc>
          <w:tcPr>
            <w:tcW w:w="2025" w:type="dxa"/>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color w:val="FF0000"/>
                <w:lang w:eastAsia="ro-RO"/>
              </w:rPr>
            </w:pPr>
            <w:r w:rsidRPr="00242122">
              <w:rPr>
                <w:rFonts w:ascii="Arial" w:eastAsia="Times New Roman" w:hAnsi="Arial" w:cs="Arial"/>
                <w:lang w:eastAsia="ro-RO"/>
              </w:rPr>
              <w:t>10</w:t>
            </w:r>
          </w:p>
        </w:tc>
        <w:tc>
          <w:tcPr>
            <w:tcW w:w="2055"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c>
          <w:tcPr>
            <w:tcW w:w="2160" w:type="dxa"/>
            <w:shd w:val="clear" w:color="000000" w:fill="FFFFFF"/>
            <w:noWrap/>
            <w:vAlign w:val="center"/>
            <w:hideMark/>
          </w:tcPr>
          <w:p w:rsidR="002967F0" w:rsidRPr="00242122" w:rsidRDefault="002967F0" w:rsidP="00B8293F">
            <w:pPr>
              <w:spacing w:after="0" w:line="240" w:lineRule="auto"/>
              <w:jc w:val="center"/>
              <w:rPr>
                <w:rFonts w:ascii="Arial" w:eastAsia="Times New Roman" w:hAnsi="Arial" w:cs="Arial"/>
                <w:lang w:eastAsia="ro-RO"/>
              </w:rPr>
            </w:pPr>
            <w:r w:rsidRPr="00242122">
              <w:rPr>
                <w:rFonts w:ascii="Arial" w:eastAsia="Times New Roman" w:hAnsi="Arial" w:cs="Arial"/>
                <w:lang w:eastAsia="ro-RO"/>
              </w:rPr>
              <w:t>0</w:t>
            </w:r>
          </w:p>
        </w:tc>
      </w:tr>
      <w:tr w:rsidR="002967F0" w:rsidRPr="00242122" w:rsidTr="00B8293F">
        <w:trPr>
          <w:trHeight w:val="288"/>
          <w:jc w:val="center"/>
        </w:trPr>
        <w:tc>
          <w:tcPr>
            <w:tcW w:w="2020" w:type="dxa"/>
            <w:shd w:val="clear" w:color="auto" w:fill="66CCFF"/>
            <w:noWrap/>
            <w:vAlign w:val="center"/>
            <w:hideMark/>
          </w:tcPr>
          <w:p w:rsidR="002967F0" w:rsidRPr="00242122" w:rsidRDefault="002967F0" w:rsidP="00B8293F">
            <w:pPr>
              <w:spacing w:after="0" w:line="240" w:lineRule="auto"/>
              <w:jc w:val="center"/>
              <w:rPr>
                <w:rFonts w:ascii="Arial" w:eastAsia="Times New Roman" w:hAnsi="Arial" w:cs="Arial"/>
                <w:b/>
                <w:bCs/>
                <w:color w:val="000000"/>
                <w:lang w:eastAsia="ro-RO"/>
              </w:rPr>
            </w:pPr>
            <w:r w:rsidRPr="00242122">
              <w:rPr>
                <w:rFonts w:ascii="Arial" w:eastAsia="Times New Roman" w:hAnsi="Arial" w:cs="Arial"/>
                <w:b/>
                <w:bCs/>
                <w:color w:val="000000"/>
                <w:lang w:eastAsia="ro-RO"/>
              </w:rPr>
              <w:t>Total</w:t>
            </w:r>
          </w:p>
        </w:tc>
        <w:tc>
          <w:tcPr>
            <w:tcW w:w="2025" w:type="dxa"/>
            <w:shd w:val="clear" w:color="auto" w:fill="66CCFF"/>
            <w:vAlign w:val="center"/>
            <w:hideMark/>
          </w:tcPr>
          <w:p w:rsidR="002967F0" w:rsidRPr="00242122" w:rsidRDefault="002967F0" w:rsidP="00B8293F">
            <w:pPr>
              <w:spacing w:after="0" w:line="240" w:lineRule="auto"/>
              <w:jc w:val="center"/>
              <w:rPr>
                <w:rFonts w:ascii="Arial" w:eastAsia="Times New Roman" w:hAnsi="Arial" w:cs="Arial"/>
                <w:b/>
                <w:bCs/>
                <w:lang w:eastAsia="ro-RO"/>
              </w:rPr>
            </w:pPr>
            <w:r w:rsidRPr="00242122">
              <w:rPr>
                <w:rFonts w:ascii="Arial" w:eastAsia="Times New Roman" w:hAnsi="Arial" w:cs="Arial"/>
                <w:b/>
                <w:bCs/>
                <w:lang w:eastAsia="ro-RO"/>
              </w:rPr>
              <w:t>346</w:t>
            </w:r>
          </w:p>
        </w:tc>
        <w:tc>
          <w:tcPr>
            <w:tcW w:w="2055" w:type="dxa"/>
            <w:shd w:val="clear" w:color="auto" w:fill="66CCFF"/>
            <w:noWrap/>
            <w:vAlign w:val="center"/>
            <w:hideMark/>
          </w:tcPr>
          <w:p w:rsidR="002967F0" w:rsidRPr="00242122" w:rsidRDefault="002967F0" w:rsidP="00B8293F">
            <w:pPr>
              <w:spacing w:after="0" w:line="240" w:lineRule="auto"/>
              <w:jc w:val="center"/>
              <w:rPr>
                <w:rFonts w:ascii="Arial" w:eastAsia="Times New Roman" w:hAnsi="Arial" w:cs="Arial"/>
                <w:b/>
                <w:bCs/>
                <w:lang w:eastAsia="ro-RO"/>
              </w:rPr>
            </w:pPr>
            <w:r w:rsidRPr="00242122">
              <w:rPr>
                <w:rFonts w:ascii="Arial" w:eastAsia="Times New Roman" w:hAnsi="Arial" w:cs="Arial"/>
                <w:b/>
                <w:bCs/>
                <w:lang w:eastAsia="ro-RO"/>
              </w:rPr>
              <w:t>1</w:t>
            </w:r>
          </w:p>
        </w:tc>
        <w:tc>
          <w:tcPr>
            <w:tcW w:w="2160" w:type="dxa"/>
            <w:shd w:val="clear" w:color="auto" w:fill="66CCFF"/>
            <w:noWrap/>
            <w:vAlign w:val="center"/>
            <w:hideMark/>
          </w:tcPr>
          <w:p w:rsidR="002967F0" w:rsidRPr="00242122" w:rsidRDefault="002967F0" w:rsidP="00B8293F">
            <w:pPr>
              <w:spacing w:after="0" w:line="240" w:lineRule="auto"/>
              <w:jc w:val="center"/>
              <w:rPr>
                <w:rFonts w:ascii="Arial" w:eastAsia="Times New Roman" w:hAnsi="Arial" w:cs="Arial"/>
                <w:b/>
                <w:bCs/>
                <w:lang w:eastAsia="ro-RO"/>
              </w:rPr>
            </w:pPr>
            <w:r w:rsidRPr="00242122">
              <w:rPr>
                <w:rFonts w:ascii="Arial" w:eastAsia="Times New Roman" w:hAnsi="Arial" w:cs="Arial"/>
                <w:b/>
                <w:bCs/>
                <w:lang w:eastAsia="ro-RO"/>
              </w:rPr>
              <w:t>0,29</w:t>
            </w:r>
          </w:p>
        </w:tc>
      </w:tr>
    </w:tbl>
    <w:p w:rsidR="002967F0" w:rsidRPr="00242122" w:rsidRDefault="002967F0" w:rsidP="002967F0">
      <w:pPr>
        <w:spacing w:after="0" w:line="240" w:lineRule="auto"/>
        <w:rPr>
          <w:rFonts w:ascii="Arial" w:eastAsia="Times New Roman" w:hAnsi="Arial" w:cs="Arial"/>
          <w:b/>
          <w:i/>
          <w:sz w:val="20"/>
          <w:szCs w:val="16"/>
          <w:lang w:eastAsia="ro-RO"/>
        </w:rPr>
      </w:pPr>
      <w:r w:rsidRPr="00242122">
        <w:rPr>
          <w:rFonts w:ascii="Arial" w:hAnsi="Arial" w:cs="Arial"/>
          <w:b/>
          <w:i/>
          <w:sz w:val="20"/>
          <w:szCs w:val="16"/>
        </w:rPr>
        <w:t>Tabelul II.2.1.3.2 Ponderea punctelor de monitorizare cu concentrație mai mare de 0,1</w:t>
      </w:r>
      <w:r w:rsidRPr="00242122">
        <w:rPr>
          <w:rFonts w:ascii="Arial" w:eastAsia="Times New Roman" w:hAnsi="Arial" w:cs="Arial"/>
          <w:i/>
          <w:sz w:val="20"/>
          <w:szCs w:val="16"/>
          <w:lang w:eastAsia="ro-RO"/>
        </w:rPr>
        <w:t xml:space="preserve"> </w:t>
      </w:r>
      <w:r w:rsidRPr="00242122">
        <w:rPr>
          <w:rFonts w:ascii="Arial" w:eastAsia="Times New Roman" w:hAnsi="Arial" w:cs="Arial"/>
          <w:b/>
          <w:i/>
          <w:sz w:val="20"/>
          <w:szCs w:val="16"/>
          <w:lang w:eastAsia="ro-RO"/>
        </w:rPr>
        <w:t>µg/L din numărul de foraje în care s-au monitorizat pesticidele în anul 2021 (%)</w:t>
      </w:r>
    </w:p>
    <w:p w:rsidR="002967F0" w:rsidRPr="00242122" w:rsidRDefault="002967F0" w:rsidP="002967F0">
      <w:pPr>
        <w:spacing w:after="0"/>
        <w:ind w:left="900" w:hanging="900"/>
        <w:jc w:val="both"/>
        <w:rPr>
          <w:rFonts w:ascii="Arial" w:hAnsi="Arial" w:cs="Arial"/>
          <w:i/>
          <w:iCs/>
          <w:color w:val="000000"/>
          <w:sz w:val="20"/>
          <w:szCs w:val="20"/>
          <w:lang w:eastAsia="ro-RO"/>
        </w:rPr>
      </w:pPr>
      <w:r w:rsidRPr="00242122">
        <w:rPr>
          <w:rFonts w:ascii="Arial" w:hAnsi="Arial" w:cs="Arial"/>
          <w:i/>
          <w:iCs/>
          <w:color w:val="000000"/>
          <w:sz w:val="20"/>
          <w:szCs w:val="20"/>
          <w:lang w:eastAsia="ro-RO"/>
        </w:rPr>
        <w:t>(Sursa: Administraţia Naţională “Apele Române”, Sinteza calităţii apelor din România în anul 2021)</w:t>
      </w:r>
    </w:p>
    <w:p w:rsidR="002967F0" w:rsidRPr="00242122" w:rsidRDefault="002967F0" w:rsidP="002967F0">
      <w:pPr>
        <w:spacing w:line="240" w:lineRule="auto"/>
        <w:rPr>
          <w:rFonts w:ascii="Arial" w:hAnsi="Arial" w:cs="Arial"/>
          <w:b/>
          <w:i/>
          <w:sz w:val="20"/>
          <w:szCs w:val="20"/>
        </w:rPr>
      </w:pPr>
    </w:p>
    <w:p w:rsidR="002967F0" w:rsidRPr="005B6804" w:rsidRDefault="002967F0" w:rsidP="005B6804">
      <w:pPr>
        <w:spacing w:line="240" w:lineRule="auto"/>
        <w:rPr>
          <w:rFonts w:ascii="Arial" w:hAnsi="Arial" w:cs="Arial"/>
          <w:i/>
          <w:sz w:val="24"/>
          <w:szCs w:val="20"/>
        </w:rPr>
      </w:pPr>
      <w:r w:rsidRPr="00242122">
        <w:rPr>
          <w:rFonts w:ascii="Arial" w:hAnsi="Arial" w:cs="Arial"/>
          <w:b/>
          <w:i/>
          <w:sz w:val="24"/>
          <w:szCs w:val="20"/>
        </w:rPr>
        <w:lastRenderedPageBreak/>
        <w:t>Evoluția punctelor de monitorizare cu concentrație mai mare de 0,1</w:t>
      </w:r>
      <w:r w:rsidRPr="00242122">
        <w:rPr>
          <w:rFonts w:ascii="Arial" w:eastAsia="Times New Roman" w:hAnsi="Arial" w:cs="Arial"/>
          <w:i/>
          <w:sz w:val="24"/>
          <w:szCs w:val="20"/>
          <w:lang w:eastAsia="ro-RO"/>
        </w:rPr>
        <w:t xml:space="preserve"> </w:t>
      </w:r>
      <w:r w:rsidRPr="00242122">
        <w:rPr>
          <w:rFonts w:ascii="Arial" w:eastAsia="Times New Roman" w:hAnsi="Arial" w:cs="Arial"/>
          <w:b/>
          <w:i/>
          <w:sz w:val="24"/>
          <w:szCs w:val="20"/>
          <w:lang w:eastAsia="ro-RO"/>
        </w:rPr>
        <w:t>µg/L pentru perioada 2015 - 2021 (%)</w:t>
      </w:r>
    </w:p>
    <w:tbl>
      <w:tblPr>
        <w:tblW w:w="10501" w:type="dxa"/>
        <w:tblInd w:w="-730" w:type="dxa"/>
        <w:tblLook w:val="04A0" w:firstRow="1" w:lastRow="0" w:firstColumn="1" w:lastColumn="0" w:noHBand="0" w:noVBand="1"/>
      </w:tblPr>
      <w:tblGrid>
        <w:gridCol w:w="3130"/>
        <w:gridCol w:w="992"/>
        <w:gridCol w:w="1134"/>
        <w:gridCol w:w="993"/>
        <w:gridCol w:w="1275"/>
        <w:gridCol w:w="993"/>
        <w:gridCol w:w="992"/>
        <w:gridCol w:w="992"/>
      </w:tblGrid>
      <w:tr w:rsidR="002967F0" w:rsidRPr="00242122" w:rsidTr="00B8293F">
        <w:trPr>
          <w:trHeight w:val="245"/>
        </w:trPr>
        <w:tc>
          <w:tcPr>
            <w:tcW w:w="3130" w:type="dxa"/>
            <w:tcBorders>
              <w:top w:val="single" w:sz="8" w:space="0" w:color="auto"/>
              <w:left w:val="single" w:sz="8" w:space="0" w:color="auto"/>
              <w:bottom w:val="single" w:sz="8" w:space="0" w:color="auto"/>
              <w:right w:val="single" w:sz="8" w:space="0" w:color="auto"/>
            </w:tcBorders>
            <w:shd w:val="clear" w:color="auto" w:fill="66CCFF"/>
            <w:noWrap/>
            <w:vAlign w:val="center"/>
            <w:hideMark/>
          </w:tcPr>
          <w:p w:rsidR="002967F0" w:rsidRPr="00242122" w:rsidRDefault="002967F0" w:rsidP="00B8293F">
            <w:pPr>
              <w:spacing w:after="0" w:line="240" w:lineRule="auto"/>
              <w:jc w:val="center"/>
              <w:rPr>
                <w:rFonts w:ascii="Arial" w:eastAsia="Times New Roman" w:hAnsi="Arial" w:cs="Arial"/>
                <w:b/>
                <w:bCs/>
                <w:color w:val="000000"/>
                <w:sz w:val="20"/>
                <w:szCs w:val="20"/>
                <w:lang w:eastAsia="ro-RO"/>
              </w:rPr>
            </w:pPr>
            <w:r w:rsidRPr="00242122">
              <w:rPr>
                <w:rFonts w:ascii="Arial" w:eastAsia="Times New Roman" w:hAnsi="Arial" w:cs="Arial"/>
                <w:b/>
                <w:bCs/>
                <w:color w:val="000000"/>
                <w:sz w:val="20"/>
                <w:szCs w:val="20"/>
                <w:lang w:eastAsia="ro-RO"/>
              </w:rPr>
              <w:t>Anul</w:t>
            </w:r>
          </w:p>
        </w:tc>
        <w:tc>
          <w:tcPr>
            <w:tcW w:w="992" w:type="dxa"/>
            <w:tcBorders>
              <w:top w:val="single" w:sz="8" w:space="0" w:color="auto"/>
              <w:left w:val="nil"/>
              <w:bottom w:val="single" w:sz="8" w:space="0" w:color="auto"/>
              <w:right w:val="single" w:sz="8" w:space="0" w:color="auto"/>
            </w:tcBorders>
            <w:shd w:val="clear" w:color="auto" w:fill="66CCFF"/>
            <w:vAlign w:val="center"/>
            <w:hideMark/>
          </w:tcPr>
          <w:p w:rsidR="002967F0" w:rsidRPr="00242122" w:rsidRDefault="002967F0" w:rsidP="00B8293F">
            <w:pPr>
              <w:spacing w:after="0" w:line="240" w:lineRule="auto"/>
              <w:jc w:val="center"/>
              <w:rPr>
                <w:rFonts w:ascii="Arial" w:eastAsia="Times New Roman" w:hAnsi="Arial" w:cs="Arial"/>
                <w:b/>
                <w:bCs/>
                <w:color w:val="000000"/>
                <w:sz w:val="20"/>
                <w:szCs w:val="20"/>
                <w:lang w:eastAsia="ro-RO"/>
              </w:rPr>
            </w:pPr>
            <w:r w:rsidRPr="00242122">
              <w:rPr>
                <w:rFonts w:ascii="Arial" w:eastAsia="Times New Roman" w:hAnsi="Arial" w:cs="Arial"/>
                <w:b/>
                <w:bCs/>
                <w:color w:val="000000"/>
                <w:sz w:val="20"/>
                <w:szCs w:val="20"/>
                <w:lang w:eastAsia="ro-RO"/>
              </w:rPr>
              <w:t>2015</w:t>
            </w:r>
          </w:p>
        </w:tc>
        <w:tc>
          <w:tcPr>
            <w:tcW w:w="1134" w:type="dxa"/>
            <w:tcBorders>
              <w:top w:val="single" w:sz="8" w:space="0" w:color="auto"/>
              <w:left w:val="nil"/>
              <w:bottom w:val="single" w:sz="8" w:space="0" w:color="auto"/>
              <w:right w:val="single" w:sz="8" w:space="0" w:color="auto"/>
            </w:tcBorders>
            <w:shd w:val="clear" w:color="auto" w:fill="66CCFF"/>
            <w:vAlign w:val="center"/>
            <w:hideMark/>
          </w:tcPr>
          <w:p w:rsidR="002967F0" w:rsidRPr="00242122" w:rsidRDefault="002967F0" w:rsidP="00B8293F">
            <w:pPr>
              <w:spacing w:after="0" w:line="240" w:lineRule="auto"/>
              <w:jc w:val="center"/>
              <w:rPr>
                <w:rFonts w:ascii="Arial" w:eastAsia="Times New Roman" w:hAnsi="Arial" w:cs="Arial"/>
                <w:b/>
                <w:bCs/>
                <w:color w:val="000000"/>
                <w:sz w:val="20"/>
                <w:szCs w:val="20"/>
                <w:lang w:eastAsia="ro-RO"/>
              </w:rPr>
            </w:pPr>
            <w:r w:rsidRPr="00242122">
              <w:rPr>
                <w:rFonts w:ascii="Arial" w:eastAsia="Times New Roman" w:hAnsi="Arial" w:cs="Arial"/>
                <w:b/>
                <w:bCs/>
                <w:color w:val="000000"/>
                <w:sz w:val="20"/>
                <w:szCs w:val="20"/>
                <w:lang w:eastAsia="ro-RO"/>
              </w:rPr>
              <w:t>2016</w:t>
            </w:r>
          </w:p>
        </w:tc>
        <w:tc>
          <w:tcPr>
            <w:tcW w:w="993" w:type="dxa"/>
            <w:tcBorders>
              <w:top w:val="single" w:sz="8" w:space="0" w:color="auto"/>
              <w:left w:val="nil"/>
              <w:bottom w:val="single" w:sz="8" w:space="0" w:color="auto"/>
              <w:right w:val="single" w:sz="8" w:space="0" w:color="auto"/>
            </w:tcBorders>
            <w:shd w:val="clear" w:color="auto" w:fill="66CCFF"/>
            <w:vAlign w:val="center"/>
            <w:hideMark/>
          </w:tcPr>
          <w:p w:rsidR="002967F0" w:rsidRPr="00242122" w:rsidRDefault="002967F0" w:rsidP="00B8293F">
            <w:pPr>
              <w:spacing w:after="0" w:line="240" w:lineRule="auto"/>
              <w:jc w:val="center"/>
              <w:rPr>
                <w:rFonts w:ascii="Arial" w:eastAsia="Times New Roman" w:hAnsi="Arial" w:cs="Arial"/>
                <w:b/>
                <w:bCs/>
                <w:color w:val="000000"/>
                <w:sz w:val="20"/>
                <w:szCs w:val="20"/>
                <w:lang w:eastAsia="ro-RO"/>
              </w:rPr>
            </w:pPr>
            <w:r w:rsidRPr="00242122">
              <w:rPr>
                <w:rFonts w:ascii="Arial" w:eastAsia="Times New Roman" w:hAnsi="Arial" w:cs="Arial"/>
                <w:b/>
                <w:bCs/>
                <w:color w:val="000000"/>
                <w:sz w:val="20"/>
                <w:szCs w:val="20"/>
                <w:lang w:eastAsia="ro-RO"/>
              </w:rPr>
              <w:t>2017</w:t>
            </w:r>
          </w:p>
        </w:tc>
        <w:tc>
          <w:tcPr>
            <w:tcW w:w="1275" w:type="dxa"/>
            <w:tcBorders>
              <w:top w:val="single" w:sz="8" w:space="0" w:color="auto"/>
              <w:left w:val="nil"/>
              <w:bottom w:val="single" w:sz="8" w:space="0" w:color="auto"/>
              <w:right w:val="nil"/>
            </w:tcBorders>
            <w:shd w:val="clear" w:color="auto" w:fill="66CCFF"/>
            <w:noWrap/>
            <w:vAlign w:val="center"/>
            <w:hideMark/>
          </w:tcPr>
          <w:p w:rsidR="002967F0" w:rsidRPr="00242122" w:rsidRDefault="002967F0" w:rsidP="00B8293F">
            <w:pPr>
              <w:spacing w:after="0" w:line="240" w:lineRule="auto"/>
              <w:jc w:val="center"/>
              <w:rPr>
                <w:rFonts w:ascii="Arial" w:eastAsia="Times New Roman" w:hAnsi="Arial" w:cs="Arial"/>
                <w:b/>
                <w:bCs/>
                <w:color w:val="000000"/>
                <w:sz w:val="20"/>
                <w:szCs w:val="20"/>
                <w:lang w:eastAsia="ro-RO"/>
              </w:rPr>
            </w:pPr>
            <w:r w:rsidRPr="00242122">
              <w:rPr>
                <w:rFonts w:ascii="Arial" w:eastAsia="Times New Roman" w:hAnsi="Arial" w:cs="Arial"/>
                <w:b/>
                <w:bCs/>
                <w:color w:val="000000"/>
                <w:sz w:val="20"/>
                <w:szCs w:val="20"/>
                <w:lang w:eastAsia="ro-RO"/>
              </w:rPr>
              <w:t>2018</w:t>
            </w:r>
          </w:p>
        </w:tc>
        <w:tc>
          <w:tcPr>
            <w:tcW w:w="993" w:type="dxa"/>
            <w:tcBorders>
              <w:top w:val="single" w:sz="4" w:space="0" w:color="auto"/>
              <w:left w:val="single" w:sz="4" w:space="0" w:color="auto"/>
              <w:bottom w:val="single" w:sz="4" w:space="0" w:color="auto"/>
              <w:right w:val="single" w:sz="4" w:space="0" w:color="auto"/>
            </w:tcBorders>
            <w:shd w:val="clear" w:color="auto" w:fill="66CCFF"/>
            <w:noWrap/>
            <w:vAlign w:val="center"/>
            <w:hideMark/>
          </w:tcPr>
          <w:p w:rsidR="002967F0" w:rsidRPr="00242122" w:rsidRDefault="002967F0" w:rsidP="00B8293F">
            <w:pPr>
              <w:spacing w:after="0" w:line="240" w:lineRule="auto"/>
              <w:jc w:val="center"/>
              <w:rPr>
                <w:rFonts w:ascii="Arial" w:eastAsia="Times New Roman" w:hAnsi="Arial" w:cs="Arial"/>
                <w:b/>
                <w:bCs/>
                <w:color w:val="000000"/>
                <w:sz w:val="20"/>
                <w:szCs w:val="20"/>
                <w:lang w:eastAsia="ro-RO"/>
              </w:rPr>
            </w:pPr>
            <w:r w:rsidRPr="00242122">
              <w:rPr>
                <w:rFonts w:ascii="Arial" w:eastAsia="Times New Roman" w:hAnsi="Arial" w:cs="Arial"/>
                <w:b/>
                <w:bCs/>
                <w:color w:val="000000"/>
                <w:sz w:val="20"/>
                <w:szCs w:val="20"/>
                <w:lang w:eastAsia="ro-RO"/>
              </w:rPr>
              <w:t>2019</w:t>
            </w:r>
          </w:p>
        </w:tc>
        <w:tc>
          <w:tcPr>
            <w:tcW w:w="992" w:type="dxa"/>
            <w:tcBorders>
              <w:top w:val="single" w:sz="4" w:space="0" w:color="auto"/>
              <w:left w:val="nil"/>
              <w:bottom w:val="single" w:sz="4" w:space="0" w:color="auto"/>
              <w:right w:val="single" w:sz="4" w:space="0" w:color="auto"/>
            </w:tcBorders>
            <w:shd w:val="clear" w:color="auto" w:fill="66CCFF"/>
            <w:noWrap/>
            <w:vAlign w:val="center"/>
            <w:hideMark/>
          </w:tcPr>
          <w:p w:rsidR="002967F0" w:rsidRPr="00242122" w:rsidRDefault="002967F0" w:rsidP="00B8293F">
            <w:pPr>
              <w:spacing w:after="0" w:line="240" w:lineRule="auto"/>
              <w:jc w:val="center"/>
              <w:rPr>
                <w:rFonts w:ascii="Arial" w:eastAsia="Times New Roman" w:hAnsi="Arial" w:cs="Arial"/>
                <w:b/>
                <w:bCs/>
                <w:color w:val="000000"/>
                <w:sz w:val="20"/>
                <w:szCs w:val="20"/>
                <w:lang w:eastAsia="ro-RO"/>
              </w:rPr>
            </w:pPr>
            <w:r w:rsidRPr="00242122">
              <w:rPr>
                <w:rFonts w:ascii="Arial" w:eastAsia="Times New Roman" w:hAnsi="Arial" w:cs="Arial"/>
                <w:b/>
                <w:bCs/>
                <w:color w:val="000000"/>
                <w:sz w:val="20"/>
                <w:szCs w:val="20"/>
                <w:lang w:eastAsia="ro-RO"/>
              </w:rPr>
              <w:t>2020</w:t>
            </w:r>
          </w:p>
        </w:tc>
        <w:tc>
          <w:tcPr>
            <w:tcW w:w="992" w:type="dxa"/>
            <w:tcBorders>
              <w:top w:val="single" w:sz="4" w:space="0" w:color="auto"/>
              <w:left w:val="nil"/>
              <w:bottom w:val="single" w:sz="4" w:space="0" w:color="auto"/>
              <w:right w:val="single" w:sz="4" w:space="0" w:color="auto"/>
            </w:tcBorders>
            <w:shd w:val="clear" w:color="auto" w:fill="66CCFF"/>
          </w:tcPr>
          <w:p w:rsidR="002967F0" w:rsidRPr="00242122" w:rsidRDefault="002967F0" w:rsidP="00B8293F">
            <w:pPr>
              <w:spacing w:after="0" w:line="240" w:lineRule="auto"/>
              <w:jc w:val="center"/>
              <w:rPr>
                <w:rFonts w:ascii="Arial" w:eastAsia="Times New Roman" w:hAnsi="Arial" w:cs="Arial"/>
                <w:b/>
                <w:bCs/>
                <w:color w:val="000000"/>
                <w:sz w:val="20"/>
                <w:szCs w:val="20"/>
                <w:lang w:eastAsia="ro-RO"/>
              </w:rPr>
            </w:pPr>
            <w:r w:rsidRPr="00242122">
              <w:rPr>
                <w:rFonts w:ascii="Arial" w:eastAsia="Times New Roman" w:hAnsi="Arial" w:cs="Arial"/>
                <w:b/>
                <w:bCs/>
                <w:color w:val="000000"/>
                <w:sz w:val="20"/>
                <w:szCs w:val="20"/>
                <w:lang w:eastAsia="ro-RO"/>
              </w:rPr>
              <w:t>2021</w:t>
            </w:r>
          </w:p>
        </w:tc>
      </w:tr>
      <w:tr w:rsidR="002967F0" w:rsidRPr="00242122" w:rsidTr="00B8293F">
        <w:trPr>
          <w:trHeight w:val="461"/>
        </w:trPr>
        <w:tc>
          <w:tcPr>
            <w:tcW w:w="3130" w:type="dxa"/>
            <w:tcBorders>
              <w:top w:val="nil"/>
              <w:left w:val="single" w:sz="8" w:space="0" w:color="auto"/>
              <w:bottom w:val="single" w:sz="8" w:space="0" w:color="auto"/>
              <w:right w:val="single" w:sz="8" w:space="0" w:color="auto"/>
            </w:tcBorders>
            <w:shd w:val="clear" w:color="auto" w:fill="auto"/>
            <w:vAlign w:val="center"/>
            <w:hideMark/>
          </w:tcPr>
          <w:p w:rsidR="002967F0" w:rsidRPr="00242122" w:rsidRDefault="002967F0" w:rsidP="00B8293F">
            <w:pPr>
              <w:spacing w:after="0" w:line="240" w:lineRule="auto"/>
              <w:jc w:val="center"/>
              <w:rPr>
                <w:rFonts w:ascii="Arial" w:eastAsia="Times New Roman" w:hAnsi="Arial" w:cs="Arial"/>
                <w:b/>
                <w:bCs/>
                <w:color w:val="000000"/>
                <w:sz w:val="20"/>
                <w:szCs w:val="20"/>
                <w:lang w:eastAsia="ro-RO"/>
              </w:rPr>
            </w:pPr>
            <w:r w:rsidRPr="00242122">
              <w:rPr>
                <w:rFonts w:ascii="Arial" w:eastAsia="Times New Roman" w:hAnsi="Arial" w:cs="Arial"/>
                <w:b/>
                <w:bCs/>
                <w:color w:val="000000"/>
                <w:sz w:val="20"/>
                <w:szCs w:val="20"/>
                <w:lang w:eastAsia="ro-RO"/>
              </w:rPr>
              <w:t>Număr pesticide monitorizate</w:t>
            </w:r>
          </w:p>
        </w:tc>
        <w:tc>
          <w:tcPr>
            <w:tcW w:w="992" w:type="dxa"/>
            <w:tcBorders>
              <w:top w:val="nil"/>
              <w:left w:val="nil"/>
              <w:bottom w:val="single" w:sz="8" w:space="0" w:color="auto"/>
              <w:right w:val="single" w:sz="8" w:space="0" w:color="auto"/>
            </w:tcBorders>
            <w:shd w:val="clear" w:color="auto" w:fill="auto"/>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19</w:t>
            </w:r>
          </w:p>
        </w:tc>
        <w:tc>
          <w:tcPr>
            <w:tcW w:w="1134" w:type="dxa"/>
            <w:tcBorders>
              <w:top w:val="nil"/>
              <w:left w:val="nil"/>
              <w:bottom w:val="single" w:sz="8" w:space="0" w:color="auto"/>
              <w:right w:val="single" w:sz="8"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20</w:t>
            </w:r>
          </w:p>
        </w:tc>
        <w:tc>
          <w:tcPr>
            <w:tcW w:w="993" w:type="dxa"/>
            <w:tcBorders>
              <w:top w:val="nil"/>
              <w:left w:val="nil"/>
              <w:bottom w:val="single" w:sz="8" w:space="0" w:color="auto"/>
              <w:right w:val="single" w:sz="8"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21</w:t>
            </w:r>
          </w:p>
        </w:tc>
        <w:tc>
          <w:tcPr>
            <w:tcW w:w="1275" w:type="dxa"/>
            <w:tcBorders>
              <w:top w:val="nil"/>
              <w:left w:val="nil"/>
              <w:bottom w:val="single" w:sz="8" w:space="0" w:color="auto"/>
              <w:right w:val="nil"/>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23</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30</w:t>
            </w:r>
          </w:p>
        </w:tc>
        <w:tc>
          <w:tcPr>
            <w:tcW w:w="992"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28</w:t>
            </w:r>
          </w:p>
        </w:tc>
        <w:tc>
          <w:tcPr>
            <w:tcW w:w="992" w:type="dxa"/>
            <w:tcBorders>
              <w:top w:val="nil"/>
              <w:left w:val="nil"/>
              <w:bottom w:val="single" w:sz="4" w:space="0" w:color="auto"/>
              <w:right w:val="single" w:sz="4" w:space="0" w:color="auto"/>
            </w:tcBorders>
            <w:vAlign w:val="center"/>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28</w:t>
            </w:r>
          </w:p>
        </w:tc>
      </w:tr>
      <w:tr w:rsidR="002967F0" w:rsidRPr="00242122" w:rsidTr="00B8293F">
        <w:trPr>
          <w:trHeight w:val="461"/>
        </w:trPr>
        <w:tc>
          <w:tcPr>
            <w:tcW w:w="3130" w:type="dxa"/>
            <w:tcBorders>
              <w:top w:val="nil"/>
              <w:left w:val="single" w:sz="8" w:space="0" w:color="auto"/>
              <w:bottom w:val="single" w:sz="8" w:space="0" w:color="auto"/>
              <w:right w:val="single" w:sz="8" w:space="0" w:color="auto"/>
            </w:tcBorders>
            <w:shd w:val="clear" w:color="auto" w:fill="auto"/>
            <w:vAlign w:val="center"/>
            <w:hideMark/>
          </w:tcPr>
          <w:p w:rsidR="002967F0" w:rsidRPr="00242122" w:rsidRDefault="002967F0" w:rsidP="00B8293F">
            <w:pPr>
              <w:spacing w:after="0" w:line="240" w:lineRule="auto"/>
              <w:jc w:val="center"/>
              <w:rPr>
                <w:rFonts w:ascii="Arial" w:eastAsia="Times New Roman" w:hAnsi="Arial" w:cs="Arial"/>
                <w:b/>
                <w:bCs/>
                <w:color w:val="000000"/>
                <w:sz w:val="20"/>
                <w:szCs w:val="20"/>
                <w:lang w:eastAsia="ro-RO"/>
              </w:rPr>
            </w:pPr>
            <w:r w:rsidRPr="00242122">
              <w:rPr>
                <w:rFonts w:ascii="Arial" w:eastAsia="Times New Roman" w:hAnsi="Arial" w:cs="Arial"/>
                <w:b/>
                <w:bCs/>
                <w:color w:val="000000"/>
                <w:sz w:val="20"/>
                <w:szCs w:val="20"/>
                <w:lang w:eastAsia="ro-RO"/>
              </w:rPr>
              <w:t>Număr total de puncte monitorizate</w:t>
            </w:r>
          </w:p>
        </w:tc>
        <w:tc>
          <w:tcPr>
            <w:tcW w:w="992" w:type="dxa"/>
            <w:tcBorders>
              <w:top w:val="nil"/>
              <w:left w:val="nil"/>
              <w:bottom w:val="single" w:sz="8" w:space="0" w:color="auto"/>
              <w:right w:val="single" w:sz="8" w:space="0" w:color="auto"/>
            </w:tcBorders>
            <w:shd w:val="clear" w:color="auto" w:fill="auto"/>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1310</w:t>
            </w:r>
          </w:p>
        </w:tc>
        <w:tc>
          <w:tcPr>
            <w:tcW w:w="1134" w:type="dxa"/>
            <w:tcBorders>
              <w:top w:val="nil"/>
              <w:left w:val="nil"/>
              <w:bottom w:val="single" w:sz="8" w:space="0" w:color="auto"/>
              <w:right w:val="single" w:sz="8"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1523</w:t>
            </w:r>
          </w:p>
        </w:tc>
        <w:tc>
          <w:tcPr>
            <w:tcW w:w="993" w:type="dxa"/>
            <w:tcBorders>
              <w:top w:val="nil"/>
              <w:left w:val="nil"/>
              <w:bottom w:val="single" w:sz="8" w:space="0" w:color="auto"/>
              <w:right w:val="single" w:sz="8"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1536</w:t>
            </w:r>
          </w:p>
        </w:tc>
        <w:tc>
          <w:tcPr>
            <w:tcW w:w="1275" w:type="dxa"/>
            <w:tcBorders>
              <w:top w:val="nil"/>
              <w:left w:val="nil"/>
              <w:bottom w:val="single" w:sz="8" w:space="0" w:color="auto"/>
              <w:right w:val="nil"/>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1535</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1533</w:t>
            </w:r>
          </w:p>
        </w:tc>
        <w:tc>
          <w:tcPr>
            <w:tcW w:w="992"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1487</w:t>
            </w:r>
          </w:p>
        </w:tc>
        <w:tc>
          <w:tcPr>
            <w:tcW w:w="992" w:type="dxa"/>
            <w:tcBorders>
              <w:top w:val="nil"/>
              <w:left w:val="nil"/>
              <w:bottom w:val="single" w:sz="4" w:space="0" w:color="auto"/>
              <w:right w:val="single" w:sz="4" w:space="0" w:color="auto"/>
            </w:tcBorders>
            <w:vAlign w:val="center"/>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1524</w:t>
            </w:r>
          </w:p>
        </w:tc>
      </w:tr>
      <w:tr w:rsidR="002967F0" w:rsidRPr="00242122" w:rsidTr="00B8293F">
        <w:trPr>
          <w:trHeight w:val="596"/>
        </w:trPr>
        <w:tc>
          <w:tcPr>
            <w:tcW w:w="3130" w:type="dxa"/>
            <w:tcBorders>
              <w:top w:val="nil"/>
              <w:left w:val="single" w:sz="8" w:space="0" w:color="auto"/>
              <w:bottom w:val="single" w:sz="8" w:space="0" w:color="auto"/>
              <w:right w:val="single" w:sz="8" w:space="0" w:color="auto"/>
            </w:tcBorders>
            <w:shd w:val="clear" w:color="auto" w:fill="auto"/>
            <w:vAlign w:val="center"/>
            <w:hideMark/>
          </w:tcPr>
          <w:p w:rsidR="002967F0" w:rsidRPr="00242122" w:rsidRDefault="002967F0" w:rsidP="00B8293F">
            <w:pPr>
              <w:spacing w:after="0" w:line="240" w:lineRule="auto"/>
              <w:jc w:val="center"/>
              <w:rPr>
                <w:rFonts w:ascii="Arial" w:eastAsia="Times New Roman" w:hAnsi="Arial" w:cs="Arial"/>
                <w:b/>
                <w:bCs/>
                <w:color w:val="000000"/>
                <w:sz w:val="20"/>
                <w:szCs w:val="20"/>
                <w:lang w:eastAsia="ro-RO"/>
              </w:rPr>
            </w:pPr>
            <w:r w:rsidRPr="00242122">
              <w:rPr>
                <w:rFonts w:ascii="Arial" w:eastAsia="Times New Roman" w:hAnsi="Arial" w:cs="Arial"/>
                <w:b/>
                <w:bCs/>
                <w:color w:val="000000"/>
                <w:sz w:val="20"/>
                <w:szCs w:val="20"/>
                <w:lang w:eastAsia="ro-RO"/>
              </w:rPr>
              <w:t>Număr puncte în care se  monitorizează pesticidele</w:t>
            </w:r>
          </w:p>
        </w:tc>
        <w:tc>
          <w:tcPr>
            <w:tcW w:w="992" w:type="dxa"/>
            <w:tcBorders>
              <w:top w:val="nil"/>
              <w:left w:val="nil"/>
              <w:bottom w:val="single" w:sz="8" w:space="0" w:color="auto"/>
              <w:right w:val="single" w:sz="8" w:space="0" w:color="auto"/>
            </w:tcBorders>
            <w:shd w:val="clear" w:color="auto" w:fill="auto"/>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365</w:t>
            </w:r>
          </w:p>
        </w:tc>
        <w:tc>
          <w:tcPr>
            <w:tcW w:w="1134" w:type="dxa"/>
            <w:tcBorders>
              <w:top w:val="nil"/>
              <w:left w:val="nil"/>
              <w:bottom w:val="single" w:sz="8" w:space="0" w:color="auto"/>
              <w:right w:val="single" w:sz="8"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574</w:t>
            </w:r>
          </w:p>
        </w:tc>
        <w:tc>
          <w:tcPr>
            <w:tcW w:w="993" w:type="dxa"/>
            <w:tcBorders>
              <w:top w:val="nil"/>
              <w:left w:val="nil"/>
              <w:bottom w:val="single" w:sz="8" w:space="0" w:color="auto"/>
              <w:right w:val="single" w:sz="8"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550</w:t>
            </w:r>
          </w:p>
        </w:tc>
        <w:tc>
          <w:tcPr>
            <w:tcW w:w="1275" w:type="dxa"/>
            <w:tcBorders>
              <w:top w:val="nil"/>
              <w:left w:val="nil"/>
              <w:bottom w:val="single" w:sz="8" w:space="0" w:color="auto"/>
              <w:right w:val="nil"/>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272</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275</w:t>
            </w:r>
          </w:p>
        </w:tc>
        <w:tc>
          <w:tcPr>
            <w:tcW w:w="992"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356</w:t>
            </w:r>
          </w:p>
        </w:tc>
        <w:tc>
          <w:tcPr>
            <w:tcW w:w="992" w:type="dxa"/>
            <w:tcBorders>
              <w:top w:val="nil"/>
              <w:left w:val="nil"/>
              <w:bottom w:val="single" w:sz="4" w:space="0" w:color="auto"/>
              <w:right w:val="single" w:sz="4" w:space="0" w:color="auto"/>
            </w:tcBorders>
            <w:vAlign w:val="center"/>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346</w:t>
            </w:r>
          </w:p>
        </w:tc>
      </w:tr>
      <w:tr w:rsidR="002967F0" w:rsidRPr="00242122" w:rsidTr="00B8293F">
        <w:trPr>
          <w:trHeight w:val="1050"/>
        </w:trPr>
        <w:tc>
          <w:tcPr>
            <w:tcW w:w="3130" w:type="dxa"/>
            <w:tcBorders>
              <w:top w:val="nil"/>
              <w:left w:val="single" w:sz="8" w:space="0" w:color="auto"/>
              <w:bottom w:val="single" w:sz="8" w:space="0" w:color="auto"/>
              <w:right w:val="single" w:sz="8" w:space="0" w:color="auto"/>
            </w:tcBorders>
            <w:shd w:val="clear" w:color="auto" w:fill="auto"/>
            <w:vAlign w:val="center"/>
            <w:hideMark/>
          </w:tcPr>
          <w:p w:rsidR="002967F0" w:rsidRPr="00242122" w:rsidRDefault="002967F0" w:rsidP="00B8293F">
            <w:pPr>
              <w:spacing w:after="0" w:line="240" w:lineRule="auto"/>
              <w:jc w:val="center"/>
              <w:rPr>
                <w:rFonts w:ascii="Arial" w:eastAsia="Times New Roman" w:hAnsi="Arial" w:cs="Arial"/>
                <w:b/>
                <w:bCs/>
                <w:color w:val="000000"/>
                <w:sz w:val="20"/>
                <w:szCs w:val="20"/>
                <w:lang w:eastAsia="ro-RO"/>
              </w:rPr>
            </w:pPr>
            <w:r w:rsidRPr="00242122">
              <w:rPr>
                <w:rFonts w:ascii="Arial" w:eastAsia="Times New Roman" w:hAnsi="Arial" w:cs="Arial"/>
                <w:b/>
                <w:bCs/>
                <w:color w:val="000000"/>
                <w:sz w:val="20"/>
                <w:szCs w:val="20"/>
                <w:lang w:eastAsia="ro-RO"/>
              </w:rPr>
              <w:t>Ponderea punctelor de monitorizare  cu concentrație mai mare de 0,1µg/L din nr. punctelor în care se monitorizează pesticidele (%)</w:t>
            </w:r>
          </w:p>
        </w:tc>
        <w:tc>
          <w:tcPr>
            <w:tcW w:w="992" w:type="dxa"/>
            <w:tcBorders>
              <w:top w:val="nil"/>
              <w:left w:val="nil"/>
              <w:bottom w:val="single" w:sz="8" w:space="0" w:color="auto"/>
              <w:right w:val="single" w:sz="8" w:space="0" w:color="auto"/>
            </w:tcBorders>
            <w:shd w:val="clear" w:color="auto" w:fill="auto"/>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6,3</w:t>
            </w:r>
          </w:p>
        </w:tc>
        <w:tc>
          <w:tcPr>
            <w:tcW w:w="1134" w:type="dxa"/>
            <w:tcBorders>
              <w:top w:val="nil"/>
              <w:left w:val="nil"/>
              <w:bottom w:val="single" w:sz="8" w:space="0" w:color="auto"/>
              <w:right w:val="single" w:sz="8"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3,31</w:t>
            </w:r>
          </w:p>
        </w:tc>
        <w:tc>
          <w:tcPr>
            <w:tcW w:w="993" w:type="dxa"/>
            <w:tcBorders>
              <w:top w:val="nil"/>
              <w:left w:val="nil"/>
              <w:bottom w:val="single" w:sz="8" w:space="0" w:color="auto"/>
              <w:right w:val="single" w:sz="8"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2,0</w:t>
            </w:r>
          </w:p>
        </w:tc>
        <w:tc>
          <w:tcPr>
            <w:tcW w:w="1275" w:type="dxa"/>
            <w:tcBorders>
              <w:top w:val="nil"/>
              <w:left w:val="nil"/>
              <w:bottom w:val="single" w:sz="8" w:space="0" w:color="auto"/>
              <w:right w:val="nil"/>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2,94</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2,55</w:t>
            </w:r>
          </w:p>
        </w:tc>
        <w:tc>
          <w:tcPr>
            <w:tcW w:w="992"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2,25</w:t>
            </w:r>
          </w:p>
        </w:tc>
        <w:tc>
          <w:tcPr>
            <w:tcW w:w="992" w:type="dxa"/>
            <w:tcBorders>
              <w:top w:val="nil"/>
              <w:left w:val="nil"/>
              <w:bottom w:val="single" w:sz="4" w:space="0" w:color="auto"/>
              <w:right w:val="single" w:sz="4" w:space="0" w:color="auto"/>
            </w:tcBorders>
            <w:vAlign w:val="center"/>
          </w:tcPr>
          <w:p w:rsidR="002967F0" w:rsidRPr="00242122" w:rsidRDefault="002967F0" w:rsidP="00B8293F">
            <w:pPr>
              <w:spacing w:after="0" w:line="240" w:lineRule="auto"/>
              <w:jc w:val="center"/>
              <w:rPr>
                <w:rFonts w:ascii="Arial" w:eastAsia="Times New Roman" w:hAnsi="Arial" w:cs="Arial"/>
                <w:color w:val="000000"/>
                <w:sz w:val="20"/>
                <w:szCs w:val="20"/>
                <w:lang w:eastAsia="ro-RO"/>
              </w:rPr>
            </w:pPr>
            <w:r w:rsidRPr="00242122">
              <w:rPr>
                <w:rFonts w:ascii="Arial" w:eastAsia="Times New Roman" w:hAnsi="Arial" w:cs="Arial"/>
                <w:color w:val="000000"/>
                <w:sz w:val="20"/>
                <w:szCs w:val="20"/>
                <w:lang w:eastAsia="ro-RO"/>
              </w:rPr>
              <w:t>0,29</w:t>
            </w:r>
          </w:p>
        </w:tc>
      </w:tr>
    </w:tbl>
    <w:p w:rsidR="002967F0" w:rsidRPr="00242122" w:rsidRDefault="002967F0" w:rsidP="002967F0">
      <w:pPr>
        <w:spacing w:after="0" w:line="240" w:lineRule="auto"/>
        <w:jc w:val="both"/>
        <w:rPr>
          <w:rFonts w:ascii="Arial" w:eastAsia="Times New Roman" w:hAnsi="Arial" w:cs="Arial"/>
          <w:b/>
          <w:i/>
          <w:sz w:val="20"/>
          <w:szCs w:val="16"/>
          <w:lang w:eastAsia="ro-RO"/>
        </w:rPr>
      </w:pPr>
      <w:r w:rsidRPr="00242122">
        <w:rPr>
          <w:rFonts w:ascii="Arial" w:hAnsi="Arial" w:cs="Arial"/>
          <w:b/>
          <w:i/>
          <w:sz w:val="20"/>
          <w:szCs w:val="20"/>
        </w:rPr>
        <w:t>Tabelul II.2.1.3.3 Evoluția punctelor de monitorizare cu concentrație mai mare de 0,1</w:t>
      </w:r>
      <w:r w:rsidRPr="00242122">
        <w:rPr>
          <w:rFonts w:ascii="Arial" w:eastAsia="Times New Roman" w:hAnsi="Arial" w:cs="Arial"/>
          <w:i/>
          <w:sz w:val="20"/>
          <w:szCs w:val="20"/>
          <w:lang w:eastAsia="ro-RO"/>
        </w:rPr>
        <w:t xml:space="preserve"> </w:t>
      </w:r>
      <w:r w:rsidRPr="00242122">
        <w:rPr>
          <w:rFonts w:ascii="Arial" w:eastAsia="Times New Roman" w:hAnsi="Arial" w:cs="Arial"/>
          <w:b/>
          <w:i/>
          <w:sz w:val="20"/>
          <w:szCs w:val="20"/>
          <w:lang w:eastAsia="ro-RO"/>
        </w:rPr>
        <w:t>µg/L pentru</w:t>
      </w:r>
      <w:r w:rsidRPr="00242122">
        <w:rPr>
          <w:rFonts w:ascii="Arial" w:eastAsia="Times New Roman" w:hAnsi="Arial" w:cs="Arial"/>
          <w:b/>
          <w:i/>
          <w:sz w:val="20"/>
          <w:szCs w:val="16"/>
          <w:lang w:eastAsia="ro-RO"/>
        </w:rPr>
        <w:t xml:space="preserve"> perioada 2015 - 2021 (%)</w:t>
      </w:r>
    </w:p>
    <w:p w:rsidR="002967F0" w:rsidRPr="00242122" w:rsidRDefault="002967F0" w:rsidP="002967F0">
      <w:pPr>
        <w:spacing w:after="0"/>
        <w:ind w:left="900" w:hanging="900"/>
        <w:jc w:val="both"/>
        <w:rPr>
          <w:rFonts w:ascii="Arial" w:hAnsi="Arial" w:cs="Arial"/>
          <w:i/>
          <w:iCs/>
          <w:color w:val="000000"/>
          <w:sz w:val="20"/>
          <w:szCs w:val="20"/>
          <w:lang w:eastAsia="ro-RO"/>
        </w:rPr>
      </w:pPr>
      <w:r w:rsidRPr="00242122">
        <w:rPr>
          <w:rFonts w:ascii="Arial" w:hAnsi="Arial" w:cs="Arial"/>
          <w:i/>
          <w:iCs/>
          <w:color w:val="000000"/>
          <w:sz w:val="20"/>
          <w:szCs w:val="20"/>
          <w:lang w:eastAsia="ro-RO"/>
        </w:rPr>
        <w:t>(Sursa: Administraţia Naţională “Apele Române”, Sinteza calităţii apelor din România în anul 2021)</w:t>
      </w:r>
    </w:p>
    <w:p w:rsidR="002967F0" w:rsidRPr="00242122" w:rsidRDefault="002967F0" w:rsidP="002967F0">
      <w:pPr>
        <w:spacing w:line="240" w:lineRule="auto"/>
        <w:jc w:val="both"/>
        <w:rPr>
          <w:rFonts w:ascii="Arial" w:eastAsia="Times New Roman" w:hAnsi="Arial" w:cs="Arial"/>
          <w:b/>
          <w:i/>
          <w:color w:val="FF0000"/>
          <w:sz w:val="16"/>
          <w:szCs w:val="16"/>
          <w:lang w:eastAsia="ro-RO"/>
        </w:rPr>
      </w:pPr>
    </w:p>
    <w:tbl>
      <w:tblPr>
        <w:tblW w:w="8090" w:type="dxa"/>
        <w:jc w:val="center"/>
        <w:tblLook w:val="04A0" w:firstRow="1" w:lastRow="0" w:firstColumn="1" w:lastColumn="0" w:noHBand="0" w:noVBand="1"/>
      </w:tblPr>
      <w:tblGrid>
        <w:gridCol w:w="880"/>
        <w:gridCol w:w="2710"/>
        <w:gridCol w:w="2160"/>
        <w:gridCol w:w="2340"/>
      </w:tblGrid>
      <w:tr w:rsidR="002967F0" w:rsidRPr="00242122" w:rsidTr="00B8293F">
        <w:trPr>
          <w:trHeight w:val="1116"/>
          <w:jc w:val="center"/>
        </w:trPr>
        <w:tc>
          <w:tcPr>
            <w:tcW w:w="880" w:type="dxa"/>
            <w:tcBorders>
              <w:top w:val="single" w:sz="4" w:space="0" w:color="auto"/>
              <w:left w:val="single" w:sz="4" w:space="0" w:color="auto"/>
              <w:bottom w:val="single" w:sz="4" w:space="0" w:color="auto"/>
              <w:right w:val="single" w:sz="4" w:space="0" w:color="auto"/>
            </w:tcBorders>
            <w:shd w:val="clear" w:color="auto" w:fill="66CCFF"/>
            <w:noWrap/>
            <w:vAlign w:val="center"/>
            <w:hideMark/>
          </w:tcPr>
          <w:p w:rsidR="002967F0" w:rsidRPr="00242122" w:rsidRDefault="002967F0" w:rsidP="00B8293F">
            <w:pPr>
              <w:spacing w:after="0" w:line="240" w:lineRule="auto"/>
              <w:jc w:val="center"/>
              <w:rPr>
                <w:rFonts w:ascii="Arial" w:eastAsia="Times New Roman" w:hAnsi="Arial" w:cs="Arial"/>
                <w:b/>
                <w:bCs/>
                <w:color w:val="000000"/>
                <w:lang w:eastAsia="ro-RO"/>
              </w:rPr>
            </w:pPr>
            <w:r w:rsidRPr="00242122">
              <w:rPr>
                <w:rFonts w:ascii="Arial" w:eastAsia="Times New Roman" w:hAnsi="Arial" w:cs="Arial"/>
                <w:b/>
                <w:bCs/>
                <w:color w:val="000000"/>
                <w:lang w:eastAsia="ro-RO"/>
              </w:rPr>
              <w:t>Nr. crt.</w:t>
            </w:r>
          </w:p>
        </w:tc>
        <w:tc>
          <w:tcPr>
            <w:tcW w:w="2710" w:type="dxa"/>
            <w:tcBorders>
              <w:top w:val="single" w:sz="4" w:space="0" w:color="auto"/>
              <w:left w:val="nil"/>
              <w:bottom w:val="single" w:sz="4" w:space="0" w:color="auto"/>
              <w:right w:val="single" w:sz="4" w:space="0" w:color="auto"/>
            </w:tcBorders>
            <w:shd w:val="clear" w:color="auto" w:fill="66CCFF"/>
            <w:vAlign w:val="center"/>
            <w:hideMark/>
          </w:tcPr>
          <w:p w:rsidR="002967F0" w:rsidRPr="00242122" w:rsidRDefault="002967F0" w:rsidP="00B8293F">
            <w:pPr>
              <w:spacing w:after="0" w:line="240" w:lineRule="auto"/>
              <w:jc w:val="center"/>
              <w:rPr>
                <w:rFonts w:ascii="Arial" w:eastAsia="Times New Roman" w:hAnsi="Arial" w:cs="Arial"/>
                <w:b/>
                <w:bCs/>
                <w:color w:val="000000"/>
                <w:lang w:eastAsia="ro-RO"/>
              </w:rPr>
            </w:pPr>
            <w:r w:rsidRPr="00242122">
              <w:rPr>
                <w:rFonts w:ascii="Arial" w:eastAsia="Times New Roman" w:hAnsi="Arial" w:cs="Arial"/>
                <w:b/>
                <w:bCs/>
                <w:color w:val="000000"/>
                <w:lang w:eastAsia="ro-RO"/>
              </w:rPr>
              <w:t>Pesticide</w:t>
            </w:r>
          </w:p>
        </w:tc>
        <w:tc>
          <w:tcPr>
            <w:tcW w:w="2160" w:type="dxa"/>
            <w:tcBorders>
              <w:top w:val="single" w:sz="4" w:space="0" w:color="auto"/>
              <w:left w:val="nil"/>
              <w:bottom w:val="single" w:sz="4" w:space="0" w:color="auto"/>
              <w:right w:val="single" w:sz="4" w:space="0" w:color="auto"/>
            </w:tcBorders>
            <w:shd w:val="clear" w:color="auto" w:fill="66CCFF"/>
            <w:vAlign w:val="center"/>
            <w:hideMark/>
          </w:tcPr>
          <w:p w:rsidR="002967F0" w:rsidRPr="00242122" w:rsidRDefault="002967F0" w:rsidP="00B8293F">
            <w:pPr>
              <w:spacing w:after="0" w:line="240" w:lineRule="auto"/>
              <w:jc w:val="center"/>
              <w:rPr>
                <w:rFonts w:ascii="Arial" w:eastAsia="Times New Roman" w:hAnsi="Arial" w:cs="Arial"/>
                <w:b/>
                <w:bCs/>
                <w:color w:val="000000"/>
                <w:lang w:eastAsia="ro-RO"/>
              </w:rPr>
            </w:pPr>
            <w:r w:rsidRPr="00242122">
              <w:rPr>
                <w:rFonts w:ascii="Arial" w:eastAsia="Times New Roman" w:hAnsi="Arial" w:cs="Arial"/>
                <w:b/>
                <w:bCs/>
                <w:color w:val="000000"/>
                <w:lang w:eastAsia="ro-RO"/>
              </w:rPr>
              <w:t>Nr. de puncte în care se monitorizează pesticide</w:t>
            </w:r>
          </w:p>
        </w:tc>
        <w:tc>
          <w:tcPr>
            <w:tcW w:w="2340" w:type="dxa"/>
            <w:tcBorders>
              <w:top w:val="single" w:sz="4" w:space="0" w:color="auto"/>
              <w:left w:val="nil"/>
              <w:bottom w:val="single" w:sz="4" w:space="0" w:color="auto"/>
              <w:right w:val="single" w:sz="4" w:space="0" w:color="auto"/>
            </w:tcBorders>
            <w:shd w:val="clear" w:color="auto" w:fill="66CCFF"/>
            <w:vAlign w:val="center"/>
            <w:hideMark/>
          </w:tcPr>
          <w:p w:rsidR="002967F0" w:rsidRPr="00242122" w:rsidRDefault="002967F0" w:rsidP="00B8293F">
            <w:pPr>
              <w:spacing w:after="0" w:line="240" w:lineRule="auto"/>
              <w:jc w:val="center"/>
              <w:rPr>
                <w:rFonts w:ascii="Arial" w:eastAsia="Times New Roman" w:hAnsi="Arial" w:cs="Arial"/>
                <w:b/>
                <w:bCs/>
                <w:color w:val="000000"/>
                <w:lang w:eastAsia="ro-RO"/>
              </w:rPr>
            </w:pPr>
            <w:r w:rsidRPr="00242122">
              <w:rPr>
                <w:rFonts w:ascii="Arial" w:eastAsia="Times New Roman" w:hAnsi="Arial" w:cs="Arial"/>
                <w:b/>
                <w:bCs/>
                <w:color w:val="000000"/>
                <w:lang w:eastAsia="ro-RO"/>
              </w:rPr>
              <w:t>Nr. puncte de monitorizare cu conc. &gt; 0,1 µg/L</w:t>
            </w:r>
          </w:p>
        </w:tc>
      </w:tr>
      <w:tr w:rsidR="002967F0" w:rsidRPr="00242122" w:rsidTr="00B8293F">
        <w:trPr>
          <w:trHeight w:val="390"/>
          <w:jc w:val="center"/>
        </w:trPr>
        <w:tc>
          <w:tcPr>
            <w:tcW w:w="88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w:t>
            </w:r>
          </w:p>
        </w:tc>
        <w:tc>
          <w:tcPr>
            <w:tcW w:w="2710" w:type="dxa"/>
            <w:tcBorders>
              <w:top w:val="single" w:sz="4" w:space="0" w:color="auto"/>
              <w:left w:val="nil"/>
              <w:bottom w:val="single" w:sz="4" w:space="0" w:color="auto"/>
              <w:right w:val="single" w:sz="4" w:space="0" w:color="auto"/>
            </w:tcBorders>
            <w:shd w:val="clear" w:color="auto" w:fill="auto"/>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alfa - Hexaclorciclohexan</w:t>
            </w:r>
          </w:p>
        </w:tc>
        <w:tc>
          <w:tcPr>
            <w:tcW w:w="2160" w:type="dxa"/>
            <w:tcBorders>
              <w:top w:val="single" w:sz="4" w:space="0" w:color="auto"/>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188</w:t>
            </w:r>
          </w:p>
        </w:tc>
        <w:tc>
          <w:tcPr>
            <w:tcW w:w="2340" w:type="dxa"/>
            <w:tcBorders>
              <w:top w:val="single" w:sz="4" w:space="0" w:color="auto"/>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552"/>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w:t>
            </w:r>
          </w:p>
        </w:tc>
        <w:tc>
          <w:tcPr>
            <w:tcW w:w="2710" w:type="dxa"/>
            <w:tcBorders>
              <w:top w:val="nil"/>
              <w:left w:val="nil"/>
              <w:bottom w:val="single" w:sz="4" w:space="0" w:color="auto"/>
              <w:right w:val="single" w:sz="4" w:space="0" w:color="auto"/>
            </w:tcBorders>
            <w:shd w:val="clear" w:color="auto" w:fill="auto"/>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beta - Hexaclorciclohexan</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188</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3</w:t>
            </w:r>
          </w:p>
        </w:tc>
        <w:tc>
          <w:tcPr>
            <w:tcW w:w="2710" w:type="dxa"/>
            <w:tcBorders>
              <w:top w:val="nil"/>
              <w:left w:val="nil"/>
              <w:bottom w:val="single" w:sz="4" w:space="0" w:color="auto"/>
              <w:right w:val="single" w:sz="4"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gama HCH - Lindan</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264</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4</w:t>
            </w:r>
          </w:p>
        </w:tc>
        <w:tc>
          <w:tcPr>
            <w:tcW w:w="2710" w:type="dxa"/>
            <w:tcBorders>
              <w:top w:val="nil"/>
              <w:left w:val="nil"/>
              <w:bottom w:val="single" w:sz="4" w:space="0" w:color="auto"/>
              <w:right w:val="single" w:sz="4"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alfa-Endosulfan</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273</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5</w:t>
            </w:r>
          </w:p>
        </w:tc>
        <w:tc>
          <w:tcPr>
            <w:tcW w:w="2710" w:type="dxa"/>
            <w:tcBorders>
              <w:top w:val="nil"/>
              <w:left w:val="nil"/>
              <w:bottom w:val="single" w:sz="4" w:space="0" w:color="auto"/>
              <w:right w:val="single" w:sz="4"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beta-Endosulfan</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273</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6</w:t>
            </w:r>
          </w:p>
        </w:tc>
        <w:tc>
          <w:tcPr>
            <w:tcW w:w="2710" w:type="dxa"/>
            <w:tcBorders>
              <w:top w:val="nil"/>
              <w:left w:val="nil"/>
              <w:bottom w:val="single" w:sz="4" w:space="0" w:color="auto"/>
              <w:right w:val="single" w:sz="4"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Trifluralin</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190</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7</w:t>
            </w:r>
          </w:p>
        </w:tc>
        <w:tc>
          <w:tcPr>
            <w:tcW w:w="2710" w:type="dxa"/>
            <w:tcBorders>
              <w:top w:val="nil"/>
              <w:left w:val="nil"/>
              <w:bottom w:val="single" w:sz="4" w:space="0" w:color="auto"/>
              <w:right w:val="single" w:sz="4"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Alaclor</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193</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8</w:t>
            </w:r>
          </w:p>
        </w:tc>
        <w:tc>
          <w:tcPr>
            <w:tcW w:w="2710" w:type="dxa"/>
            <w:tcBorders>
              <w:top w:val="nil"/>
              <w:left w:val="nil"/>
              <w:bottom w:val="single" w:sz="4" w:space="0" w:color="auto"/>
              <w:right w:val="single" w:sz="4"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Aldrin</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220</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9</w:t>
            </w:r>
          </w:p>
        </w:tc>
        <w:tc>
          <w:tcPr>
            <w:tcW w:w="2710" w:type="dxa"/>
            <w:tcBorders>
              <w:top w:val="nil"/>
              <w:left w:val="nil"/>
              <w:bottom w:val="single" w:sz="4" w:space="0" w:color="auto"/>
              <w:right w:val="single" w:sz="4"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Atrazin</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241</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w:t>
            </w:r>
          </w:p>
        </w:tc>
      </w:tr>
      <w:tr w:rsidR="002967F0" w:rsidRPr="00242122" w:rsidTr="00B8293F">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10</w:t>
            </w:r>
          </w:p>
        </w:tc>
        <w:tc>
          <w:tcPr>
            <w:tcW w:w="2710" w:type="dxa"/>
            <w:tcBorders>
              <w:top w:val="nil"/>
              <w:left w:val="nil"/>
              <w:bottom w:val="single" w:sz="4" w:space="0" w:color="auto"/>
              <w:right w:val="single" w:sz="4"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Clorfenvinfos</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189</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11</w:t>
            </w:r>
          </w:p>
        </w:tc>
        <w:tc>
          <w:tcPr>
            <w:tcW w:w="2710" w:type="dxa"/>
            <w:tcBorders>
              <w:top w:val="nil"/>
              <w:left w:val="nil"/>
              <w:bottom w:val="single" w:sz="4" w:space="0" w:color="auto"/>
              <w:right w:val="single" w:sz="4"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Clorpirifos</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189</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534"/>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12</w:t>
            </w:r>
          </w:p>
        </w:tc>
        <w:tc>
          <w:tcPr>
            <w:tcW w:w="2710" w:type="dxa"/>
            <w:tcBorders>
              <w:top w:val="nil"/>
              <w:left w:val="nil"/>
              <w:bottom w:val="single" w:sz="4" w:space="0" w:color="auto"/>
              <w:right w:val="single" w:sz="4" w:space="0" w:color="auto"/>
            </w:tcBorders>
            <w:shd w:val="clear" w:color="auto" w:fill="auto"/>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Diclorvos (fosfat de 2.2-diclorovinil si dimetil)</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179</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76"/>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13</w:t>
            </w:r>
          </w:p>
        </w:tc>
        <w:tc>
          <w:tcPr>
            <w:tcW w:w="2710" w:type="dxa"/>
            <w:tcBorders>
              <w:top w:val="nil"/>
              <w:left w:val="nil"/>
              <w:bottom w:val="single" w:sz="4" w:space="0" w:color="auto"/>
              <w:right w:val="single" w:sz="4"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Dieldrin</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251</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14</w:t>
            </w:r>
          </w:p>
        </w:tc>
        <w:tc>
          <w:tcPr>
            <w:tcW w:w="2710" w:type="dxa"/>
            <w:tcBorders>
              <w:top w:val="nil"/>
              <w:left w:val="nil"/>
              <w:bottom w:val="single" w:sz="4" w:space="0" w:color="auto"/>
              <w:right w:val="single" w:sz="4"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Diuron</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128</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309"/>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15</w:t>
            </w:r>
          </w:p>
        </w:tc>
        <w:tc>
          <w:tcPr>
            <w:tcW w:w="2710" w:type="dxa"/>
            <w:tcBorders>
              <w:top w:val="nil"/>
              <w:left w:val="nil"/>
              <w:bottom w:val="single" w:sz="4" w:space="0" w:color="auto"/>
              <w:right w:val="single" w:sz="4"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Endrin</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220</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16</w:t>
            </w:r>
          </w:p>
        </w:tc>
        <w:tc>
          <w:tcPr>
            <w:tcW w:w="2710" w:type="dxa"/>
            <w:tcBorders>
              <w:top w:val="nil"/>
              <w:left w:val="nil"/>
              <w:bottom w:val="single" w:sz="4" w:space="0" w:color="auto"/>
              <w:right w:val="single" w:sz="4"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Isodrin</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221</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327"/>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17</w:t>
            </w:r>
          </w:p>
        </w:tc>
        <w:tc>
          <w:tcPr>
            <w:tcW w:w="2710" w:type="dxa"/>
            <w:tcBorders>
              <w:top w:val="nil"/>
              <w:left w:val="nil"/>
              <w:bottom w:val="single" w:sz="4" w:space="0" w:color="auto"/>
              <w:right w:val="single" w:sz="4" w:space="0" w:color="auto"/>
            </w:tcBorders>
            <w:shd w:val="clear" w:color="000000" w:fill="FFFFFF"/>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Izoproturon</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128</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795"/>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18</w:t>
            </w:r>
          </w:p>
        </w:tc>
        <w:tc>
          <w:tcPr>
            <w:tcW w:w="2710" w:type="dxa"/>
            <w:tcBorders>
              <w:top w:val="nil"/>
              <w:left w:val="nil"/>
              <w:bottom w:val="single" w:sz="4" w:space="0" w:color="auto"/>
              <w:right w:val="single" w:sz="4" w:space="0" w:color="auto"/>
            </w:tcBorders>
            <w:shd w:val="clear" w:color="auto" w:fill="auto"/>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Linuron (3-(3.4-diclorfenil) -1-metoxi-1-metiluree)</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120</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840"/>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19</w:t>
            </w:r>
          </w:p>
        </w:tc>
        <w:tc>
          <w:tcPr>
            <w:tcW w:w="2710" w:type="dxa"/>
            <w:tcBorders>
              <w:top w:val="nil"/>
              <w:left w:val="nil"/>
              <w:bottom w:val="single" w:sz="4" w:space="0" w:color="auto"/>
              <w:right w:val="single" w:sz="4" w:space="0" w:color="auto"/>
            </w:tcBorders>
            <w:shd w:val="clear" w:color="auto" w:fill="auto"/>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 xml:space="preserve">Mevinfos (fosfat de 2-metoxicarbonil-1-metilvinil si dimetil) </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60</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840"/>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20</w:t>
            </w:r>
          </w:p>
        </w:tc>
        <w:tc>
          <w:tcPr>
            <w:tcW w:w="2710" w:type="dxa"/>
            <w:tcBorders>
              <w:top w:val="nil"/>
              <w:left w:val="nil"/>
              <w:bottom w:val="single" w:sz="4" w:space="0" w:color="auto"/>
              <w:right w:val="single" w:sz="4" w:space="0" w:color="auto"/>
            </w:tcBorders>
            <w:shd w:val="clear" w:color="auto" w:fill="auto"/>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Monolinuron (3-(4-clorofenil)-1-metoxi-1-metiluree)</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120</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21</w:t>
            </w:r>
          </w:p>
        </w:tc>
        <w:tc>
          <w:tcPr>
            <w:tcW w:w="271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orto-para DDT</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124</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lastRenderedPageBreak/>
              <w:t>22</w:t>
            </w:r>
          </w:p>
        </w:tc>
        <w:tc>
          <w:tcPr>
            <w:tcW w:w="271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para-para DDD</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120</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23</w:t>
            </w:r>
          </w:p>
        </w:tc>
        <w:tc>
          <w:tcPr>
            <w:tcW w:w="271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para-para DDE</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120</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24</w:t>
            </w:r>
          </w:p>
        </w:tc>
        <w:tc>
          <w:tcPr>
            <w:tcW w:w="271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para-para DDT</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263</w:t>
            </w:r>
          </w:p>
          <w:p w:rsidR="002967F0" w:rsidRPr="00242122" w:rsidRDefault="002967F0" w:rsidP="00B8293F">
            <w:pPr>
              <w:spacing w:after="0" w:line="240" w:lineRule="auto"/>
              <w:jc w:val="center"/>
              <w:rPr>
                <w:rFonts w:ascii="Arial" w:eastAsia="Times New Roman" w:hAnsi="Arial" w:cs="Arial"/>
                <w:color w:val="000000"/>
                <w:lang w:eastAsia="ro-RO"/>
              </w:rPr>
            </w:pP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25</w:t>
            </w:r>
          </w:p>
        </w:tc>
        <w:tc>
          <w:tcPr>
            <w:tcW w:w="271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Simazin</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249</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26</w:t>
            </w:r>
          </w:p>
        </w:tc>
        <w:tc>
          <w:tcPr>
            <w:tcW w:w="271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Metoxiclor</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120</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88"/>
          <w:jc w:val="center"/>
        </w:trPr>
        <w:tc>
          <w:tcPr>
            <w:tcW w:w="880" w:type="dxa"/>
            <w:tcBorders>
              <w:top w:val="nil"/>
              <w:left w:val="single" w:sz="8" w:space="0" w:color="auto"/>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27</w:t>
            </w:r>
          </w:p>
        </w:tc>
        <w:tc>
          <w:tcPr>
            <w:tcW w:w="271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Clorotoluron</w:t>
            </w:r>
          </w:p>
        </w:tc>
        <w:tc>
          <w:tcPr>
            <w:tcW w:w="2160" w:type="dxa"/>
            <w:tcBorders>
              <w:top w:val="nil"/>
              <w:left w:val="nil"/>
              <w:bottom w:val="single" w:sz="4"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120</w:t>
            </w:r>
          </w:p>
        </w:tc>
        <w:tc>
          <w:tcPr>
            <w:tcW w:w="2340" w:type="dxa"/>
            <w:tcBorders>
              <w:top w:val="nil"/>
              <w:left w:val="nil"/>
              <w:bottom w:val="single" w:sz="4"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r w:rsidR="002967F0" w:rsidRPr="00242122" w:rsidTr="00B8293F">
        <w:trPr>
          <w:trHeight w:val="288"/>
          <w:jc w:val="center"/>
        </w:trPr>
        <w:tc>
          <w:tcPr>
            <w:tcW w:w="880" w:type="dxa"/>
            <w:tcBorders>
              <w:top w:val="nil"/>
              <w:left w:val="single" w:sz="8" w:space="0" w:color="auto"/>
              <w:bottom w:val="single" w:sz="8"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28</w:t>
            </w:r>
          </w:p>
        </w:tc>
        <w:tc>
          <w:tcPr>
            <w:tcW w:w="2710" w:type="dxa"/>
            <w:tcBorders>
              <w:top w:val="nil"/>
              <w:left w:val="nil"/>
              <w:bottom w:val="single" w:sz="8"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b/>
                <w:i/>
                <w:color w:val="000000"/>
                <w:lang w:eastAsia="ro-RO"/>
              </w:rPr>
            </w:pPr>
            <w:r w:rsidRPr="00242122">
              <w:rPr>
                <w:rFonts w:ascii="Arial" w:eastAsia="Times New Roman" w:hAnsi="Arial" w:cs="Arial"/>
                <w:b/>
                <w:i/>
                <w:color w:val="000000"/>
                <w:lang w:eastAsia="ro-RO"/>
              </w:rPr>
              <w:t>Monuron</w:t>
            </w:r>
          </w:p>
        </w:tc>
        <w:tc>
          <w:tcPr>
            <w:tcW w:w="2160" w:type="dxa"/>
            <w:tcBorders>
              <w:top w:val="nil"/>
              <w:left w:val="nil"/>
              <w:bottom w:val="single" w:sz="8" w:space="0" w:color="auto"/>
              <w:right w:val="single" w:sz="4"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120</w:t>
            </w:r>
          </w:p>
        </w:tc>
        <w:tc>
          <w:tcPr>
            <w:tcW w:w="2340" w:type="dxa"/>
            <w:tcBorders>
              <w:top w:val="nil"/>
              <w:left w:val="nil"/>
              <w:bottom w:val="single" w:sz="8" w:space="0" w:color="auto"/>
              <w:right w:val="single" w:sz="8" w:space="0" w:color="auto"/>
            </w:tcBorders>
            <w:shd w:val="clear" w:color="auto" w:fill="auto"/>
            <w:noWrap/>
            <w:vAlign w:val="center"/>
            <w:hideMark/>
          </w:tcPr>
          <w:p w:rsidR="002967F0" w:rsidRPr="00242122" w:rsidRDefault="002967F0" w:rsidP="00B8293F">
            <w:pPr>
              <w:spacing w:after="0" w:line="240" w:lineRule="auto"/>
              <w:jc w:val="center"/>
              <w:rPr>
                <w:rFonts w:ascii="Arial" w:eastAsia="Times New Roman" w:hAnsi="Arial" w:cs="Arial"/>
                <w:color w:val="000000"/>
                <w:lang w:eastAsia="ro-RO"/>
              </w:rPr>
            </w:pPr>
            <w:r w:rsidRPr="00242122">
              <w:rPr>
                <w:rFonts w:ascii="Arial" w:eastAsia="Times New Roman" w:hAnsi="Arial" w:cs="Arial"/>
                <w:color w:val="000000"/>
                <w:lang w:eastAsia="ro-RO"/>
              </w:rPr>
              <w:t>0</w:t>
            </w:r>
          </w:p>
        </w:tc>
      </w:tr>
    </w:tbl>
    <w:p w:rsidR="002967F0" w:rsidRPr="00242122" w:rsidRDefault="002967F0" w:rsidP="002967F0">
      <w:pPr>
        <w:spacing w:after="0" w:line="240" w:lineRule="auto"/>
        <w:jc w:val="both"/>
        <w:rPr>
          <w:rFonts w:ascii="Arial" w:hAnsi="Arial" w:cs="Arial"/>
          <w:color w:val="FF0000"/>
        </w:rPr>
      </w:pPr>
      <w:r w:rsidRPr="00242122">
        <w:rPr>
          <w:rFonts w:ascii="Arial" w:eastAsia="Times New Roman" w:hAnsi="Arial" w:cs="Arial"/>
          <w:b/>
          <w:bCs/>
          <w:i/>
          <w:sz w:val="20"/>
          <w:szCs w:val="16"/>
          <w:lang w:eastAsia="ro-RO"/>
        </w:rPr>
        <w:t>Tabelul II.2.1.3.4. Numărul punctele monitorizate în care se monitorizează pesticidele și nr. punctelor cu concentrație mai mare de 0,1µg/L în anul 2021</w:t>
      </w:r>
    </w:p>
    <w:p w:rsidR="002967F0" w:rsidRDefault="002967F0" w:rsidP="002967F0">
      <w:pPr>
        <w:spacing w:after="0"/>
        <w:ind w:left="900" w:hanging="900"/>
        <w:jc w:val="both"/>
        <w:rPr>
          <w:rFonts w:ascii="Arial" w:hAnsi="Arial" w:cs="Arial"/>
          <w:i/>
          <w:iCs/>
          <w:color w:val="000000"/>
          <w:sz w:val="20"/>
          <w:szCs w:val="20"/>
          <w:lang w:eastAsia="ro-RO"/>
        </w:rPr>
      </w:pPr>
      <w:r w:rsidRPr="00242122">
        <w:rPr>
          <w:rFonts w:ascii="Arial" w:hAnsi="Arial" w:cs="Arial"/>
          <w:i/>
          <w:iCs/>
          <w:color w:val="000000"/>
          <w:sz w:val="20"/>
          <w:szCs w:val="20"/>
          <w:lang w:eastAsia="ro-RO"/>
        </w:rPr>
        <w:t>(Sursa: Administraţia Naţională “Apele Române”, Sinteza calităţii apelor din România  în anul 2021)</w:t>
      </w:r>
    </w:p>
    <w:p w:rsidR="00C42538" w:rsidRPr="00242122" w:rsidRDefault="00C42538" w:rsidP="002967F0">
      <w:pPr>
        <w:spacing w:after="0"/>
        <w:ind w:left="900" w:hanging="900"/>
        <w:jc w:val="both"/>
        <w:rPr>
          <w:rFonts w:ascii="Arial" w:hAnsi="Arial" w:cs="Arial"/>
          <w:color w:val="FF0000"/>
        </w:rPr>
      </w:pPr>
    </w:p>
    <w:p w:rsidR="0015655E" w:rsidRPr="0015655E" w:rsidRDefault="0015655E" w:rsidP="0015655E">
      <w:pPr>
        <w:spacing w:after="0" w:line="240" w:lineRule="auto"/>
        <w:rPr>
          <w:rFonts w:ascii="Arial" w:eastAsia="Times New Roman" w:hAnsi="Arial" w:cs="Arial"/>
          <w:bCs/>
          <w:sz w:val="24"/>
          <w:szCs w:val="24"/>
          <w:u w:val="single"/>
        </w:rPr>
      </w:pPr>
      <w:r w:rsidRPr="0015655E">
        <w:rPr>
          <w:rFonts w:ascii="Arial" w:eastAsia="Times New Roman" w:hAnsi="Arial" w:cs="Arial"/>
          <w:b/>
          <w:bCs/>
          <w:sz w:val="24"/>
          <w:szCs w:val="24"/>
          <w:u w:val="single"/>
        </w:rPr>
        <w:t>2</w:t>
      </w:r>
      <w:r w:rsidRPr="0015655E">
        <w:rPr>
          <w:rFonts w:ascii="Arial" w:eastAsia="Times New Roman" w:hAnsi="Arial" w:cs="Arial"/>
          <w:bCs/>
          <w:sz w:val="24"/>
          <w:szCs w:val="24"/>
          <w:u w:val="single"/>
        </w:rPr>
        <w:t>.</w:t>
      </w:r>
      <w:r w:rsidRPr="0015655E">
        <w:rPr>
          <w:rFonts w:ascii="Arial" w:eastAsia="Times New Roman" w:hAnsi="Arial" w:cs="Arial"/>
          <w:b/>
          <w:bCs/>
          <w:sz w:val="24"/>
          <w:szCs w:val="24"/>
          <w:u w:val="single"/>
        </w:rPr>
        <w:t xml:space="preserve">Calitatea apelor de </w:t>
      </w:r>
      <w:r w:rsidR="005B6804">
        <w:rPr>
          <w:rFonts w:ascii="Arial" w:eastAsia="Times New Roman" w:hAnsi="Arial" w:cs="Arial"/>
          <w:b/>
          <w:bCs/>
          <w:sz w:val="24"/>
          <w:szCs w:val="24"/>
          <w:u w:val="single"/>
        </w:rPr>
        <w:t>îmbă</w:t>
      </w:r>
      <w:r w:rsidRPr="0015655E">
        <w:rPr>
          <w:rFonts w:ascii="Arial" w:eastAsia="Times New Roman" w:hAnsi="Arial" w:cs="Arial"/>
          <w:b/>
          <w:bCs/>
          <w:sz w:val="24"/>
          <w:szCs w:val="24"/>
          <w:u w:val="single"/>
        </w:rPr>
        <w:t>iere</w:t>
      </w:r>
      <w:r w:rsidRPr="0015655E">
        <w:rPr>
          <w:rFonts w:ascii="Arial" w:eastAsia="Times New Roman" w:hAnsi="Arial" w:cs="Arial"/>
          <w:bCs/>
          <w:sz w:val="24"/>
          <w:szCs w:val="24"/>
          <w:u w:val="single"/>
        </w:rPr>
        <w:t xml:space="preserve"> </w:t>
      </w:r>
    </w:p>
    <w:p w:rsidR="0015655E" w:rsidRPr="0015655E" w:rsidRDefault="005B6804" w:rsidP="005B6804">
      <w:pPr>
        <w:spacing w:after="0" w:line="240" w:lineRule="auto"/>
        <w:ind w:firstLine="708"/>
        <w:jc w:val="both"/>
        <w:rPr>
          <w:rFonts w:ascii="Arial" w:eastAsia="Times New Roman" w:hAnsi="Arial" w:cs="Arial"/>
          <w:bCs/>
          <w:sz w:val="24"/>
          <w:szCs w:val="24"/>
        </w:rPr>
      </w:pPr>
      <w:r>
        <w:rPr>
          <w:rFonts w:ascii="Arial" w:eastAsia="Times New Roman" w:hAnsi="Arial" w:cs="Arial"/>
          <w:bCs/>
          <w:sz w:val="24"/>
          <w:szCs w:val="24"/>
        </w:rPr>
        <w:t>În județul Gorj î</w:t>
      </w:r>
      <w:r w:rsidR="0015655E" w:rsidRPr="0015655E">
        <w:rPr>
          <w:rFonts w:ascii="Arial" w:eastAsia="Times New Roman" w:hAnsi="Arial" w:cs="Arial"/>
          <w:bCs/>
          <w:sz w:val="24"/>
          <w:szCs w:val="24"/>
        </w:rPr>
        <w:t>n perioada 2016-2020 nu au fost</w:t>
      </w:r>
      <w:r>
        <w:rPr>
          <w:rFonts w:ascii="Arial" w:eastAsia="Times New Roman" w:hAnsi="Arial" w:cs="Arial"/>
          <w:bCs/>
          <w:sz w:val="24"/>
          <w:szCs w:val="24"/>
        </w:rPr>
        <w:t xml:space="preserve"> identificate zone naturale de îmbăiere</w:t>
      </w:r>
      <w:r w:rsidR="0015655E" w:rsidRPr="0015655E">
        <w:rPr>
          <w:rFonts w:ascii="Arial" w:eastAsia="Times New Roman" w:hAnsi="Arial" w:cs="Arial"/>
          <w:bCs/>
          <w:sz w:val="24"/>
          <w:szCs w:val="24"/>
        </w:rPr>
        <w:t>,</w:t>
      </w:r>
      <w:r>
        <w:rPr>
          <w:rFonts w:ascii="Arial" w:eastAsia="Times New Roman" w:hAnsi="Arial" w:cs="Arial"/>
          <w:bCs/>
          <w:sz w:val="24"/>
          <w:szCs w:val="24"/>
        </w:rPr>
        <w:t xml:space="preserve"> </w:t>
      </w:r>
      <w:r w:rsidR="0015655E" w:rsidRPr="0015655E">
        <w:rPr>
          <w:rFonts w:ascii="Arial" w:eastAsia="Times New Roman" w:hAnsi="Arial" w:cs="Arial"/>
          <w:bCs/>
          <w:sz w:val="24"/>
          <w:szCs w:val="24"/>
        </w:rPr>
        <w:t>cu caracteristicile stabili</w:t>
      </w:r>
      <w:r>
        <w:rPr>
          <w:rFonts w:ascii="Arial" w:eastAsia="Times New Roman" w:hAnsi="Arial" w:cs="Arial"/>
          <w:bCs/>
          <w:sz w:val="24"/>
          <w:szCs w:val="24"/>
        </w:rPr>
        <w:t>te prin  metodologia sintezei nțtionale,,Supravegherea calității apei de îmbăiere’’ și prin HGR nr.459/2002 ș</w:t>
      </w:r>
      <w:r w:rsidR="0015655E" w:rsidRPr="0015655E">
        <w:rPr>
          <w:rFonts w:ascii="Arial" w:eastAsia="Times New Roman" w:hAnsi="Arial" w:cs="Arial"/>
          <w:bCs/>
          <w:sz w:val="24"/>
          <w:szCs w:val="24"/>
        </w:rPr>
        <w:t>i HGR nr. 88/2004, pe</w:t>
      </w:r>
      <w:r>
        <w:rPr>
          <w:rFonts w:ascii="Arial" w:eastAsia="Times New Roman" w:hAnsi="Arial" w:cs="Arial"/>
          <w:bCs/>
          <w:sz w:val="24"/>
          <w:szCs w:val="24"/>
        </w:rPr>
        <w:t>ntru realizarea activității de supravegherea și de monitorizare a  calității apei.</w:t>
      </w:r>
    </w:p>
    <w:p w:rsidR="0015655E" w:rsidRPr="0015655E" w:rsidRDefault="005B6804" w:rsidP="005B6804">
      <w:pPr>
        <w:spacing w:after="0" w:line="240" w:lineRule="auto"/>
        <w:ind w:firstLine="708"/>
        <w:jc w:val="both"/>
        <w:rPr>
          <w:rFonts w:ascii="Arial" w:eastAsia="Times New Roman" w:hAnsi="Arial" w:cs="Arial"/>
          <w:bCs/>
          <w:sz w:val="24"/>
          <w:szCs w:val="24"/>
        </w:rPr>
      </w:pPr>
      <w:r>
        <w:rPr>
          <w:rFonts w:ascii="Arial" w:eastAsia="Times New Roman" w:hAnsi="Arial" w:cs="Arial"/>
          <w:bCs/>
          <w:sz w:val="24"/>
          <w:szCs w:val="24"/>
        </w:rPr>
        <w:t>Din informaț</w:t>
      </w:r>
      <w:r w:rsidR="0015655E" w:rsidRPr="0015655E">
        <w:rPr>
          <w:rFonts w:ascii="Arial" w:eastAsia="Times New Roman" w:hAnsi="Arial" w:cs="Arial"/>
          <w:bCs/>
          <w:sz w:val="24"/>
          <w:szCs w:val="24"/>
        </w:rPr>
        <w:t>iile anuale fur</w:t>
      </w:r>
      <w:r>
        <w:rPr>
          <w:rFonts w:ascii="Arial" w:eastAsia="Times New Roman" w:hAnsi="Arial" w:cs="Arial"/>
          <w:bCs/>
          <w:sz w:val="24"/>
          <w:szCs w:val="24"/>
        </w:rPr>
        <w:t>nizate de SGA Gorj a rezultat că în urma monitorizării apelor de suprafață nu au fost depaș</w:t>
      </w:r>
      <w:r w:rsidR="0015655E" w:rsidRPr="0015655E">
        <w:rPr>
          <w:rFonts w:ascii="Arial" w:eastAsia="Times New Roman" w:hAnsi="Arial" w:cs="Arial"/>
          <w:bCs/>
          <w:sz w:val="24"/>
          <w:szCs w:val="24"/>
        </w:rPr>
        <w:t>it</w:t>
      </w:r>
      <w:r>
        <w:rPr>
          <w:rFonts w:ascii="Arial" w:eastAsia="Times New Roman" w:hAnsi="Arial" w:cs="Arial"/>
          <w:bCs/>
          <w:sz w:val="24"/>
          <w:szCs w:val="24"/>
        </w:rPr>
        <w:t>e limitele claselor de calitate, pentru această</w:t>
      </w:r>
      <w:r w:rsidR="0015655E" w:rsidRPr="0015655E">
        <w:rPr>
          <w:rFonts w:ascii="Arial" w:eastAsia="Times New Roman" w:hAnsi="Arial" w:cs="Arial"/>
          <w:bCs/>
          <w:sz w:val="24"/>
          <w:szCs w:val="24"/>
        </w:rPr>
        <w:t xml:space="preserve"> ca</w:t>
      </w:r>
      <w:r>
        <w:rPr>
          <w:rFonts w:ascii="Arial" w:eastAsia="Times New Roman" w:hAnsi="Arial" w:cs="Arial"/>
          <w:bCs/>
          <w:sz w:val="24"/>
          <w:szCs w:val="24"/>
        </w:rPr>
        <w:t>tegorie de apă</w:t>
      </w:r>
      <w:r w:rsidR="0015655E" w:rsidRPr="0015655E">
        <w:rPr>
          <w:rFonts w:ascii="Arial" w:eastAsia="Times New Roman" w:hAnsi="Arial" w:cs="Arial"/>
          <w:bCs/>
          <w:sz w:val="24"/>
          <w:szCs w:val="24"/>
        </w:rPr>
        <w:t>.</w:t>
      </w:r>
    </w:p>
    <w:p w:rsidR="0015655E" w:rsidRPr="00242122" w:rsidRDefault="0015655E" w:rsidP="002967F0">
      <w:pPr>
        <w:rPr>
          <w:rFonts w:ascii="Arial" w:hAnsi="Arial" w:cs="Arial"/>
          <w:color w:val="FF0000"/>
        </w:rPr>
      </w:pPr>
    </w:p>
    <w:p w:rsidR="002967F0" w:rsidRPr="00242122" w:rsidRDefault="002967F0" w:rsidP="002967F0">
      <w:pPr>
        <w:jc w:val="both"/>
        <w:rPr>
          <w:rFonts w:ascii="Arial" w:hAnsi="Arial" w:cs="Arial"/>
          <w:b/>
          <w:sz w:val="24"/>
          <w:szCs w:val="24"/>
        </w:rPr>
      </w:pPr>
      <w:r w:rsidRPr="00242122">
        <w:rPr>
          <w:rFonts w:ascii="Arial" w:hAnsi="Arial" w:cs="Arial"/>
          <w:b/>
          <w:sz w:val="24"/>
          <w:szCs w:val="24"/>
        </w:rPr>
        <w:t>II.2.2. Factorii determinanţi şi presiunile care afectează starea de calitate a apelor</w:t>
      </w:r>
    </w:p>
    <w:p w:rsidR="002967F0" w:rsidRPr="00242122" w:rsidRDefault="002967F0" w:rsidP="002967F0">
      <w:pPr>
        <w:spacing w:before="120" w:after="120" w:line="240" w:lineRule="auto"/>
        <w:rPr>
          <w:rFonts w:ascii="Arial" w:hAnsi="Arial" w:cs="Arial"/>
          <w:b/>
          <w:sz w:val="24"/>
          <w:szCs w:val="24"/>
        </w:rPr>
      </w:pPr>
      <w:r w:rsidRPr="00242122">
        <w:rPr>
          <w:rFonts w:ascii="Arial" w:hAnsi="Arial" w:cs="Arial"/>
          <w:b/>
          <w:sz w:val="24"/>
          <w:szCs w:val="24"/>
          <w:lang w:val="fr-BE"/>
        </w:rPr>
        <w:t>II.2.2.1 Presiuni semnificative asupra resurselor de apă in Rom</w:t>
      </w:r>
      <w:r w:rsidRPr="00242122">
        <w:rPr>
          <w:rFonts w:ascii="Arial" w:hAnsi="Arial" w:cs="Arial"/>
          <w:b/>
          <w:sz w:val="24"/>
          <w:szCs w:val="24"/>
        </w:rPr>
        <w:t>ânia</w:t>
      </w:r>
    </w:p>
    <w:p w:rsidR="002967F0" w:rsidRPr="00242122" w:rsidRDefault="002967F0" w:rsidP="002967F0">
      <w:pPr>
        <w:spacing w:before="120" w:after="0" w:line="240" w:lineRule="auto"/>
        <w:rPr>
          <w:rFonts w:ascii="Arial" w:hAnsi="Arial" w:cs="Arial"/>
          <w:b/>
          <w:sz w:val="24"/>
          <w:szCs w:val="24"/>
        </w:rPr>
      </w:pP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În conformitate cu cerinţele Directivei Cadru Apă, se consideră presiuni semnificative presiunile care au ca rezultat neatingerea obiectivelor de mediu pentru corpul de apă studiat</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După modul în care funcţionează sistemul de recepţie al corpului de apă se poate cunoaşte dacă o presiune poate cauza un impact. Această abordare corelată cu lista tuturor presiunilor și cu caracteristicile particulare ale bazinului de recepţie conduce la identificarea presiunilor semnificative.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O alternativă este aceea ca înţelegerea conceptuală să fie sintetizată într-un set simplu de reguli care indică direct dacă o presiune este semnificativă. O abordare de acest tip este de a compara magnitudinea presiunii cu un criteriu sau o valoare limită relevantă pentru corpul de apă. În acest sens, Directivele Europene prezintă limitele peste care presiunile pot fi numite semnificative şi substanţele și grupele de substanţe care trebuie luate în considerare. Stabilirea presiunilor semnificative stă la baza identificării în continuare a legăturii dintre toate categoriile de presiuni – obiective – măsuri. S-a avut în vedere analiza presiunilor și a impactului pe baza utilizării conceptului DPSIR (Driver – Pressure – State – Impact - Response – Activitate Antropică – Presiune – Stare – Impact -  Răspuns).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Având în vedere noile cerințe ale Ghidului de raportare a Planului de Management, elaborat în cadrul CIS - DCA, s-a revizuit metodologia privind identificarea presiunilor semnificative şi evaluarea impactului asupra corpurilor de apă de suprafaţă pentru aplicare în cadrul  celui de-al treilea ciclu de planificare.Pentru proiectul Planului de Management actualizat 2021, încadrarea presiunilor s-a realizat pe baza tipurilor de presiuni recomandate de Ghidul EU de raportare a Planului de Management actualizat 2021, respectiv: presiuni punctiforme, difuze, alterări hidromorfologice (inclusiv prelevări </w:t>
      </w:r>
      <w:r w:rsidRPr="00242122">
        <w:rPr>
          <w:rFonts w:ascii="Arial" w:hAnsi="Arial" w:cs="Arial"/>
          <w:sz w:val="24"/>
          <w:szCs w:val="24"/>
        </w:rPr>
        <w:lastRenderedPageBreak/>
        <w:t>de apă), presiuni cantitative pentru apele subterane, alte presiuni antropice, presiuni necunoscute etc.</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Aplicarea setului de criterii a condus la identificarea presiunilor semnificative punctiforme, având în vedere evacuările de ape epurate sau neepurate în resursele de apă de suprafaţă:</w:t>
      </w:r>
    </w:p>
    <w:p w:rsidR="002967F0" w:rsidRPr="00242122" w:rsidRDefault="002967F0" w:rsidP="00B12004">
      <w:pPr>
        <w:numPr>
          <w:ilvl w:val="0"/>
          <w:numId w:val="14"/>
        </w:numPr>
        <w:spacing w:before="120" w:after="120" w:line="240" w:lineRule="auto"/>
        <w:jc w:val="both"/>
        <w:rPr>
          <w:rFonts w:ascii="Arial" w:hAnsi="Arial" w:cs="Arial"/>
          <w:bCs/>
          <w:sz w:val="24"/>
          <w:szCs w:val="24"/>
        </w:rPr>
      </w:pPr>
      <w:r w:rsidRPr="00242122">
        <w:rPr>
          <w:rFonts w:ascii="Arial" w:hAnsi="Arial" w:cs="Arial"/>
          <w:b/>
          <w:bCs/>
          <w:i/>
          <w:sz w:val="24"/>
          <w:szCs w:val="24"/>
        </w:rPr>
        <w:t>aglomerările umane</w:t>
      </w:r>
      <w:r w:rsidRPr="00242122">
        <w:rPr>
          <w:rFonts w:ascii="Arial" w:hAnsi="Arial" w:cs="Arial"/>
          <w:bCs/>
          <w:i/>
          <w:sz w:val="24"/>
          <w:szCs w:val="24"/>
        </w:rPr>
        <w:t xml:space="preserve"> (</w:t>
      </w:r>
      <w:r w:rsidRPr="00242122">
        <w:rPr>
          <w:rFonts w:ascii="Arial" w:hAnsi="Arial" w:cs="Arial"/>
          <w:bCs/>
          <w:sz w:val="24"/>
          <w:szCs w:val="24"/>
        </w:rPr>
        <w:t>identificate în conformitate cu cerinţele Directivei privind epurarea apelor uzate urbane - Directiva 91/271/EEC), ce au peste 2000 locuitori echivalenţi (l.e.) care au sisteme de colectare a apelor uzate cu sau fără staţii de epurare şi care evacuează în resursele de apă; de asemenea, aglomerările &lt;</w:t>
      </w:r>
      <w:smartTag w:uri="urn:schemas-microsoft-com:office:smarttags" w:element="metricconverter">
        <w:smartTagPr>
          <w:attr w:name="ProductID" w:val="2000 l"/>
        </w:smartTagPr>
        <w:r w:rsidRPr="00242122">
          <w:rPr>
            <w:rFonts w:ascii="Arial" w:hAnsi="Arial" w:cs="Arial"/>
            <w:bCs/>
            <w:sz w:val="24"/>
            <w:szCs w:val="24"/>
          </w:rPr>
          <w:t>2000 l</w:t>
        </w:r>
      </w:smartTag>
      <w:r w:rsidRPr="00242122">
        <w:rPr>
          <w:rFonts w:ascii="Arial" w:hAnsi="Arial" w:cs="Arial"/>
          <w:bCs/>
          <w:sz w:val="24"/>
          <w:szCs w:val="24"/>
        </w:rPr>
        <w:t xml:space="preserve">.e. sunt considerate surse semnificative punctiforme dacă au sistem de canalizare centralizat; de asemenea, sunt considerate surse semnificative de poluare, aglomerările umane cu sistem de canalizare unitar care nu au capacitatea de a colecta şi epura amestecul de ape uzate şi ape pluviale în perioadele cu ploi intense; </w:t>
      </w:r>
    </w:p>
    <w:p w:rsidR="002967F0" w:rsidRPr="00242122" w:rsidRDefault="002967F0" w:rsidP="00B12004">
      <w:pPr>
        <w:pStyle w:val="ListParagraph"/>
        <w:numPr>
          <w:ilvl w:val="0"/>
          <w:numId w:val="12"/>
        </w:numPr>
        <w:spacing w:before="120" w:after="120" w:line="240" w:lineRule="auto"/>
        <w:ind w:left="284" w:hanging="284"/>
        <w:jc w:val="both"/>
        <w:rPr>
          <w:rFonts w:ascii="Arial" w:hAnsi="Arial" w:cs="Arial"/>
          <w:b/>
          <w:i/>
          <w:sz w:val="24"/>
          <w:szCs w:val="24"/>
        </w:rPr>
      </w:pPr>
      <w:r w:rsidRPr="00242122">
        <w:rPr>
          <w:rFonts w:ascii="Arial" w:hAnsi="Arial" w:cs="Arial"/>
          <w:b/>
          <w:i/>
          <w:sz w:val="24"/>
          <w:szCs w:val="24"/>
        </w:rPr>
        <w:t xml:space="preserve">industria:  </w:t>
      </w:r>
    </w:p>
    <w:p w:rsidR="002967F0" w:rsidRPr="00242122" w:rsidRDefault="002967F0" w:rsidP="00B12004">
      <w:pPr>
        <w:pStyle w:val="ListParagraph"/>
        <w:numPr>
          <w:ilvl w:val="0"/>
          <w:numId w:val="15"/>
        </w:numPr>
        <w:spacing w:before="120" w:after="120" w:line="240" w:lineRule="auto"/>
        <w:ind w:left="567" w:hanging="283"/>
        <w:jc w:val="both"/>
        <w:rPr>
          <w:rFonts w:ascii="Arial" w:hAnsi="Arial" w:cs="Arial"/>
          <w:sz w:val="24"/>
          <w:szCs w:val="24"/>
        </w:rPr>
      </w:pPr>
      <w:r w:rsidRPr="00242122">
        <w:rPr>
          <w:rFonts w:ascii="Arial" w:hAnsi="Arial" w:cs="Arial"/>
          <w:sz w:val="24"/>
          <w:szCs w:val="24"/>
        </w:rPr>
        <w:t>instalaţiile care intră sub incidenţa Directiva 2010/75/CEE privind emisiile industriale (Directiva IED), transpusă în legislația națională prin Legea nr. 278/2013 cu modificările și completările ulterioare - inclusiv unităţile care sunt inventariate în Registrul Polunaţilor Emişi şi Transferaţi (E-PRTR), care sunt relevante pentru factorul de mediu apă;</w:t>
      </w:r>
    </w:p>
    <w:p w:rsidR="002967F0" w:rsidRPr="00242122" w:rsidRDefault="002967F0" w:rsidP="00B12004">
      <w:pPr>
        <w:pStyle w:val="ListParagraph"/>
        <w:numPr>
          <w:ilvl w:val="0"/>
          <w:numId w:val="15"/>
        </w:numPr>
        <w:spacing w:before="120" w:after="120" w:line="240" w:lineRule="auto"/>
        <w:ind w:left="567" w:hanging="283"/>
        <w:jc w:val="both"/>
        <w:rPr>
          <w:rFonts w:ascii="Arial" w:hAnsi="Arial" w:cs="Arial"/>
          <w:sz w:val="24"/>
          <w:szCs w:val="24"/>
        </w:rPr>
      </w:pPr>
      <w:r w:rsidRPr="00242122">
        <w:rPr>
          <w:rFonts w:ascii="Arial" w:hAnsi="Arial" w:cs="Arial"/>
          <w:sz w:val="24"/>
          <w:szCs w:val="24"/>
        </w:rPr>
        <w:t>unităţile care evacuează substanţe prioritare/prioritar periculoase peste limitele legislaţiei în vigoare (în conformitate cu cerinţele Directivei 2008/105/CE modificată de Directiva 2013/39/UE, transpusă în legislația națională prin HG 570/2016 privind aprobarea Programului de eliminare treptată a evacuărilor, emisiilor şi pierderilor de substanţe prioritar periculoase şi alte măsuri pentru principalii poluanţi)</w:t>
      </w:r>
      <w:r w:rsidRPr="00242122">
        <w:rPr>
          <w:rFonts w:ascii="Arial" w:hAnsi="Arial" w:cs="Arial"/>
          <w:bCs/>
        </w:rPr>
        <w:t xml:space="preserve">, </w:t>
      </w:r>
      <w:r w:rsidRPr="00242122">
        <w:rPr>
          <w:rFonts w:ascii="Arial" w:hAnsi="Arial" w:cs="Arial"/>
          <w:bCs/>
          <w:sz w:val="24"/>
          <w:szCs w:val="24"/>
        </w:rPr>
        <w:t>în mediul acvatic al Comunităţii</w:t>
      </w:r>
      <w:r w:rsidRPr="00242122">
        <w:rPr>
          <w:rFonts w:ascii="Arial" w:hAnsi="Arial" w:cs="Arial"/>
          <w:sz w:val="24"/>
          <w:szCs w:val="24"/>
        </w:rPr>
        <w:t>;</w:t>
      </w:r>
    </w:p>
    <w:p w:rsidR="002967F0" w:rsidRPr="00242122" w:rsidRDefault="002967F0" w:rsidP="00B12004">
      <w:pPr>
        <w:pStyle w:val="ListParagraph"/>
        <w:numPr>
          <w:ilvl w:val="0"/>
          <w:numId w:val="15"/>
        </w:numPr>
        <w:spacing w:before="120" w:after="120" w:line="240" w:lineRule="auto"/>
        <w:ind w:left="567" w:hanging="283"/>
        <w:jc w:val="both"/>
        <w:rPr>
          <w:rFonts w:ascii="Arial" w:hAnsi="Arial" w:cs="Arial"/>
          <w:i/>
          <w:sz w:val="24"/>
          <w:szCs w:val="24"/>
        </w:rPr>
      </w:pPr>
      <w:r w:rsidRPr="00242122">
        <w:rPr>
          <w:rFonts w:ascii="Arial" w:hAnsi="Arial" w:cs="Arial"/>
          <w:sz w:val="24"/>
          <w:szCs w:val="24"/>
        </w:rPr>
        <w:t>alte unităţi care evacuează în resursele de apă şi care nu se conformează legislaţiei în vigoare privind factorul de mediu apă;</w:t>
      </w:r>
    </w:p>
    <w:p w:rsidR="002967F0" w:rsidRPr="00242122" w:rsidRDefault="002967F0" w:rsidP="00B12004">
      <w:pPr>
        <w:pStyle w:val="ListParagraph"/>
        <w:numPr>
          <w:ilvl w:val="0"/>
          <w:numId w:val="12"/>
        </w:numPr>
        <w:spacing w:before="120" w:after="120" w:line="240" w:lineRule="auto"/>
        <w:ind w:left="284" w:hanging="284"/>
        <w:jc w:val="both"/>
        <w:rPr>
          <w:rFonts w:ascii="Arial" w:hAnsi="Arial" w:cs="Arial"/>
          <w:b/>
          <w:i/>
          <w:sz w:val="24"/>
          <w:szCs w:val="24"/>
        </w:rPr>
      </w:pPr>
      <w:r w:rsidRPr="00242122">
        <w:rPr>
          <w:rFonts w:ascii="Arial" w:hAnsi="Arial" w:cs="Arial"/>
          <w:b/>
          <w:i/>
          <w:sz w:val="24"/>
          <w:szCs w:val="24"/>
        </w:rPr>
        <w:t>agricultura:</w:t>
      </w:r>
    </w:p>
    <w:p w:rsidR="002967F0" w:rsidRPr="00242122" w:rsidRDefault="002967F0" w:rsidP="00B12004">
      <w:pPr>
        <w:numPr>
          <w:ilvl w:val="0"/>
          <w:numId w:val="16"/>
        </w:numPr>
        <w:spacing w:before="120" w:after="120" w:line="240" w:lineRule="auto"/>
        <w:jc w:val="both"/>
        <w:rPr>
          <w:rFonts w:ascii="Arial" w:hAnsi="Arial" w:cs="Arial"/>
          <w:sz w:val="24"/>
          <w:szCs w:val="24"/>
        </w:rPr>
      </w:pPr>
      <w:r w:rsidRPr="00242122">
        <w:rPr>
          <w:rFonts w:ascii="Arial" w:hAnsi="Arial" w:cs="Arial"/>
          <w:sz w:val="24"/>
          <w:szCs w:val="24"/>
        </w:rPr>
        <w:t>fermele zootehnice care intră sub incidenţa Directivei 2010/75/CEE privind emisiile industriale (Directiva IED),  transpusă în legislația națională prin Legea nr. 278/2013, cu modificările și completările ulterioare - inclusiv unităţile care sunt inventariate în Registrul Polunaţilor Emişi şi Transferaţi (E-PRTR), care sunt relevante pentru factorul de mediu apă;</w:t>
      </w:r>
    </w:p>
    <w:p w:rsidR="002967F0" w:rsidRPr="00242122" w:rsidRDefault="002967F0" w:rsidP="00B12004">
      <w:pPr>
        <w:numPr>
          <w:ilvl w:val="0"/>
          <w:numId w:val="16"/>
        </w:numPr>
        <w:spacing w:before="120" w:after="120" w:line="240" w:lineRule="auto"/>
        <w:jc w:val="both"/>
        <w:rPr>
          <w:rFonts w:ascii="Arial" w:hAnsi="Arial" w:cs="Arial"/>
          <w:sz w:val="24"/>
          <w:szCs w:val="24"/>
        </w:rPr>
      </w:pPr>
      <w:r w:rsidRPr="00242122">
        <w:rPr>
          <w:rFonts w:ascii="Arial" w:hAnsi="Arial" w:cs="Arial"/>
          <w:sz w:val="24"/>
          <w:szCs w:val="24"/>
        </w:rPr>
        <w:t>fermele care evacuează substanţe prioritare/prioritar periculoase peste limitele legislaţiei în vigoare (în conformitate cu cerinţele Directivei 2008/105/CE modificată prin Directiva 2013/39/UE, transpusă în legislația națională prin HG 570/2016, privind aprobarea Programului de eliminare treptată a evacuărilor, emisiilor şi pierderilor de substanţe prioritar periculoase şi alte măsuri pentru principalii poluanţi) în mediul acvatic al Comunităţii);</w:t>
      </w:r>
    </w:p>
    <w:p w:rsidR="002967F0" w:rsidRPr="00242122" w:rsidRDefault="002967F0" w:rsidP="00B12004">
      <w:pPr>
        <w:numPr>
          <w:ilvl w:val="0"/>
          <w:numId w:val="16"/>
        </w:numPr>
        <w:spacing w:before="120" w:after="120" w:line="240" w:lineRule="auto"/>
        <w:jc w:val="both"/>
        <w:rPr>
          <w:rFonts w:ascii="Arial" w:hAnsi="Arial" w:cs="Arial"/>
          <w:sz w:val="24"/>
          <w:szCs w:val="24"/>
        </w:rPr>
      </w:pPr>
      <w:r w:rsidRPr="00242122">
        <w:rPr>
          <w:rFonts w:ascii="Arial" w:hAnsi="Arial" w:cs="Arial"/>
          <w:sz w:val="24"/>
          <w:szCs w:val="24"/>
        </w:rPr>
        <w:t>alte unităţi agricole cu evacuare punctiformă şi care nu se conformează legislaţiei în vigoare privind factorul de mediu apă;</w:t>
      </w:r>
    </w:p>
    <w:p w:rsidR="002967F0" w:rsidRPr="00242122" w:rsidRDefault="002967F0" w:rsidP="002967F0">
      <w:pPr>
        <w:spacing w:before="120" w:after="120" w:line="240" w:lineRule="auto"/>
        <w:ind w:firstLine="567"/>
        <w:jc w:val="both"/>
        <w:rPr>
          <w:rFonts w:ascii="Arial" w:hAnsi="Arial" w:cs="Arial"/>
          <w:b/>
          <w:sz w:val="24"/>
          <w:szCs w:val="24"/>
        </w:rPr>
      </w:pPr>
      <w:r w:rsidRPr="00242122">
        <w:rPr>
          <w:rFonts w:ascii="Arial" w:hAnsi="Arial" w:cs="Arial"/>
          <w:sz w:val="24"/>
          <w:szCs w:val="24"/>
        </w:rPr>
        <w:t xml:space="preserve">În proiectul Planului Național de Management actualizat 2021 au fost inventariate la nivel naţional un număr total de </w:t>
      </w:r>
      <w:r w:rsidRPr="00242122">
        <w:rPr>
          <w:rFonts w:ascii="Arial" w:hAnsi="Arial" w:cs="Arial"/>
          <w:b/>
          <w:bCs/>
          <w:sz w:val="24"/>
          <w:szCs w:val="24"/>
        </w:rPr>
        <w:t xml:space="preserve">3.996 </w:t>
      </w:r>
      <w:r w:rsidRPr="00242122">
        <w:rPr>
          <w:rFonts w:ascii="Arial" w:hAnsi="Arial" w:cs="Arial"/>
          <w:sz w:val="24"/>
          <w:szCs w:val="24"/>
        </w:rPr>
        <w:t xml:space="preserve">utilizatori de apă care folosesc resursele de apă de suprafaţă ca receptor al apelor evacuate, din care, ținând seama de criteriile menţionate mai sus, au rezultat un număr total de </w:t>
      </w:r>
      <w:r w:rsidRPr="00242122">
        <w:rPr>
          <w:rFonts w:ascii="Arial" w:hAnsi="Arial" w:cs="Arial"/>
          <w:b/>
          <w:sz w:val="24"/>
          <w:szCs w:val="24"/>
        </w:rPr>
        <w:t>2.346   surse punctiforme potențial semnificative (1.065  urbane, 816 industriale, 24 agricole, 252 acvacultură și 189 alte presiuni).</w:t>
      </w:r>
    </w:p>
    <w:p w:rsidR="002967F0" w:rsidRPr="00242122" w:rsidRDefault="002967F0" w:rsidP="002967F0">
      <w:pPr>
        <w:spacing w:after="0" w:line="240" w:lineRule="auto"/>
        <w:ind w:firstLine="567"/>
        <w:jc w:val="both"/>
        <w:rPr>
          <w:rFonts w:ascii="Arial" w:hAnsi="Arial" w:cs="Arial"/>
          <w:b/>
          <w:sz w:val="24"/>
          <w:szCs w:val="24"/>
        </w:rPr>
      </w:pPr>
    </w:p>
    <w:p w:rsidR="002967F0" w:rsidRPr="00242122" w:rsidRDefault="002967F0" w:rsidP="002967F0">
      <w:pPr>
        <w:spacing w:after="0" w:line="240" w:lineRule="auto"/>
        <w:ind w:firstLine="567"/>
        <w:jc w:val="center"/>
        <w:rPr>
          <w:rFonts w:ascii="Arial" w:hAnsi="Arial" w:cs="Arial"/>
          <w:b/>
          <w:sz w:val="24"/>
          <w:szCs w:val="24"/>
        </w:rPr>
      </w:pPr>
      <w:r w:rsidRPr="00242122">
        <w:rPr>
          <w:rFonts w:ascii="Arial" w:hAnsi="Arial" w:cs="Arial"/>
          <w:b/>
          <w:sz w:val="24"/>
          <w:szCs w:val="24"/>
        </w:rPr>
        <w:lastRenderedPageBreak/>
        <w:t xml:space="preserve">Ponderea presiunilor punctiforme potențial semnificative </w:t>
      </w:r>
    </w:p>
    <w:p w:rsidR="002967F0" w:rsidRPr="00242122" w:rsidRDefault="002967F0" w:rsidP="002967F0">
      <w:pPr>
        <w:spacing w:before="120" w:after="120" w:line="240" w:lineRule="auto"/>
        <w:jc w:val="center"/>
        <w:rPr>
          <w:rFonts w:ascii="Arial" w:hAnsi="Arial" w:cs="Arial"/>
          <w:b/>
          <w:sz w:val="24"/>
          <w:szCs w:val="24"/>
        </w:rPr>
      </w:pPr>
      <w:r w:rsidRPr="00242122">
        <w:rPr>
          <w:rFonts w:ascii="Arial" w:hAnsi="Arial" w:cs="Arial"/>
          <w:noProof/>
          <w:lang w:eastAsia="ro-RO"/>
        </w:rPr>
        <w:drawing>
          <wp:inline distT="0" distB="0" distL="0" distR="0" wp14:anchorId="630265ED" wp14:editId="6E0D130E">
            <wp:extent cx="4519295" cy="2616835"/>
            <wp:effectExtent l="0" t="0" r="0" b="0"/>
            <wp:docPr id="13" name="Chart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2967F0" w:rsidRPr="00242122" w:rsidRDefault="002967F0" w:rsidP="002967F0">
      <w:pPr>
        <w:spacing w:before="120" w:after="120" w:line="240" w:lineRule="auto"/>
        <w:ind w:firstLine="6663"/>
        <w:rPr>
          <w:rFonts w:ascii="Arial" w:hAnsi="Arial" w:cs="Arial"/>
          <w:b/>
          <w:sz w:val="24"/>
          <w:szCs w:val="24"/>
        </w:rPr>
      </w:pPr>
      <w:r w:rsidRPr="00242122">
        <w:rPr>
          <w:rFonts w:ascii="Arial" w:hAnsi="Arial" w:cs="Arial"/>
          <w:b/>
          <w:sz w:val="24"/>
          <w:szCs w:val="24"/>
        </w:rPr>
        <w:t>Figura II.2.2.1.1</w:t>
      </w:r>
    </w:p>
    <w:p w:rsidR="002967F0" w:rsidRPr="00242122" w:rsidRDefault="002967F0" w:rsidP="002967F0">
      <w:pPr>
        <w:spacing w:before="120" w:after="120" w:line="240" w:lineRule="auto"/>
        <w:jc w:val="both"/>
        <w:rPr>
          <w:rFonts w:ascii="Arial" w:hAnsi="Arial" w:cs="Arial"/>
          <w:i/>
          <w:sz w:val="24"/>
          <w:szCs w:val="24"/>
        </w:rPr>
      </w:pPr>
      <w:r w:rsidRPr="00242122">
        <w:rPr>
          <w:rFonts w:ascii="Arial" w:hAnsi="Arial" w:cs="Arial"/>
          <w:i/>
          <w:sz w:val="24"/>
          <w:szCs w:val="24"/>
        </w:rPr>
        <w:t>(Sursa datelor: Administrația Națională „Apele Române”, Planul Național de Management actualizat 2021</w:t>
      </w:r>
      <w:r w:rsidRPr="00242122">
        <w:rPr>
          <w:rFonts w:ascii="Arial" w:hAnsi="Arial" w:cs="Arial"/>
          <w:i/>
        </w:rPr>
        <w:t>)</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Se constată că ponderea cea mai mare a presiunilor punctiforme este reprezentată de aglomerări umane, respectiv apele uzate evacuate de la sistemele de colectare și epurare a aglomerărilor urbane.</w:t>
      </w:r>
    </w:p>
    <w:p w:rsidR="002967F0" w:rsidRPr="00242122" w:rsidRDefault="002967F0" w:rsidP="002967F0">
      <w:pPr>
        <w:spacing w:before="120" w:after="0" w:line="240" w:lineRule="auto"/>
        <w:ind w:firstLine="567"/>
        <w:jc w:val="both"/>
        <w:rPr>
          <w:rFonts w:ascii="Arial" w:hAnsi="Arial" w:cs="Arial"/>
          <w:sz w:val="24"/>
          <w:szCs w:val="24"/>
        </w:rPr>
      </w:pPr>
      <w:r w:rsidRPr="00242122">
        <w:rPr>
          <w:rFonts w:ascii="Arial" w:hAnsi="Arial" w:cs="Arial"/>
          <w:sz w:val="24"/>
          <w:szCs w:val="24"/>
        </w:rPr>
        <w:t xml:space="preserve">În ceea ce priveşte </w:t>
      </w:r>
      <w:r w:rsidRPr="00242122">
        <w:rPr>
          <w:rFonts w:ascii="Arial" w:hAnsi="Arial" w:cs="Arial"/>
          <w:b/>
          <w:i/>
          <w:sz w:val="24"/>
          <w:szCs w:val="24"/>
        </w:rPr>
        <w:t>sursele difuze de poluare semnificativă</w:t>
      </w:r>
      <w:r w:rsidRPr="00242122">
        <w:rPr>
          <w:rFonts w:ascii="Arial" w:hAnsi="Arial" w:cs="Arial"/>
          <w:sz w:val="24"/>
          <w:szCs w:val="24"/>
        </w:rPr>
        <w:t>, identificate cu referire la modul de utilizare al terenului, se pot menţiona:</w:t>
      </w:r>
    </w:p>
    <w:p w:rsidR="002967F0" w:rsidRPr="00242122" w:rsidRDefault="002967F0" w:rsidP="00B12004">
      <w:pPr>
        <w:pStyle w:val="ListParagraph"/>
        <w:numPr>
          <w:ilvl w:val="0"/>
          <w:numId w:val="13"/>
        </w:numPr>
        <w:spacing w:after="0" w:line="240" w:lineRule="auto"/>
        <w:ind w:left="288" w:hanging="288"/>
        <w:jc w:val="both"/>
        <w:rPr>
          <w:rFonts w:ascii="Arial" w:hAnsi="Arial" w:cs="Arial"/>
          <w:sz w:val="24"/>
          <w:szCs w:val="24"/>
        </w:rPr>
      </w:pPr>
      <w:r w:rsidRPr="00242122">
        <w:rPr>
          <w:rFonts w:ascii="Arial" w:hAnsi="Arial" w:cs="Arial"/>
          <w:sz w:val="24"/>
          <w:szCs w:val="24"/>
        </w:rPr>
        <w:t>aglomerările umane/localităţile care nu au sisteme de colectare a apelor uzate sau sisteme corespunzătoare de colectare şi eliminare a nămolului din staţiile de epurare, precum şi localităţile care au depozite de deşeuri menajere neconforme;</w:t>
      </w:r>
    </w:p>
    <w:p w:rsidR="002967F0" w:rsidRPr="00242122" w:rsidRDefault="002967F0" w:rsidP="00B12004">
      <w:pPr>
        <w:pStyle w:val="ListParagraph"/>
        <w:numPr>
          <w:ilvl w:val="0"/>
          <w:numId w:val="13"/>
        </w:numPr>
        <w:spacing w:before="120" w:after="120" w:line="240" w:lineRule="auto"/>
        <w:ind w:left="284" w:hanging="284"/>
        <w:jc w:val="both"/>
        <w:rPr>
          <w:rFonts w:ascii="Arial" w:hAnsi="Arial" w:cs="Arial"/>
          <w:sz w:val="24"/>
          <w:szCs w:val="24"/>
        </w:rPr>
      </w:pPr>
      <w:r w:rsidRPr="00242122">
        <w:rPr>
          <w:rFonts w:ascii="Arial" w:hAnsi="Arial" w:cs="Arial"/>
          <w:sz w:val="24"/>
          <w:szCs w:val="24"/>
        </w:rPr>
        <w:t>agricultura: ferme agro-zootehnice care nu au sisteme corespunzătoare de stocare/utilizare a dejecţiilor, localităţile care nu au sisteme de colectare centralizate/platforme individuale a gunoiului de grajd, unităţi care utilizează pesticide şi nu se conformează legislaţiei în vigoare, alte unităţi/activităţi agricole care pot conduce la emisii difuze semnificative;</w:t>
      </w:r>
    </w:p>
    <w:p w:rsidR="002967F0" w:rsidRPr="00242122" w:rsidRDefault="002967F0" w:rsidP="00B12004">
      <w:pPr>
        <w:pStyle w:val="ListParagraph"/>
        <w:numPr>
          <w:ilvl w:val="0"/>
          <w:numId w:val="13"/>
        </w:numPr>
        <w:spacing w:after="0" w:line="240" w:lineRule="auto"/>
        <w:ind w:left="284" w:hanging="284"/>
        <w:jc w:val="both"/>
        <w:rPr>
          <w:rFonts w:ascii="Arial" w:hAnsi="Arial" w:cs="Arial"/>
          <w:sz w:val="24"/>
          <w:szCs w:val="24"/>
        </w:rPr>
      </w:pPr>
      <w:r w:rsidRPr="00242122">
        <w:rPr>
          <w:rFonts w:ascii="Arial" w:hAnsi="Arial" w:cs="Arial"/>
          <w:sz w:val="24"/>
          <w:szCs w:val="24"/>
        </w:rPr>
        <w:t>depozitele de materii prime, produse finite, produse auxiliare, stocare de deşeuri neconforme, unităţi ce produc poluări accidentale difuze, situri industriale abandonate.</w:t>
      </w:r>
    </w:p>
    <w:p w:rsidR="002967F0" w:rsidRPr="00242122" w:rsidRDefault="002967F0" w:rsidP="002967F0">
      <w:pPr>
        <w:spacing w:after="0" w:line="240" w:lineRule="auto"/>
        <w:ind w:firstLine="567"/>
        <w:jc w:val="both"/>
        <w:rPr>
          <w:rFonts w:ascii="Arial" w:hAnsi="Arial" w:cs="Arial"/>
          <w:sz w:val="24"/>
          <w:szCs w:val="24"/>
        </w:rPr>
      </w:pPr>
      <w:r w:rsidRPr="00242122">
        <w:rPr>
          <w:rFonts w:ascii="Arial" w:hAnsi="Arial" w:cs="Arial"/>
          <w:sz w:val="24"/>
          <w:szCs w:val="24"/>
        </w:rPr>
        <w:t xml:space="preserve">Presiunile difuze provenite din activităţile agricole sunt dificil de cuantificat. Totuşi, cantităţile de poluanţi emise de sursele difuze de poluare pot fi estimate prin aplicarea unor modele matematice.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Modelul MONERIS (MOdelling Nutrient Emissions in RIver Systems) este folosit pentru estimarea emisiilor de nutrienți provenind de la sursele de poluare punctiforme şi difuze. MONERIS necesită o varietate de date de intrare cuprinzând informații despre condiţiile hidro-climatice, geo-fizice și administrativ-demografice, care au fost actualizate pentru perioada de referință 2015-2018. Astfel, modelul poate estima distribuția regională a emisiilor de nutrienți care intră în apele de suprafață la scară de sub-bazin și poate determina cele mai importante surse și căi ale acestora cu o acuratețe rezonabilă. Mai mult, ținând cont de principalele procese de reținere în flux, pot fi calculate încărcările râului la capătul bazinului hidrografic, care pot fi apoi utilizate pentru calibrarea și validarea modelului.</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În cazul surselor de poluare difuze, estimarea încărcărilor cu poluanţi a apelor este mai dificilă decât în cazul surselor punctiforme, având în vedere modul diferit de </w:t>
      </w:r>
      <w:r w:rsidRPr="00242122">
        <w:rPr>
          <w:rFonts w:ascii="Arial" w:hAnsi="Arial" w:cs="Arial"/>
          <w:sz w:val="24"/>
          <w:szCs w:val="24"/>
        </w:rPr>
        <w:lastRenderedPageBreak/>
        <w:t>producere a poluării. Pe lângă emisiile punctiforme, modelul MONERIS ia în considerare următoarele moduri (căi) de producere a poluării difuze:</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depuneri din atmosferă (pe apele de suprafață);</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scurgerea de suprafaţă;</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scurgerea din zone impermeabile orăşeneşti;</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eroziunea solului/transportul sedimentelor;</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scurgerea din reţelele de drenaje;</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scurgerea subterană.</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Rezultatele aplicării modelului îmbunătățit la nivelul districtului internaţional al Dunării, utilizând date actualizate pentru perioada de referință 2015-2018, au fost incluse atât în Planul de Management al Districtului Hidrografic Internațional al Fluviului Dunărea (2021) , cât și în Planul Național de Management actualizat 2021.</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În </w:t>
      </w:r>
      <w:r w:rsidRPr="00242122">
        <w:rPr>
          <w:rFonts w:ascii="Arial" w:hAnsi="Arial" w:cs="Arial"/>
          <w:i/>
          <w:sz w:val="24"/>
          <w:szCs w:val="24"/>
        </w:rPr>
        <w:t>Figurile II.2.2.1.2 şi II.2.2.1.3</w:t>
      </w:r>
      <w:r w:rsidRPr="00242122">
        <w:rPr>
          <w:rFonts w:ascii="Arial" w:hAnsi="Arial" w:cs="Arial"/>
          <w:sz w:val="24"/>
          <w:szCs w:val="24"/>
        </w:rPr>
        <w:t xml:space="preserve"> se prezintă contribuţia modurilor de producere a poluării difuze cu azot şi fosfor pentru anul 2012, având în vedere căile prezentate mai sus. </w:t>
      </w:r>
    </w:p>
    <w:p w:rsidR="002967F0" w:rsidRPr="00242122" w:rsidRDefault="002967F0" w:rsidP="002967F0">
      <w:pPr>
        <w:spacing w:before="120" w:after="120" w:line="240" w:lineRule="auto"/>
        <w:jc w:val="center"/>
        <w:rPr>
          <w:rFonts w:ascii="Arial" w:hAnsi="Arial" w:cs="Arial"/>
          <w:b/>
          <w:i/>
          <w:sz w:val="24"/>
          <w:szCs w:val="24"/>
        </w:rPr>
      </w:pPr>
      <w:r w:rsidRPr="00242122">
        <w:rPr>
          <w:rFonts w:ascii="Arial" w:hAnsi="Arial" w:cs="Arial"/>
          <w:b/>
          <w:i/>
          <w:sz w:val="24"/>
          <w:szCs w:val="24"/>
        </w:rPr>
        <w:t>Moduri (căi) de producere a poluării difuze cu azot</w:t>
      </w:r>
    </w:p>
    <w:p w:rsidR="002967F0" w:rsidRPr="00242122" w:rsidRDefault="002967F0" w:rsidP="002967F0">
      <w:pPr>
        <w:spacing w:before="120" w:after="120" w:line="240" w:lineRule="auto"/>
        <w:jc w:val="center"/>
        <w:rPr>
          <w:rFonts w:ascii="Arial" w:eastAsia="Times New Roman" w:hAnsi="Arial" w:cs="Arial"/>
          <w:noProof/>
          <w:sz w:val="24"/>
          <w:szCs w:val="24"/>
          <w:lang w:val="en-GB" w:eastAsia="en-GB"/>
        </w:rPr>
      </w:pPr>
      <w:r w:rsidRPr="00242122">
        <w:rPr>
          <w:rFonts w:ascii="Arial" w:eastAsia="Times New Roman" w:hAnsi="Arial" w:cs="Arial"/>
          <w:noProof/>
          <w:sz w:val="24"/>
          <w:szCs w:val="24"/>
          <w:lang w:eastAsia="ro-RO"/>
        </w:rPr>
        <w:drawing>
          <wp:inline distT="0" distB="0" distL="0" distR="0" wp14:anchorId="06A0F7C0" wp14:editId="684D375F">
            <wp:extent cx="4602480" cy="33369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02480" cy="3336925"/>
                    </a:xfrm>
                    <a:prstGeom prst="rect">
                      <a:avLst/>
                    </a:prstGeom>
                    <a:noFill/>
                  </pic:spPr>
                </pic:pic>
              </a:graphicData>
            </a:graphic>
          </wp:inline>
        </w:drawing>
      </w:r>
    </w:p>
    <w:p w:rsidR="002967F0" w:rsidRPr="00242122" w:rsidRDefault="002967F0" w:rsidP="002967F0">
      <w:pPr>
        <w:spacing w:before="120" w:after="120" w:line="240" w:lineRule="auto"/>
        <w:ind w:firstLine="6946"/>
        <w:jc w:val="both"/>
        <w:rPr>
          <w:rFonts w:ascii="Arial" w:hAnsi="Arial" w:cs="Arial"/>
          <w:b/>
          <w:sz w:val="24"/>
          <w:szCs w:val="24"/>
        </w:rPr>
      </w:pPr>
      <w:r w:rsidRPr="00242122">
        <w:rPr>
          <w:rFonts w:ascii="Arial" w:hAnsi="Arial" w:cs="Arial"/>
          <w:b/>
          <w:sz w:val="24"/>
          <w:szCs w:val="24"/>
        </w:rPr>
        <w:t>Figura II.2.2.1.2</w:t>
      </w:r>
    </w:p>
    <w:p w:rsidR="002967F0" w:rsidRPr="00242122" w:rsidRDefault="002967F0" w:rsidP="002967F0">
      <w:pPr>
        <w:spacing w:before="120" w:after="120" w:line="240" w:lineRule="auto"/>
        <w:jc w:val="both"/>
        <w:rPr>
          <w:rFonts w:ascii="Arial" w:hAnsi="Arial" w:cs="Arial"/>
          <w:i/>
        </w:rPr>
      </w:pPr>
      <w:r w:rsidRPr="00242122">
        <w:rPr>
          <w:rFonts w:ascii="Arial" w:hAnsi="Arial" w:cs="Arial"/>
          <w:i/>
          <w:sz w:val="24"/>
          <w:szCs w:val="24"/>
        </w:rPr>
        <w:t>(</w:t>
      </w:r>
      <w:r w:rsidRPr="00242122">
        <w:rPr>
          <w:rFonts w:ascii="Arial" w:hAnsi="Arial" w:cs="Arial"/>
          <w:i/>
        </w:rPr>
        <w:t>Sursa datelor: Administrația Națională „Apele Române”, Planul Național de Management actualizat 2021)</w:t>
      </w:r>
    </w:p>
    <w:p w:rsidR="002967F0" w:rsidRPr="00242122" w:rsidRDefault="002967F0" w:rsidP="002967F0">
      <w:pPr>
        <w:spacing w:before="120" w:after="120" w:line="240" w:lineRule="auto"/>
        <w:jc w:val="both"/>
        <w:rPr>
          <w:rFonts w:ascii="Arial" w:hAnsi="Arial" w:cs="Arial"/>
          <w:i/>
        </w:rPr>
      </w:pPr>
    </w:p>
    <w:p w:rsidR="005B62C4" w:rsidRDefault="005B62C4" w:rsidP="002967F0">
      <w:pPr>
        <w:spacing w:before="120" w:after="120" w:line="240" w:lineRule="auto"/>
        <w:jc w:val="center"/>
        <w:rPr>
          <w:rFonts w:ascii="Arial" w:hAnsi="Arial" w:cs="Arial"/>
          <w:b/>
          <w:i/>
          <w:sz w:val="24"/>
          <w:szCs w:val="24"/>
        </w:rPr>
      </w:pPr>
    </w:p>
    <w:p w:rsidR="005B62C4" w:rsidRDefault="005B62C4" w:rsidP="002967F0">
      <w:pPr>
        <w:spacing w:before="120" w:after="120" w:line="240" w:lineRule="auto"/>
        <w:jc w:val="center"/>
        <w:rPr>
          <w:rFonts w:ascii="Arial" w:hAnsi="Arial" w:cs="Arial"/>
          <w:b/>
          <w:i/>
          <w:sz w:val="24"/>
          <w:szCs w:val="24"/>
        </w:rPr>
      </w:pPr>
    </w:p>
    <w:p w:rsidR="005B62C4" w:rsidRDefault="005B62C4" w:rsidP="002967F0">
      <w:pPr>
        <w:spacing w:before="120" w:after="120" w:line="240" w:lineRule="auto"/>
        <w:jc w:val="center"/>
        <w:rPr>
          <w:rFonts w:ascii="Arial" w:hAnsi="Arial" w:cs="Arial"/>
          <w:b/>
          <w:i/>
          <w:sz w:val="24"/>
          <w:szCs w:val="24"/>
        </w:rPr>
      </w:pPr>
    </w:p>
    <w:p w:rsidR="005B62C4" w:rsidRDefault="005B62C4" w:rsidP="002967F0">
      <w:pPr>
        <w:spacing w:before="120" w:after="120" w:line="240" w:lineRule="auto"/>
        <w:jc w:val="center"/>
        <w:rPr>
          <w:rFonts w:ascii="Arial" w:hAnsi="Arial" w:cs="Arial"/>
          <w:b/>
          <w:i/>
          <w:sz w:val="24"/>
          <w:szCs w:val="24"/>
        </w:rPr>
      </w:pPr>
    </w:p>
    <w:p w:rsidR="005B62C4" w:rsidRDefault="005B62C4" w:rsidP="002967F0">
      <w:pPr>
        <w:spacing w:before="120" w:after="120" w:line="240" w:lineRule="auto"/>
        <w:jc w:val="center"/>
        <w:rPr>
          <w:rFonts w:ascii="Arial" w:hAnsi="Arial" w:cs="Arial"/>
          <w:b/>
          <w:i/>
          <w:sz w:val="24"/>
          <w:szCs w:val="24"/>
        </w:rPr>
      </w:pPr>
    </w:p>
    <w:p w:rsidR="002967F0" w:rsidRPr="00242122" w:rsidRDefault="002967F0" w:rsidP="002967F0">
      <w:pPr>
        <w:spacing w:before="120" w:after="120" w:line="240" w:lineRule="auto"/>
        <w:jc w:val="center"/>
        <w:rPr>
          <w:rFonts w:ascii="Arial" w:hAnsi="Arial" w:cs="Arial"/>
          <w:b/>
          <w:i/>
          <w:sz w:val="24"/>
          <w:szCs w:val="24"/>
        </w:rPr>
      </w:pPr>
      <w:r w:rsidRPr="00242122">
        <w:rPr>
          <w:rFonts w:ascii="Arial" w:hAnsi="Arial" w:cs="Arial"/>
          <w:b/>
          <w:i/>
          <w:sz w:val="24"/>
          <w:szCs w:val="24"/>
        </w:rPr>
        <w:lastRenderedPageBreak/>
        <w:t>Moduri (căi) de producere a poluării difuze cu fosfor</w:t>
      </w:r>
    </w:p>
    <w:p w:rsidR="002967F0" w:rsidRPr="00242122" w:rsidRDefault="002967F0" w:rsidP="002967F0">
      <w:pPr>
        <w:spacing w:before="120" w:after="120" w:line="240" w:lineRule="auto"/>
        <w:jc w:val="center"/>
        <w:rPr>
          <w:rFonts w:ascii="Arial" w:eastAsia="Times New Roman" w:hAnsi="Arial" w:cs="Arial"/>
          <w:noProof/>
          <w:sz w:val="24"/>
          <w:szCs w:val="24"/>
          <w:lang w:val="en-GB" w:eastAsia="en-GB"/>
        </w:rPr>
      </w:pPr>
      <w:r w:rsidRPr="00242122">
        <w:rPr>
          <w:rFonts w:ascii="Arial" w:hAnsi="Arial" w:cs="Arial"/>
          <w:noProof/>
          <w:lang w:eastAsia="ro-RO"/>
        </w:rPr>
        <w:drawing>
          <wp:inline distT="0" distB="0" distL="0" distR="0" wp14:anchorId="7552214F" wp14:editId="6AD4BFD2">
            <wp:extent cx="4656455" cy="33966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56455" cy="3396615"/>
                    </a:xfrm>
                    <a:prstGeom prst="rect">
                      <a:avLst/>
                    </a:prstGeom>
                    <a:noFill/>
                  </pic:spPr>
                </pic:pic>
              </a:graphicData>
            </a:graphic>
          </wp:inline>
        </w:drawing>
      </w:r>
    </w:p>
    <w:p w:rsidR="002967F0" w:rsidRPr="00242122" w:rsidRDefault="002967F0" w:rsidP="002967F0">
      <w:pPr>
        <w:spacing w:before="120" w:after="120" w:line="240" w:lineRule="auto"/>
        <w:ind w:firstLine="426"/>
        <w:jc w:val="right"/>
        <w:rPr>
          <w:rFonts w:ascii="Arial" w:hAnsi="Arial" w:cs="Arial"/>
          <w:b/>
          <w:sz w:val="24"/>
          <w:szCs w:val="24"/>
        </w:rPr>
      </w:pPr>
      <w:r w:rsidRPr="00242122">
        <w:rPr>
          <w:rFonts w:ascii="Arial" w:hAnsi="Arial" w:cs="Arial"/>
          <w:b/>
          <w:sz w:val="24"/>
          <w:szCs w:val="24"/>
        </w:rPr>
        <w:t>Figura II.2.2.1.3</w:t>
      </w:r>
    </w:p>
    <w:p w:rsidR="002967F0" w:rsidRPr="00242122" w:rsidRDefault="002967F0" w:rsidP="002967F0">
      <w:pPr>
        <w:spacing w:before="120" w:after="120" w:line="240" w:lineRule="auto"/>
        <w:jc w:val="both"/>
        <w:rPr>
          <w:rFonts w:ascii="Arial" w:hAnsi="Arial" w:cs="Arial"/>
          <w:i/>
        </w:rPr>
      </w:pPr>
      <w:r w:rsidRPr="00242122">
        <w:rPr>
          <w:rFonts w:ascii="Arial" w:hAnsi="Arial" w:cs="Arial"/>
          <w:i/>
          <w:sz w:val="24"/>
          <w:szCs w:val="24"/>
        </w:rPr>
        <w:t>(</w:t>
      </w:r>
      <w:r w:rsidRPr="00242122">
        <w:rPr>
          <w:rFonts w:ascii="Arial" w:hAnsi="Arial" w:cs="Arial"/>
          <w:i/>
        </w:rPr>
        <w:t>Sursa datelor: Administrația Națională „Apele Române”,  Planul Național de Management actualizat 2021</w:t>
      </w:r>
    </w:p>
    <w:p w:rsidR="002967F0" w:rsidRPr="00242122" w:rsidRDefault="002967F0" w:rsidP="002967F0">
      <w:pPr>
        <w:spacing w:after="0" w:line="240" w:lineRule="auto"/>
        <w:jc w:val="both"/>
        <w:rPr>
          <w:rFonts w:ascii="Arial" w:eastAsia="Times New Roman" w:hAnsi="Arial" w:cs="Arial"/>
          <w:sz w:val="24"/>
          <w:szCs w:val="24"/>
          <w:lang w:eastAsia="x-none"/>
        </w:rPr>
      </w:pPr>
      <w:r w:rsidRPr="00242122">
        <w:rPr>
          <w:rFonts w:ascii="Arial" w:eastAsia="Times New Roman" w:hAnsi="Arial" w:cs="Arial"/>
          <w:sz w:val="24"/>
          <w:szCs w:val="24"/>
          <w:lang w:eastAsia="x-none"/>
        </w:rPr>
        <w:t>Modelul MONERIS cuantifică și contribuţia diverselor categorii de surse de poluare la emisia totală de nutrienţi. Astfel pentru sursele difuze de poluare, aceste categorii de surse sunt reprezentate de:</w:t>
      </w:r>
    </w:p>
    <w:p w:rsidR="002967F0" w:rsidRPr="00242122" w:rsidRDefault="002967F0" w:rsidP="002967F0">
      <w:pPr>
        <w:spacing w:after="0" w:line="240" w:lineRule="auto"/>
        <w:ind w:left="360" w:hanging="360"/>
        <w:jc w:val="both"/>
        <w:rPr>
          <w:rFonts w:ascii="Arial" w:eastAsia="Times New Roman" w:hAnsi="Arial" w:cs="Arial"/>
          <w:sz w:val="24"/>
          <w:szCs w:val="24"/>
          <w:lang w:eastAsia="x-none"/>
        </w:rPr>
      </w:pPr>
      <w:r w:rsidRPr="00242122">
        <w:rPr>
          <w:rFonts w:ascii="Arial" w:eastAsia="Times New Roman" w:hAnsi="Arial" w:cs="Arial"/>
          <w:sz w:val="24"/>
          <w:szCs w:val="24"/>
          <w:lang w:eastAsia="x-none"/>
        </w:rPr>
        <w:t>-</w:t>
      </w:r>
      <w:r w:rsidRPr="00242122">
        <w:rPr>
          <w:rFonts w:ascii="Arial" w:eastAsia="Times New Roman" w:hAnsi="Arial" w:cs="Arial"/>
          <w:sz w:val="24"/>
          <w:szCs w:val="24"/>
          <w:lang w:eastAsia="x-none"/>
        </w:rPr>
        <w:tab/>
        <w:t>agricultura (teren arabil și pășuni);</w:t>
      </w:r>
    </w:p>
    <w:p w:rsidR="002967F0" w:rsidRPr="00242122" w:rsidRDefault="002967F0" w:rsidP="002967F0">
      <w:pPr>
        <w:spacing w:after="0" w:line="240" w:lineRule="auto"/>
        <w:ind w:left="360" w:hanging="360"/>
        <w:jc w:val="both"/>
        <w:rPr>
          <w:rFonts w:ascii="Arial" w:eastAsia="Times New Roman" w:hAnsi="Arial" w:cs="Arial"/>
          <w:sz w:val="24"/>
          <w:szCs w:val="24"/>
          <w:lang w:eastAsia="x-none"/>
        </w:rPr>
      </w:pPr>
      <w:r w:rsidRPr="00242122">
        <w:rPr>
          <w:rFonts w:ascii="Arial" w:eastAsia="Times New Roman" w:hAnsi="Arial" w:cs="Arial"/>
          <w:sz w:val="24"/>
          <w:szCs w:val="24"/>
          <w:lang w:eastAsia="x-none"/>
        </w:rPr>
        <w:t>-</w:t>
      </w:r>
      <w:r w:rsidRPr="00242122">
        <w:rPr>
          <w:rFonts w:ascii="Arial" w:eastAsia="Times New Roman" w:hAnsi="Arial" w:cs="Arial"/>
          <w:sz w:val="24"/>
          <w:szCs w:val="24"/>
          <w:lang w:eastAsia="x-none"/>
        </w:rPr>
        <w:tab/>
        <w:t>așezările umane (cu tot ce înseamnă zona urbană);</w:t>
      </w:r>
    </w:p>
    <w:p w:rsidR="002967F0" w:rsidRPr="00242122" w:rsidRDefault="002967F0" w:rsidP="002967F0">
      <w:pPr>
        <w:spacing w:after="0" w:line="240" w:lineRule="auto"/>
        <w:ind w:left="360" w:hanging="360"/>
        <w:jc w:val="both"/>
        <w:rPr>
          <w:rFonts w:ascii="Arial" w:eastAsia="Times New Roman" w:hAnsi="Arial" w:cs="Arial"/>
          <w:sz w:val="24"/>
          <w:szCs w:val="24"/>
          <w:lang w:eastAsia="x-none"/>
        </w:rPr>
      </w:pPr>
      <w:r w:rsidRPr="00242122">
        <w:rPr>
          <w:rFonts w:ascii="Arial" w:eastAsia="Times New Roman" w:hAnsi="Arial" w:cs="Arial"/>
          <w:sz w:val="24"/>
          <w:szCs w:val="24"/>
          <w:lang w:eastAsia="x-none"/>
        </w:rPr>
        <w:t>-</w:t>
      </w:r>
      <w:r w:rsidRPr="00242122">
        <w:rPr>
          <w:rFonts w:ascii="Arial" w:eastAsia="Times New Roman" w:hAnsi="Arial" w:cs="Arial"/>
          <w:sz w:val="24"/>
          <w:szCs w:val="24"/>
          <w:lang w:eastAsia="x-none"/>
        </w:rPr>
        <w:tab/>
        <w:t>zonele naturale (zone acoperite cu păduri, pajiști naturale, vegetație, arbuști, etc.);</w:t>
      </w:r>
    </w:p>
    <w:p w:rsidR="002967F0" w:rsidRPr="00242122" w:rsidRDefault="002967F0" w:rsidP="002967F0">
      <w:pPr>
        <w:spacing w:after="0" w:line="240" w:lineRule="auto"/>
        <w:ind w:left="360" w:hanging="360"/>
        <w:jc w:val="both"/>
        <w:rPr>
          <w:rFonts w:ascii="Arial" w:eastAsia="Times New Roman" w:hAnsi="Arial" w:cs="Arial"/>
          <w:sz w:val="24"/>
          <w:szCs w:val="24"/>
          <w:lang w:eastAsia="x-none"/>
        </w:rPr>
      </w:pPr>
      <w:r w:rsidRPr="00242122">
        <w:rPr>
          <w:rFonts w:ascii="Arial" w:eastAsia="Times New Roman" w:hAnsi="Arial" w:cs="Arial"/>
          <w:sz w:val="24"/>
          <w:szCs w:val="24"/>
          <w:lang w:eastAsia="x-none"/>
        </w:rPr>
        <w:t>-</w:t>
      </w:r>
      <w:r w:rsidRPr="00242122">
        <w:rPr>
          <w:rFonts w:ascii="Arial" w:eastAsia="Times New Roman" w:hAnsi="Arial" w:cs="Arial"/>
          <w:sz w:val="24"/>
          <w:szCs w:val="24"/>
          <w:lang w:eastAsia="x-none"/>
        </w:rPr>
        <w:tab/>
        <w:t>zonele deschise (zone ocupate în principal de activități extractive - mine, cariere, balastiere, zone de depozitare - halde, depozite, zone construite, precum și alte zone de plaje, zone cu prezența redusă a vegetației);</w:t>
      </w:r>
    </w:p>
    <w:p w:rsidR="002967F0" w:rsidRPr="00242122" w:rsidRDefault="002967F0" w:rsidP="002967F0">
      <w:pPr>
        <w:spacing w:after="0" w:line="240" w:lineRule="auto"/>
        <w:ind w:left="360" w:hanging="360"/>
        <w:jc w:val="both"/>
        <w:rPr>
          <w:rFonts w:ascii="Arial" w:eastAsia="Times New Roman" w:hAnsi="Arial" w:cs="Arial"/>
          <w:sz w:val="24"/>
          <w:szCs w:val="24"/>
          <w:lang w:eastAsia="x-none"/>
        </w:rPr>
      </w:pPr>
      <w:r w:rsidRPr="00242122">
        <w:rPr>
          <w:rFonts w:ascii="Arial" w:eastAsia="Times New Roman" w:hAnsi="Arial" w:cs="Arial"/>
          <w:sz w:val="24"/>
          <w:szCs w:val="24"/>
          <w:lang w:eastAsia="x-none"/>
        </w:rPr>
        <w:t>-</w:t>
      </w:r>
      <w:r w:rsidRPr="00242122">
        <w:rPr>
          <w:rFonts w:ascii="Arial" w:eastAsia="Times New Roman" w:hAnsi="Arial" w:cs="Arial"/>
          <w:sz w:val="24"/>
          <w:szCs w:val="24"/>
          <w:lang w:eastAsia="x-none"/>
        </w:rPr>
        <w:tab/>
        <w:t>zonele umede  și apele de suprafață.</w:t>
      </w:r>
    </w:p>
    <w:p w:rsidR="002967F0" w:rsidRPr="00242122" w:rsidRDefault="002967F0" w:rsidP="002967F0">
      <w:pPr>
        <w:pStyle w:val="BodyText"/>
        <w:ind w:right="-2"/>
        <w:jc w:val="both"/>
        <w:rPr>
          <w:rFonts w:ascii="Arial" w:hAnsi="Arial" w:cs="Arial"/>
          <w:szCs w:val="24"/>
        </w:rPr>
      </w:pPr>
      <w:r w:rsidRPr="00242122">
        <w:rPr>
          <w:rFonts w:ascii="Arial" w:hAnsi="Arial" w:cs="Arial"/>
          <w:szCs w:val="24"/>
        </w:rPr>
        <w:t>De subliniat este faptul că, modelul MONERIS ia în considerare toate sursele de poluare şi nu numai pe acelea identificate ca fiind semnificative.</w:t>
      </w:r>
    </w:p>
    <w:p w:rsidR="005B62C4" w:rsidRPr="005B62C4" w:rsidRDefault="002967F0" w:rsidP="005B62C4">
      <w:pPr>
        <w:pStyle w:val="BodyText"/>
        <w:spacing w:before="120"/>
        <w:ind w:right="-177" w:firstLine="720"/>
        <w:jc w:val="both"/>
        <w:rPr>
          <w:rFonts w:ascii="Arial" w:hAnsi="Arial" w:cs="Arial"/>
          <w:szCs w:val="24"/>
        </w:rPr>
      </w:pPr>
      <w:r w:rsidRPr="00242122">
        <w:rPr>
          <w:rFonts w:ascii="Arial" w:hAnsi="Arial" w:cs="Arial"/>
          <w:szCs w:val="24"/>
        </w:rPr>
        <w:t xml:space="preserve">În </w:t>
      </w:r>
      <w:r w:rsidRPr="00242122">
        <w:rPr>
          <w:rFonts w:ascii="Arial" w:hAnsi="Arial" w:cs="Arial"/>
          <w:i/>
          <w:szCs w:val="24"/>
        </w:rPr>
        <w:t>Figurile  II.2.2.1.4</w:t>
      </w:r>
      <w:r w:rsidRPr="00242122">
        <w:rPr>
          <w:rFonts w:ascii="Arial" w:hAnsi="Arial" w:cs="Arial"/>
          <w:szCs w:val="24"/>
        </w:rPr>
        <w:t xml:space="preserve">  II.2.2.1.5 se prezintă emisiile de azot şi fosfor din surse difuze de poluare, având în vedere aportul fiecărei </w:t>
      </w:r>
      <w:r w:rsidR="005B62C4">
        <w:rPr>
          <w:rFonts w:ascii="Arial" w:hAnsi="Arial" w:cs="Arial"/>
          <w:szCs w:val="24"/>
        </w:rPr>
        <w:t xml:space="preserve">categorii de surse de poluare. </w:t>
      </w:r>
    </w:p>
    <w:p w:rsidR="005B62C4" w:rsidRDefault="005B62C4" w:rsidP="005B62C4">
      <w:pPr>
        <w:pStyle w:val="BodyText"/>
        <w:spacing w:before="120"/>
        <w:ind w:right="-177"/>
        <w:rPr>
          <w:rFonts w:ascii="Arial" w:hAnsi="Arial" w:cs="Arial"/>
          <w:b/>
          <w:bCs/>
          <w:szCs w:val="24"/>
        </w:rPr>
      </w:pPr>
    </w:p>
    <w:p w:rsidR="005B62C4" w:rsidRDefault="005B62C4" w:rsidP="002967F0">
      <w:pPr>
        <w:pStyle w:val="BodyText"/>
        <w:spacing w:before="120"/>
        <w:ind w:right="-177" w:firstLine="1440"/>
        <w:rPr>
          <w:rFonts w:ascii="Arial" w:hAnsi="Arial" w:cs="Arial"/>
          <w:b/>
          <w:bCs/>
          <w:szCs w:val="24"/>
        </w:rPr>
      </w:pPr>
      <w:r w:rsidRPr="00242122">
        <w:rPr>
          <w:rFonts w:ascii="Arial" w:hAnsi="Arial" w:cs="Arial"/>
          <w:i/>
          <w:noProof/>
          <w:lang w:eastAsia="ro-RO"/>
        </w:rPr>
        <w:drawing>
          <wp:anchor distT="0" distB="0" distL="114300" distR="114300" simplePos="0" relativeHeight="251675648" behindDoc="0" locked="0" layoutInCell="1" allowOverlap="1" wp14:anchorId="014F7310" wp14:editId="5FFDD50C">
            <wp:simplePos x="0" y="0"/>
            <wp:positionH relativeFrom="margin">
              <wp:posOffset>737870</wp:posOffset>
            </wp:positionH>
            <wp:positionV relativeFrom="margin">
              <wp:posOffset>7242810</wp:posOffset>
            </wp:positionV>
            <wp:extent cx="2699385" cy="1571625"/>
            <wp:effectExtent l="0" t="0" r="5715" b="9525"/>
            <wp:wrapSquare wrapText="bothSides"/>
            <wp:docPr id="101"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99385" cy="1571625"/>
                    </a:xfrm>
                    <a:prstGeom prst="rect">
                      <a:avLst/>
                    </a:prstGeom>
                    <a:noFill/>
                    <a:ln>
                      <a:noFill/>
                    </a:ln>
                  </pic:spPr>
                </pic:pic>
              </a:graphicData>
            </a:graphic>
            <wp14:sizeRelH relativeFrom="page">
              <wp14:pctWidth>0</wp14:pctWidth>
            </wp14:sizeRelH>
            <wp14:sizeRelV relativeFrom="margin">
              <wp14:pctHeight>0</wp14:pctHeight>
            </wp14:sizeRelV>
          </wp:anchor>
        </w:drawing>
      </w:r>
    </w:p>
    <w:p w:rsidR="005B62C4" w:rsidRDefault="005B62C4" w:rsidP="002967F0">
      <w:pPr>
        <w:pStyle w:val="BodyText"/>
        <w:spacing w:before="120"/>
        <w:ind w:right="-177" w:firstLine="1440"/>
        <w:rPr>
          <w:rFonts w:ascii="Arial" w:hAnsi="Arial" w:cs="Arial"/>
          <w:b/>
          <w:bCs/>
          <w:szCs w:val="24"/>
        </w:rPr>
      </w:pPr>
    </w:p>
    <w:p w:rsidR="005B62C4" w:rsidRDefault="005B62C4" w:rsidP="002967F0">
      <w:pPr>
        <w:pStyle w:val="BodyText"/>
        <w:spacing w:before="120"/>
        <w:ind w:right="-177" w:firstLine="1440"/>
        <w:rPr>
          <w:rFonts w:ascii="Arial" w:hAnsi="Arial" w:cs="Arial"/>
          <w:b/>
          <w:bCs/>
          <w:szCs w:val="24"/>
        </w:rPr>
      </w:pPr>
    </w:p>
    <w:p w:rsidR="005B62C4" w:rsidRDefault="005B62C4" w:rsidP="002967F0">
      <w:pPr>
        <w:pStyle w:val="BodyText"/>
        <w:spacing w:before="120"/>
        <w:ind w:right="-177" w:firstLine="1440"/>
        <w:rPr>
          <w:rFonts w:ascii="Arial" w:hAnsi="Arial" w:cs="Arial"/>
          <w:b/>
          <w:bCs/>
          <w:szCs w:val="24"/>
        </w:rPr>
      </w:pPr>
    </w:p>
    <w:p w:rsidR="005B62C4" w:rsidRDefault="005B62C4" w:rsidP="002967F0">
      <w:pPr>
        <w:pStyle w:val="BodyText"/>
        <w:spacing w:before="120"/>
        <w:ind w:right="-177" w:firstLine="1440"/>
        <w:rPr>
          <w:rFonts w:ascii="Arial" w:hAnsi="Arial" w:cs="Arial"/>
          <w:b/>
          <w:bCs/>
          <w:szCs w:val="24"/>
        </w:rPr>
      </w:pPr>
    </w:p>
    <w:p w:rsidR="005B62C4" w:rsidRDefault="005B62C4" w:rsidP="002967F0">
      <w:pPr>
        <w:pStyle w:val="BodyText"/>
        <w:spacing w:before="120"/>
        <w:ind w:right="-177" w:firstLine="1440"/>
        <w:rPr>
          <w:rFonts w:ascii="Arial" w:hAnsi="Arial" w:cs="Arial"/>
          <w:b/>
          <w:bCs/>
          <w:szCs w:val="24"/>
        </w:rPr>
      </w:pPr>
    </w:p>
    <w:p w:rsidR="005B62C4" w:rsidRDefault="005B62C4" w:rsidP="005B62C4">
      <w:pPr>
        <w:pStyle w:val="BodyText"/>
        <w:spacing w:before="120"/>
        <w:ind w:right="-6"/>
        <w:rPr>
          <w:rFonts w:ascii="Arial" w:hAnsi="Arial" w:cs="Arial"/>
          <w:b/>
          <w:szCs w:val="24"/>
        </w:rPr>
      </w:pPr>
    </w:p>
    <w:p w:rsidR="005B62C4" w:rsidRPr="005B62C4" w:rsidRDefault="005B62C4" w:rsidP="005B62C4">
      <w:pPr>
        <w:pStyle w:val="BodyText"/>
        <w:spacing w:before="120"/>
        <w:ind w:right="-6"/>
        <w:rPr>
          <w:rFonts w:ascii="Arial" w:hAnsi="Arial" w:cs="Arial"/>
          <w:b/>
          <w:szCs w:val="24"/>
        </w:rPr>
      </w:pPr>
      <w:r w:rsidRPr="00242122">
        <w:rPr>
          <w:rFonts w:ascii="Arial" w:hAnsi="Arial" w:cs="Arial"/>
          <w:b/>
          <w:szCs w:val="24"/>
        </w:rPr>
        <w:t>Figura II.2.2.1.4</w:t>
      </w:r>
      <w:r>
        <w:rPr>
          <w:rFonts w:ascii="Arial" w:hAnsi="Arial" w:cs="Arial"/>
          <w:b/>
          <w:szCs w:val="24"/>
        </w:rPr>
        <w:t xml:space="preserve"> - </w:t>
      </w:r>
      <w:r w:rsidRPr="00242122">
        <w:rPr>
          <w:rFonts w:ascii="Arial" w:hAnsi="Arial" w:cs="Arial"/>
          <w:b/>
          <w:bCs/>
          <w:szCs w:val="24"/>
        </w:rPr>
        <w:t>Distribuția surselor de emisii de azot</w:t>
      </w:r>
    </w:p>
    <w:p w:rsidR="005B62C4" w:rsidRDefault="005B62C4" w:rsidP="002967F0">
      <w:pPr>
        <w:pStyle w:val="BodyText"/>
        <w:spacing w:before="120"/>
        <w:ind w:right="-177" w:firstLine="1440"/>
        <w:rPr>
          <w:rFonts w:ascii="Arial" w:hAnsi="Arial" w:cs="Arial"/>
          <w:b/>
          <w:bCs/>
          <w:szCs w:val="24"/>
        </w:rPr>
      </w:pPr>
    </w:p>
    <w:p w:rsidR="002967F0" w:rsidRPr="00242122" w:rsidRDefault="002967F0" w:rsidP="002967F0">
      <w:pPr>
        <w:pStyle w:val="BodyText"/>
        <w:spacing w:before="120"/>
        <w:ind w:right="-177" w:firstLine="1170"/>
        <w:jc w:val="both"/>
        <w:rPr>
          <w:rFonts w:ascii="Arial" w:hAnsi="Arial" w:cs="Arial"/>
          <w:b/>
          <w:szCs w:val="24"/>
        </w:rPr>
      </w:pPr>
      <w:r w:rsidRPr="00242122">
        <w:rPr>
          <w:rFonts w:ascii="Arial" w:hAnsi="Arial" w:cs="Arial"/>
          <w:b/>
          <w:noProof/>
          <w:szCs w:val="24"/>
          <w:lang w:eastAsia="ro-RO"/>
        </w:rPr>
        <w:drawing>
          <wp:inline distT="0" distB="0" distL="0" distR="0" wp14:anchorId="7ECFB952" wp14:editId="02057D7F">
            <wp:extent cx="2617072" cy="20472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49192" cy="2072366"/>
                    </a:xfrm>
                    <a:prstGeom prst="rect">
                      <a:avLst/>
                    </a:prstGeom>
                    <a:noFill/>
                  </pic:spPr>
                </pic:pic>
              </a:graphicData>
            </a:graphic>
          </wp:inline>
        </w:drawing>
      </w:r>
    </w:p>
    <w:p w:rsidR="002967F0" w:rsidRPr="00242122" w:rsidRDefault="005B62C4" w:rsidP="002967F0">
      <w:pPr>
        <w:spacing w:before="120" w:after="120" w:line="240" w:lineRule="auto"/>
        <w:jc w:val="both"/>
        <w:rPr>
          <w:rFonts w:ascii="Arial" w:hAnsi="Arial" w:cs="Arial"/>
          <w:i/>
          <w:sz w:val="24"/>
          <w:szCs w:val="24"/>
        </w:rPr>
      </w:pPr>
      <w:r w:rsidRPr="00242122">
        <w:rPr>
          <w:rFonts w:ascii="Arial" w:hAnsi="Arial" w:cs="Arial"/>
          <w:i/>
        </w:rPr>
        <w:t xml:space="preserve"> </w:t>
      </w:r>
      <w:r w:rsidR="002967F0" w:rsidRPr="00242122">
        <w:rPr>
          <w:rFonts w:ascii="Arial" w:hAnsi="Arial" w:cs="Arial"/>
          <w:i/>
        </w:rPr>
        <w:t>(Sursa datelor: Administrația Națională „Apele Române”, Planul Național de Management actualizat 2021)</w:t>
      </w:r>
    </w:p>
    <w:p w:rsidR="002967F0" w:rsidRPr="00242122" w:rsidRDefault="002967F0" w:rsidP="002967F0">
      <w:pPr>
        <w:spacing w:after="0" w:line="240" w:lineRule="auto"/>
        <w:ind w:firstLine="1350"/>
        <w:jc w:val="both"/>
        <w:rPr>
          <w:rFonts w:ascii="Arial" w:hAnsi="Arial" w:cs="Arial"/>
          <w:i/>
          <w:sz w:val="24"/>
          <w:szCs w:val="24"/>
        </w:rPr>
      </w:pPr>
    </w:p>
    <w:p w:rsidR="002967F0" w:rsidRPr="005B62C4" w:rsidRDefault="005B62C4" w:rsidP="005B62C4">
      <w:pPr>
        <w:spacing w:before="120" w:after="120" w:line="240" w:lineRule="auto"/>
        <w:rPr>
          <w:rFonts w:ascii="Arial" w:eastAsia="Times New Roman" w:hAnsi="Arial" w:cs="Arial"/>
          <w:b/>
          <w:sz w:val="24"/>
          <w:szCs w:val="24"/>
          <w:lang w:eastAsia="x-none"/>
        </w:rPr>
      </w:pPr>
      <w:r w:rsidRPr="00242122">
        <w:rPr>
          <w:rFonts w:ascii="Arial" w:eastAsia="Times New Roman" w:hAnsi="Arial" w:cs="Arial"/>
          <w:b/>
          <w:sz w:val="24"/>
          <w:szCs w:val="24"/>
          <w:lang w:eastAsia="x-none"/>
        </w:rPr>
        <w:t>Figura II.2.2.1.5</w:t>
      </w:r>
      <w:r>
        <w:rPr>
          <w:rFonts w:ascii="Arial" w:eastAsia="Times New Roman" w:hAnsi="Arial" w:cs="Arial"/>
          <w:b/>
          <w:sz w:val="24"/>
          <w:szCs w:val="24"/>
          <w:lang w:eastAsia="x-none"/>
        </w:rPr>
        <w:t xml:space="preserve"> - </w:t>
      </w:r>
      <w:r w:rsidR="002967F0" w:rsidRPr="00242122">
        <w:rPr>
          <w:rFonts w:ascii="Arial" w:hAnsi="Arial" w:cs="Arial"/>
          <w:b/>
          <w:bCs/>
          <w:sz w:val="24"/>
          <w:szCs w:val="24"/>
        </w:rPr>
        <w:t>Distribuția surselor de emisii de fosfor</w:t>
      </w:r>
    </w:p>
    <w:p w:rsidR="002967F0" w:rsidRPr="00242122" w:rsidRDefault="005B62C4" w:rsidP="002967F0">
      <w:pPr>
        <w:spacing w:before="120" w:after="120" w:line="240" w:lineRule="auto"/>
        <w:jc w:val="both"/>
        <w:rPr>
          <w:rFonts w:ascii="Arial" w:hAnsi="Arial" w:cs="Arial"/>
          <w:i/>
        </w:rPr>
      </w:pPr>
      <w:r w:rsidRPr="00242122">
        <w:rPr>
          <w:rFonts w:ascii="Arial" w:hAnsi="Arial" w:cs="Arial"/>
          <w:i/>
        </w:rPr>
        <w:t xml:space="preserve"> </w:t>
      </w:r>
      <w:r w:rsidR="002967F0" w:rsidRPr="00242122">
        <w:rPr>
          <w:rFonts w:ascii="Arial" w:hAnsi="Arial" w:cs="Arial"/>
          <w:i/>
        </w:rPr>
        <w:t>(Sursa datelor: Administrația Națională „Apele Române”, Planul Național de Management actualizat 2021)</w:t>
      </w:r>
    </w:p>
    <w:p w:rsidR="002967F0" w:rsidRPr="00242122" w:rsidRDefault="002967F0" w:rsidP="002967F0">
      <w:pPr>
        <w:pStyle w:val="BodyText"/>
        <w:ind w:right="-177" w:firstLine="567"/>
        <w:jc w:val="both"/>
        <w:rPr>
          <w:rFonts w:ascii="Arial" w:hAnsi="Arial" w:cs="Arial"/>
          <w:szCs w:val="24"/>
        </w:rPr>
      </w:pPr>
      <w:r w:rsidRPr="00242122">
        <w:rPr>
          <w:rFonts w:ascii="Arial" w:hAnsi="Arial" w:cs="Arial"/>
          <w:szCs w:val="24"/>
        </w:rPr>
        <w:t xml:space="preserve">Se observă că cca. 35% din cantitatea de azot emisă de sursele difuze și aproximativ 46% din emisia totală difuză de fosfor se datorează activităţilor agricole, care produc o  emisie specifică de cca. 2,1 kg N/ha suprafaţă agricolă și 0,21 kg P/ha suprafaţă agricolă. De asemenea, 36% din cantitatea de azot și 44% din cantitatea de fosfor sunt emise de sursele difuze așezări umane (localităţi/aglomerăril umane). </w:t>
      </w:r>
    </w:p>
    <w:p w:rsidR="002967F0" w:rsidRPr="00242122" w:rsidRDefault="002967F0" w:rsidP="002967F0">
      <w:pPr>
        <w:spacing w:after="0" w:line="240" w:lineRule="auto"/>
        <w:ind w:firstLine="567"/>
        <w:jc w:val="both"/>
        <w:rPr>
          <w:rFonts w:ascii="Arial" w:hAnsi="Arial" w:cs="Arial"/>
          <w:sz w:val="24"/>
          <w:szCs w:val="24"/>
        </w:rPr>
      </w:pPr>
    </w:p>
    <w:p w:rsidR="002967F0" w:rsidRPr="00242122" w:rsidRDefault="002967F0" w:rsidP="002967F0">
      <w:pPr>
        <w:spacing w:after="0" w:line="240" w:lineRule="auto"/>
        <w:ind w:firstLine="567"/>
        <w:jc w:val="both"/>
        <w:rPr>
          <w:rFonts w:ascii="Arial" w:hAnsi="Arial" w:cs="Arial"/>
          <w:sz w:val="24"/>
          <w:szCs w:val="24"/>
        </w:rPr>
      </w:pPr>
      <w:r w:rsidRPr="00242122">
        <w:rPr>
          <w:rFonts w:ascii="Arial" w:hAnsi="Arial" w:cs="Arial"/>
          <w:sz w:val="24"/>
          <w:szCs w:val="24"/>
        </w:rPr>
        <w:t>La poluarea difuză contribuie un număr total de</w:t>
      </w:r>
      <w:r w:rsidRPr="00242122">
        <w:rPr>
          <w:rFonts w:ascii="Arial" w:hAnsi="Arial" w:cs="Arial"/>
          <w:b/>
          <w:sz w:val="24"/>
          <w:szCs w:val="24"/>
        </w:rPr>
        <w:t xml:space="preserve"> 12,675 presiuni potențial semnificative difuze</w:t>
      </w:r>
      <w:r w:rsidRPr="00242122">
        <w:rPr>
          <w:rFonts w:ascii="Arial" w:hAnsi="Arial" w:cs="Arial"/>
          <w:sz w:val="24"/>
          <w:szCs w:val="24"/>
        </w:rPr>
        <w:t xml:space="preserve"> pentru corpurile de apă care nu ating obiectivele de mediu, din care:</w:t>
      </w:r>
    </w:p>
    <w:p w:rsidR="002967F0" w:rsidRPr="00242122" w:rsidRDefault="002967F0" w:rsidP="00B12004">
      <w:pPr>
        <w:numPr>
          <w:ilvl w:val="0"/>
          <w:numId w:val="17"/>
        </w:numPr>
        <w:spacing w:after="0" w:line="240" w:lineRule="auto"/>
        <w:ind w:left="284" w:hanging="284"/>
        <w:jc w:val="both"/>
        <w:rPr>
          <w:rFonts w:ascii="Arial" w:hAnsi="Arial" w:cs="Arial"/>
          <w:sz w:val="24"/>
          <w:szCs w:val="24"/>
        </w:rPr>
      </w:pPr>
      <w:r w:rsidRPr="00242122">
        <w:rPr>
          <w:rFonts w:ascii="Arial" w:hAnsi="Arial" w:cs="Arial"/>
          <w:sz w:val="24"/>
          <w:szCs w:val="24"/>
        </w:rPr>
        <w:t>1.002 aglomerări mai mari de 2000 l.e. care nu nu sunt dotate cu sisteme de colectare a apelor uzate (inclusiv aglomerările unde în 55 sisteme de colectare / epurare se produc fenomene de revărsări de ape pe timp ploios);</w:t>
      </w:r>
    </w:p>
    <w:p w:rsidR="002967F0" w:rsidRPr="00242122" w:rsidRDefault="002967F0" w:rsidP="00B12004">
      <w:pPr>
        <w:numPr>
          <w:ilvl w:val="0"/>
          <w:numId w:val="17"/>
        </w:numPr>
        <w:spacing w:after="0" w:line="240" w:lineRule="auto"/>
        <w:jc w:val="both"/>
        <w:rPr>
          <w:rFonts w:ascii="Arial" w:hAnsi="Arial" w:cs="Arial"/>
          <w:sz w:val="24"/>
          <w:szCs w:val="24"/>
        </w:rPr>
      </w:pPr>
      <w:r w:rsidRPr="00242122">
        <w:rPr>
          <w:rFonts w:ascii="Arial" w:hAnsi="Arial" w:cs="Arial"/>
          <w:sz w:val="24"/>
          <w:szCs w:val="24"/>
        </w:rPr>
        <w:t>5.510 aglomerări mai mici de 2000 l.e. fără sisteme de colectare;</w:t>
      </w:r>
    </w:p>
    <w:p w:rsidR="002967F0" w:rsidRPr="00242122" w:rsidRDefault="002967F0" w:rsidP="00B12004">
      <w:pPr>
        <w:numPr>
          <w:ilvl w:val="0"/>
          <w:numId w:val="17"/>
        </w:numPr>
        <w:spacing w:after="0" w:line="240" w:lineRule="auto"/>
        <w:ind w:left="284" w:hanging="284"/>
        <w:jc w:val="both"/>
        <w:rPr>
          <w:rFonts w:ascii="Arial" w:hAnsi="Arial" w:cs="Arial"/>
          <w:sz w:val="24"/>
          <w:szCs w:val="24"/>
        </w:rPr>
      </w:pPr>
      <w:r w:rsidRPr="00242122">
        <w:rPr>
          <w:rFonts w:ascii="Arial" w:hAnsi="Arial" w:cs="Arial"/>
          <w:sz w:val="24"/>
          <w:szCs w:val="24"/>
        </w:rPr>
        <w:t xml:space="preserve"> 4.844 presiuni difuze agricole;</w:t>
      </w:r>
    </w:p>
    <w:p w:rsidR="002967F0" w:rsidRPr="00242122" w:rsidRDefault="002967F0" w:rsidP="00B12004">
      <w:pPr>
        <w:numPr>
          <w:ilvl w:val="0"/>
          <w:numId w:val="17"/>
        </w:numPr>
        <w:spacing w:after="0" w:line="240" w:lineRule="auto"/>
        <w:ind w:left="284" w:hanging="284"/>
        <w:jc w:val="both"/>
        <w:rPr>
          <w:rFonts w:ascii="Arial" w:hAnsi="Arial" w:cs="Arial"/>
          <w:sz w:val="24"/>
          <w:szCs w:val="24"/>
        </w:rPr>
      </w:pPr>
      <w:r w:rsidRPr="00242122">
        <w:rPr>
          <w:rFonts w:ascii="Arial" w:hAnsi="Arial" w:cs="Arial"/>
          <w:sz w:val="24"/>
          <w:szCs w:val="24"/>
        </w:rPr>
        <w:t xml:space="preserve"> 428  unități industriale și </w:t>
      </w:r>
    </w:p>
    <w:p w:rsidR="002967F0" w:rsidRPr="00242122" w:rsidRDefault="002967F0" w:rsidP="00B12004">
      <w:pPr>
        <w:numPr>
          <w:ilvl w:val="0"/>
          <w:numId w:val="17"/>
        </w:numPr>
        <w:spacing w:after="0" w:line="240" w:lineRule="auto"/>
        <w:ind w:left="284" w:hanging="284"/>
        <w:jc w:val="both"/>
        <w:rPr>
          <w:rFonts w:ascii="Arial" w:hAnsi="Arial" w:cs="Arial"/>
          <w:sz w:val="24"/>
          <w:szCs w:val="24"/>
        </w:rPr>
      </w:pPr>
      <w:r w:rsidRPr="00242122">
        <w:rPr>
          <w:rFonts w:ascii="Arial" w:hAnsi="Arial" w:cs="Arial"/>
          <w:sz w:val="24"/>
          <w:szCs w:val="24"/>
        </w:rPr>
        <w:t xml:space="preserve"> 891 altele (activități piscicole, despăduriri, etc.).</w:t>
      </w:r>
    </w:p>
    <w:p w:rsidR="002967F0" w:rsidRPr="00242122" w:rsidRDefault="002967F0" w:rsidP="002967F0">
      <w:pPr>
        <w:spacing w:after="0" w:line="240" w:lineRule="auto"/>
        <w:ind w:firstLine="567"/>
        <w:jc w:val="both"/>
        <w:rPr>
          <w:rFonts w:ascii="Arial" w:hAnsi="Arial" w:cs="Arial"/>
          <w:noProof/>
          <w:sz w:val="24"/>
          <w:szCs w:val="24"/>
        </w:rPr>
      </w:pPr>
      <w:r w:rsidRPr="00242122">
        <w:rPr>
          <w:rFonts w:ascii="Arial" w:hAnsi="Arial" w:cs="Arial"/>
          <w:sz w:val="24"/>
          <w:szCs w:val="24"/>
        </w:rPr>
        <w:t xml:space="preserve">În urmă aplicării procesului de validare a presiunilor potențial semnificative difuze cu atingerea obiectivelor de mediu (starea/potenţialul ecologic şi starea chimică a corpurilor de apă), s-a identificat un număr de </w:t>
      </w:r>
      <w:r w:rsidRPr="00242122">
        <w:rPr>
          <w:rFonts w:ascii="Arial" w:hAnsi="Arial" w:cs="Arial"/>
          <w:b/>
          <w:bCs/>
          <w:sz w:val="24"/>
          <w:szCs w:val="24"/>
        </w:rPr>
        <w:t>3,717</w:t>
      </w:r>
      <w:r w:rsidRPr="00242122">
        <w:rPr>
          <w:rFonts w:ascii="Arial" w:hAnsi="Arial" w:cs="Arial"/>
          <w:sz w:val="24"/>
          <w:szCs w:val="24"/>
        </w:rPr>
        <w:t xml:space="preserve"> </w:t>
      </w:r>
      <w:r w:rsidRPr="00242122">
        <w:rPr>
          <w:rFonts w:ascii="Arial" w:hAnsi="Arial" w:cs="Arial"/>
          <w:b/>
          <w:sz w:val="24"/>
          <w:szCs w:val="24"/>
        </w:rPr>
        <w:t xml:space="preserve"> presiuni semnificative difuze</w:t>
      </w:r>
      <w:r w:rsidRPr="00242122">
        <w:rPr>
          <w:rFonts w:ascii="Arial" w:hAnsi="Arial" w:cs="Arial"/>
          <w:sz w:val="24"/>
          <w:szCs w:val="24"/>
        </w:rPr>
        <w:t xml:space="preserve"> (</w:t>
      </w:r>
      <w:r w:rsidRPr="00242122">
        <w:rPr>
          <w:rFonts w:ascii="Arial" w:hAnsi="Arial" w:cs="Arial"/>
          <w:noProof/>
          <w:sz w:val="24"/>
          <w:szCs w:val="24"/>
        </w:rPr>
        <w:t xml:space="preserve">2.981 </w:t>
      </w:r>
      <w:r w:rsidRPr="00242122">
        <w:rPr>
          <w:rFonts w:ascii="Arial" w:hAnsi="Arial" w:cs="Arial"/>
          <w:sz w:val="24"/>
          <w:szCs w:val="24"/>
        </w:rPr>
        <w:t xml:space="preserve">urbane, 539 agricole, 40 industriale, 152 piscicultură și 5 despăduriri). </w:t>
      </w:r>
    </w:p>
    <w:p w:rsidR="002967F0" w:rsidRPr="00242122" w:rsidRDefault="002967F0" w:rsidP="002967F0">
      <w:pPr>
        <w:spacing w:after="0" w:line="240" w:lineRule="auto"/>
        <w:ind w:firstLine="567"/>
        <w:jc w:val="both"/>
        <w:rPr>
          <w:rFonts w:ascii="Arial" w:hAnsi="Arial" w:cs="Arial"/>
          <w:sz w:val="24"/>
          <w:szCs w:val="24"/>
        </w:rPr>
      </w:pPr>
      <w:r w:rsidRPr="00242122">
        <w:rPr>
          <w:rFonts w:ascii="Arial" w:hAnsi="Arial" w:cs="Arial"/>
          <w:sz w:val="24"/>
          <w:szCs w:val="24"/>
        </w:rPr>
        <w:t xml:space="preserve"> </w:t>
      </w:r>
    </w:p>
    <w:p w:rsidR="002967F0" w:rsidRPr="00242122" w:rsidRDefault="002967F0" w:rsidP="002967F0">
      <w:pPr>
        <w:spacing w:after="0" w:line="240" w:lineRule="auto"/>
        <w:ind w:firstLine="567"/>
        <w:jc w:val="both"/>
        <w:rPr>
          <w:rFonts w:ascii="Arial" w:hAnsi="Arial" w:cs="Arial"/>
          <w:b/>
          <w:sz w:val="24"/>
          <w:szCs w:val="24"/>
        </w:rPr>
      </w:pPr>
      <w:r w:rsidRPr="00242122">
        <w:rPr>
          <w:rFonts w:ascii="Arial" w:hAnsi="Arial" w:cs="Arial"/>
          <w:sz w:val="24"/>
          <w:szCs w:val="24"/>
        </w:rPr>
        <w:t xml:space="preserve">O altă categorie importantă de presiuni semnificative este cea legată de </w:t>
      </w:r>
      <w:r w:rsidRPr="00242122">
        <w:rPr>
          <w:rFonts w:ascii="Arial" w:hAnsi="Arial" w:cs="Arial"/>
          <w:b/>
          <w:i/>
          <w:sz w:val="24"/>
          <w:szCs w:val="24"/>
        </w:rPr>
        <w:t>presiunile hidromorfologice semnificative</w:t>
      </w:r>
      <w:r w:rsidRPr="00242122">
        <w:rPr>
          <w:rFonts w:ascii="Arial" w:hAnsi="Arial" w:cs="Arial"/>
          <w:sz w:val="24"/>
          <w:szCs w:val="24"/>
        </w:rPr>
        <w:t>. Modificările caracteristicilor hidromorfologice ale cursurilor de apă (schimbări ale cursurilor naturale, schimbări ale regimului hidrologic, deteriorarea biodiversităţii acvatice, etc.) provoacă impact asupra mediului acvatic, care poate contribui la neatingerea obiectivelor de mediu ale corpurilor de apă. La nivel naţional s-a identificat un număr de 4.950</w:t>
      </w:r>
      <w:r w:rsidRPr="00242122">
        <w:rPr>
          <w:rFonts w:ascii="Arial" w:hAnsi="Arial" w:cs="Arial"/>
          <w:b/>
          <w:sz w:val="24"/>
          <w:szCs w:val="24"/>
        </w:rPr>
        <w:t xml:space="preserve"> presiuni hidromorfologice potențial semnificative</w:t>
      </w:r>
      <w:r w:rsidRPr="00242122">
        <w:rPr>
          <w:rFonts w:ascii="Arial" w:hAnsi="Arial" w:cs="Arial"/>
          <w:sz w:val="24"/>
          <w:szCs w:val="24"/>
        </w:rPr>
        <w:t xml:space="preserve">. În urma aplicării procesului de validare a presiunilor potențial semnificative – alterări hidromorfologice cu atingerea obiectivelor de mediu de către corpurile de apă de suprafață, la nivel naţional s-a identificat un număr de 407 </w:t>
      </w:r>
      <w:r w:rsidRPr="00242122">
        <w:rPr>
          <w:rFonts w:ascii="Arial" w:hAnsi="Arial" w:cs="Arial"/>
          <w:b/>
          <w:sz w:val="24"/>
          <w:szCs w:val="24"/>
        </w:rPr>
        <w:t xml:space="preserve"> presiuni hidromorfologice semnificative. </w:t>
      </w:r>
    </w:p>
    <w:p w:rsidR="002967F0" w:rsidRPr="00242122" w:rsidRDefault="002967F0" w:rsidP="002967F0">
      <w:pPr>
        <w:spacing w:after="0" w:line="240" w:lineRule="auto"/>
        <w:ind w:firstLine="567"/>
        <w:jc w:val="both"/>
        <w:rPr>
          <w:rFonts w:ascii="Arial" w:hAnsi="Arial" w:cs="Arial"/>
          <w:sz w:val="24"/>
          <w:szCs w:val="24"/>
        </w:rPr>
      </w:pPr>
    </w:p>
    <w:p w:rsidR="002967F0" w:rsidRPr="00242122" w:rsidRDefault="002967F0" w:rsidP="002967F0">
      <w:pPr>
        <w:spacing w:after="0" w:line="240" w:lineRule="auto"/>
        <w:ind w:firstLine="567"/>
        <w:jc w:val="both"/>
        <w:rPr>
          <w:rFonts w:ascii="Arial" w:hAnsi="Arial" w:cs="Arial"/>
          <w:sz w:val="24"/>
          <w:szCs w:val="24"/>
        </w:rPr>
      </w:pPr>
      <w:r w:rsidRPr="00242122">
        <w:rPr>
          <w:rFonts w:ascii="Arial" w:hAnsi="Arial" w:cs="Arial"/>
          <w:sz w:val="24"/>
          <w:szCs w:val="24"/>
        </w:rPr>
        <w:t xml:space="preserve">Concluzionând, în anul 2019 s-a identificat un număr total de </w:t>
      </w:r>
      <w:r w:rsidRPr="00242122">
        <w:rPr>
          <w:rFonts w:ascii="Arial" w:hAnsi="Arial" w:cs="Arial"/>
          <w:b/>
          <w:sz w:val="24"/>
          <w:szCs w:val="24"/>
        </w:rPr>
        <w:t>19.971 presiuni potențial semnificative,</w:t>
      </w:r>
      <w:r w:rsidRPr="00242122">
        <w:rPr>
          <w:rFonts w:ascii="Arial" w:hAnsi="Arial" w:cs="Arial"/>
          <w:sz w:val="24"/>
          <w:szCs w:val="24"/>
        </w:rPr>
        <w:t xml:space="preserve"> tipul și ponderea acestora fiind prezentate în </w:t>
      </w:r>
      <w:r w:rsidRPr="00242122">
        <w:rPr>
          <w:rFonts w:ascii="Arial" w:hAnsi="Arial" w:cs="Arial"/>
          <w:i/>
          <w:sz w:val="24"/>
          <w:szCs w:val="24"/>
        </w:rPr>
        <w:t>Figura II.2.2.1.6</w:t>
      </w:r>
      <w:r w:rsidRPr="00242122">
        <w:rPr>
          <w:rFonts w:ascii="Arial" w:hAnsi="Arial" w:cs="Arial"/>
          <w:sz w:val="24"/>
          <w:szCs w:val="24"/>
        </w:rPr>
        <w:t xml:space="preserve">. Se constată că ponderea cea mai mare a presiunilor potențial semnificative este reprezentată de presiunile difuze - aglomerări umane fără sisteme de colectare și agricultură, precum și de presiunile hidromorfologice. </w:t>
      </w:r>
    </w:p>
    <w:p w:rsidR="002967F0" w:rsidRPr="00242122" w:rsidRDefault="002967F0" w:rsidP="002967F0">
      <w:pPr>
        <w:spacing w:after="0" w:line="240" w:lineRule="auto"/>
        <w:ind w:firstLine="567"/>
        <w:jc w:val="both"/>
        <w:rPr>
          <w:rFonts w:ascii="Arial" w:hAnsi="Arial" w:cs="Arial"/>
          <w:sz w:val="24"/>
          <w:szCs w:val="24"/>
        </w:rPr>
      </w:pPr>
    </w:p>
    <w:p w:rsidR="002967F0" w:rsidRPr="00242122" w:rsidRDefault="002967F0" w:rsidP="002967F0">
      <w:pPr>
        <w:ind w:firstLine="540"/>
        <w:jc w:val="both"/>
        <w:rPr>
          <w:rFonts w:ascii="Arial" w:hAnsi="Arial" w:cs="Arial"/>
          <w:sz w:val="24"/>
          <w:szCs w:val="24"/>
        </w:rPr>
      </w:pPr>
      <w:r w:rsidRPr="00242122">
        <w:rPr>
          <w:rFonts w:ascii="Arial" w:hAnsi="Arial" w:cs="Arial"/>
          <w:sz w:val="24"/>
          <w:szCs w:val="24"/>
        </w:rPr>
        <w:t>În ceea ce privește presiunile semnificative a fost identificat un număr total de 4.522 presiuni semnificative, tipul acestora fiind prezentat în Figura II.2.2.1.14. Se constată că ponderea cea mai mare a presiunilor este reprezentată de presiunile difuze provenite, ca și în cazul presiunilor potențial semnificative, de la aglomerări umane fără sisteme de colectare și din agricultură.</w:t>
      </w:r>
    </w:p>
    <w:p w:rsidR="002967F0" w:rsidRDefault="002967F0" w:rsidP="002967F0">
      <w:pPr>
        <w:spacing w:before="120" w:after="120" w:line="240" w:lineRule="auto"/>
        <w:jc w:val="center"/>
        <w:rPr>
          <w:rFonts w:ascii="Arial" w:hAnsi="Arial" w:cs="Arial"/>
          <w:b/>
          <w:sz w:val="24"/>
          <w:szCs w:val="24"/>
        </w:rPr>
      </w:pPr>
    </w:p>
    <w:p w:rsidR="005B62C4" w:rsidRPr="00242122" w:rsidRDefault="005B62C4" w:rsidP="002967F0">
      <w:pPr>
        <w:spacing w:before="120" w:after="120" w:line="240" w:lineRule="auto"/>
        <w:jc w:val="center"/>
        <w:rPr>
          <w:rFonts w:ascii="Arial" w:hAnsi="Arial" w:cs="Arial"/>
          <w:b/>
          <w:sz w:val="24"/>
          <w:szCs w:val="24"/>
        </w:rPr>
      </w:pPr>
    </w:p>
    <w:p w:rsidR="002967F0" w:rsidRPr="00242122" w:rsidRDefault="002967F0" w:rsidP="002967F0">
      <w:pPr>
        <w:spacing w:before="120" w:after="120" w:line="240" w:lineRule="auto"/>
        <w:jc w:val="center"/>
        <w:rPr>
          <w:rFonts w:ascii="Arial" w:hAnsi="Arial" w:cs="Arial"/>
          <w:b/>
          <w:sz w:val="24"/>
          <w:szCs w:val="24"/>
        </w:rPr>
      </w:pPr>
      <w:r w:rsidRPr="00242122">
        <w:rPr>
          <w:rFonts w:ascii="Arial" w:hAnsi="Arial" w:cs="Arial"/>
          <w:b/>
          <w:sz w:val="24"/>
          <w:szCs w:val="24"/>
        </w:rPr>
        <w:t>Ponderea presiunilor potențial semnificative la nivel național</w:t>
      </w:r>
    </w:p>
    <w:p w:rsidR="002967F0" w:rsidRPr="00242122" w:rsidRDefault="002967F0" w:rsidP="002967F0">
      <w:pPr>
        <w:spacing w:before="120" w:after="120" w:line="240" w:lineRule="auto"/>
        <w:jc w:val="center"/>
        <w:rPr>
          <w:rFonts w:ascii="Arial" w:hAnsi="Arial" w:cs="Arial"/>
          <w:b/>
          <w:sz w:val="24"/>
          <w:szCs w:val="24"/>
        </w:rPr>
      </w:pPr>
    </w:p>
    <w:p w:rsidR="002967F0" w:rsidRPr="00242122" w:rsidRDefault="002967F0" w:rsidP="002967F0">
      <w:pPr>
        <w:spacing w:before="120" w:after="120" w:line="240" w:lineRule="auto"/>
        <w:jc w:val="center"/>
        <w:rPr>
          <w:rFonts w:ascii="Arial" w:hAnsi="Arial" w:cs="Arial"/>
          <w:noProof/>
          <w:lang w:val="en-GB" w:eastAsia="en-GB"/>
        </w:rPr>
      </w:pPr>
      <w:r w:rsidRPr="00242122">
        <w:rPr>
          <w:rFonts w:ascii="Arial" w:hAnsi="Arial" w:cs="Arial"/>
          <w:noProof/>
          <w:lang w:eastAsia="ro-RO"/>
        </w:rPr>
        <w:drawing>
          <wp:inline distT="0" distB="0" distL="0" distR="0" wp14:anchorId="6B296366" wp14:editId="2DD72330">
            <wp:extent cx="4570730" cy="3067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70730" cy="3067050"/>
                    </a:xfrm>
                    <a:prstGeom prst="rect">
                      <a:avLst/>
                    </a:prstGeom>
                    <a:noFill/>
                  </pic:spPr>
                </pic:pic>
              </a:graphicData>
            </a:graphic>
          </wp:inline>
        </w:drawing>
      </w:r>
    </w:p>
    <w:p w:rsidR="002967F0" w:rsidRPr="00242122" w:rsidRDefault="002967F0" w:rsidP="005B62C4">
      <w:pPr>
        <w:spacing w:before="120" w:after="120" w:line="240" w:lineRule="auto"/>
        <w:rPr>
          <w:rFonts w:ascii="Arial" w:hAnsi="Arial" w:cs="Arial"/>
          <w:b/>
          <w:sz w:val="24"/>
          <w:szCs w:val="24"/>
        </w:rPr>
      </w:pPr>
      <w:r w:rsidRPr="00242122">
        <w:rPr>
          <w:rFonts w:ascii="Arial" w:hAnsi="Arial" w:cs="Arial"/>
          <w:b/>
          <w:sz w:val="24"/>
          <w:szCs w:val="24"/>
        </w:rPr>
        <w:t>Figura II.2.2.1.6</w:t>
      </w:r>
    </w:p>
    <w:p w:rsidR="002967F0" w:rsidRPr="00242122" w:rsidRDefault="002967F0" w:rsidP="002967F0">
      <w:pPr>
        <w:spacing w:before="120" w:after="120" w:line="240" w:lineRule="auto"/>
        <w:jc w:val="both"/>
        <w:rPr>
          <w:rFonts w:ascii="Arial" w:hAnsi="Arial" w:cs="Arial"/>
          <w:i/>
          <w:sz w:val="24"/>
          <w:szCs w:val="24"/>
        </w:rPr>
      </w:pPr>
      <w:r w:rsidRPr="00242122">
        <w:rPr>
          <w:rFonts w:ascii="Arial" w:hAnsi="Arial" w:cs="Arial"/>
          <w:i/>
          <w:sz w:val="24"/>
          <w:szCs w:val="24"/>
        </w:rPr>
        <w:t>(</w:t>
      </w:r>
      <w:r w:rsidRPr="00242122">
        <w:rPr>
          <w:rFonts w:ascii="Arial" w:hAnsi="Arial" w:cs="Arial"/>
          <w:i/>
        </w:rPr>
        <w:t>Sursa datelor: Administrația Națională „Apele Române”, Planul Național de Management actualizat 2021</w:t>
      </w:r>
      <w:r w:rsidRPr="00242122">
        <w:rPr>
          <w:rFonts w:ascii="Arial" w:hAnsi="Arial" w:cs="Arial"/>
          <w:i/>
          <w:sz w:val="24"/>
          <w:szCs w:val="24"/>
        </w:rPr>
        <w:t>)</w:t>
      </w:r>
    </w:p>
    <w:p w:rsidR="002967F0" w:rsidRPr="00242122" w:rsidRDefault="002967F0" w:rsidP="002967F0">
      <w:pPr>
        <w:ind w:firstLine="540"/>
        <w:jc w:val="center"/>
        <w:rPr>
          <w:rFonts w:ascii="Arial" w:hAnsi="Arial" w:cs="Arial"/>
          <w:b/>
          <w:bCs/>
          <w:i/>
          <w:sz w:val="24"/>
          <w:szCs w:val="24"/>
          <w:lang w:val="fr-BE"/>
        </w:rPr>
      </w:pPr>
    </w:p>
    <w:p w:rsidR="005B62C4" w:rsidRDefault="005B62C4" w:rsidP="002967F0">
      <w:pPr>
        <w:ind w:firstLine="540"/>
        <w:jc w:val="center"/>
        <w:rPr>
          <w:rFonts w:ascii="Arial" w:hAnsi="Arial" w:cs="Arial"/>
          <w:b/>
          <w:bCs/>
          <w:i/>
          <w:sz w:val="24"/>
          <w:szCs w:val="24"/>
          <w:lang w:val="fr-BE"/>
        </w:rPr>
      </w:pPr>
    </w:p>
    <w:p w:rsidR="005B62C4" w:rsidRDefault="005B62C4" w:rsidP="002967F0">
      <w:pPr>
        <w:ind w:firstLine="540"/>
        <w:jc w:val="center"/>
        <w:rPr>
          <w:rFonts w:ascii="Arial" w:hAnsi="Arial" w:cs="Arial"/>
          <w:b/>
          <w:bCs/>
          <w:i/>
          <w:sz w:val="24"/>
          <w:szCs w:val="24"/>
          <w:lang w:val="fr-BE"/>
        </w:rPr>
      </w:pPr>
    </w:p>
    <w:p w:rsidR="005B62C4" w:rsidRDefault="005B62C4" w:rsidP="002967F0">
      <w:pPr>
        <w:ind w:firstLine="540"/>
        <w:jc w:val="center"/>
        <w:rPr>
          <w:rFonts w:ascii="Arial" w:hAnsi="Arial" w:cs="Arial"/>
          <w:b/>
          <w:bCs/>
          <w:i/>
          <w:sz w:val="24"/>
          <w:szCs w:val="24"/>
          <w:lang w:val="fr-BE"/>
        </w:rPr>
      </w:pPr>
    </w:p>
    <w:p w:rsidR="005B62C4" w:rsidRDefault="005B62C4" w:rsidP="002967F0">
      <w:pPr>
        <w:ind w:firstLine="540"/>
        <w:jc w:val="center"/>
        <w:rPr>
          <w:rFonts w:ascii="Arial" w:hAnsi="Arial" w:cs="Arial"/>
          <w:b/>
          <w:bCs/>
          <w:i/>
          <w:sz w:val="24"/>
          <w:szCs w:val="24"/>
          <w:lang w:val="fr-BE"/>
        </w:rPr>
      </w:pPr>
    </w:p>
    <w:p w:rsidR="005B62C4" w:rsidRDefault="005B62C4" w:rsidP="002967F0">
      <w:pPr>
        <w:ind w:firstLine="540"/>
        <w:jc w:val="center"/>
        <w:rPr>
          <w:rFonts w:ascii="Arial" w:hAnsi="Arial" w:cs="Arial"/>
          <w:b/>
          <w:bCs/>
          <w:i/>
          <w:sz w:val="24"/>
          <w:szCs w:val="24"/>
          <w:lang w:val="fr-BE"/>
        </w:rPr>
      </w:pPr>
    </w:p>
    <w:p w:rsidR="005B62C4" w:rsidRDefault="005B62C4" w:rsidP="002967F0">
      <w:pPr>
        <w:ind w:firstLine="540"/>
        <w:jc w:val="center"/>
        <w:rPr>
          <w:rFonts w:ascii="Arial" w:hAnsi="Arial" w:cs="Arial"/>
          <w:b/>
          <w:bCs/>
          <w:i/>
          <w:sz w:val="24"/>
          <w:szCs w:val="24"/>
          <w:lang w:val="fr-BE"/>
        </w:rPr>
      </w:pPr>
    </w:p>
    <w:p w:rsidR="005B62C4" w:rsidRDefault="005B62C4" w:rsidP="002967F0">
      <w:pPr>
        <w:ind w:firstLine="540"/>
        <w:jc w:val="center"/>
        <w:rPr>
          <w:rFonts w:ascii="Arial" w:hAnsi="Arial" w:cs="Arial"/>
          <w:b/>
          <w:bCs/>
          <w:i/>
          <w:sz w:val="24"/>
          <w:szCs w:val="24"/>
          <w:lang w:val="fr-BE"/>
        </w:rPr>
      </w:pPr>
    </w:p>
    <w:p w:rsidR="002967F0" w:rsidRPr="00242122" w:rsidRDefault="002967F0" w:rsidP="002967F0">
      <w:pPr>
        <w:ind w:firstLine="540"/>
        <w:jc w:val="center"/>
        <w:rPr>
          <w:rFonts w:ascii="Arial" w:hAnsi="Arial" w:cs="Arial"/>
          <w:sz w:val="24"/>
          <w:szCs w:val="24"/>
        </w:rPr>
      </w:pPr>
      <w:r w:rsidRPr="00242122">
        <w:rPr>
          <w:rFonts w:ascii="Arial" w:hAnsi="Arial" w:cs="Arial"/>
          <w:b/>
          <w:bCs/>
          <w:i/>
          <w:sz w:val="24"/>
          <w:szCs w:val="24"/>
          <w:lang w:val="fr-BE"/>
        </w:rPr>
        <w:t>Ponderea presiunilor semnificative la nivel național</w:t>
      </w:r>
      <w:r w:rsidRPr="00242122" w:rsidDel="00F5313F">
        <w:rPr>
          <w:rFonts w:ascii="Arial" w:hAnsi="Arial" w:cs="Arial"/>
          <w:b/>
          <w:bCs/>
          <w:i/>
          <w:sz w:val="24"/>
          <w:szCs w:val="24"/>
          <w:lang w:val="fr-BE"/>
        </w:rPr>
        <w:t xml:space="preserve"> </w:t>
      </w:r>
      <w:r w:rsidRPr="00242122">
        <w:rPr>
          <w:rFonts w:ascii="Arial" w:hAnsi="Arial" w:cs="Arial"/>
          <w:b/>
          <w:bCs/>
          <w:i/>
          <w:sz w:val="24"/>
          <w:szCs w:val="24"/>
          <w:lang w:val="fr-BE"/>
        </w:rPr>
        <w:t xml:space="preserve"> </w:t>
      </w:r>
    </w:p>
    <w:p w:rsidR="002967F0" w:rsidRPr="00242122" w:rsidRDefault="002967F0" w:rsidP="002967F0">
      <w:pPr>
        <w:spacing w:before="120" w:after="120" w:line="240" w:lineRule="auto"/>
        <w:jc w:val="center"/>
        <w:rPr>
          <w:rFonts w:ascii="Arial" w:hAnsi="Arial" w:cs="Arial"/>
          <w:sz w:val="24"/>
          <w:szCs w:val="24"/>
        </w:rPr>
      </w:pPr>
      <w:r w:rsidRPr="00242122">
        <w:rPr>
          <w:rFonts w:ascii="Arial" w:hAnsi="Arial" w:cs="Arial"/>
          <w:noProof/>
          <w:sz w:val="24"/>
          <w:szCs w:val="24"/>
          <w:lang w:eastAsia="ro-RO"/>
        </w:rPr>
        <w:drawing>
          <wp:inline distT="0" distB="0" distL="0" distR="0" wp14:anchorId="316DA7E7" wp14:editId="56CF1CFD">
            <wp:extent cx="4734560" cy="29730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34560" cy="2973070"/>
                    </a:xfrm>
                    <a:prstGeom prst="rect">
                      <a:avLst/>
                    </a:prstGeom>
                    <a:noFill/>
                  </pic:spPr>
                </pic:pic>
              </a:graphicData>
            </a:graphic>
          </wp:inline>
        </w:drawing>
      </w:r>
    </w:p>
    <w:p w:rsidR="002967F0" w:rsidRPr="00242122" w:rsidRDefault="002967F0" w:rsidP="005B62C4">
      <w:pPr>
        <w:spacing w:before="120" w:after="120" w:line="240" w:lineRule="auto"/>
        <w:rPr>
          <w:rFonts w:ascii="Arial" w:hAnsi="Arial" w:cs="Arial"/>
          <w:b/>
          <w:sz w:val="24"/>
          <w:szCs w:val="24"/>
        </w:rPr>
      </w:pPr>
      <w:r w:rsidRPr="00242122">
        <w:rPr>
          <w:rFonts w:ascii="Arial" w:hAnsi="Arial" w:cs="Arial"/>
          <w:b/>
          <w:sz w:val="24"/>
          <w:szCs w:val="24"/>
        </w:rPr>
        <w:t>Figura II.2.2.1.7</w:t>
      </w:r>
    </w:p>
    <w:p w:rsidR="002967F0" w:rsidRPr="00242122" w:rsidRDefault="002967F0" w:rsidP="002967F0">
      <w:pPr>
        <w:spacing w:before="120" w:after="120" w:line="240" w:lineRule="auto"/>
        <w:jc w:val="both"/>
        <w:rPr>
          <w:rFonts w:ascii="Arial" w:hAnsi="Arial" w:cs="Arial"/>
          <w:i/>
          <w:sz w:val="24"/>
          <w:szCs w:val="24"/>
        </w:rPr>
      </w:pPr>
      <w:r w:rsidRPr="00242122">
        <w:rPr>
          <w:rFonts w:ascii="Arial" w:hAnsi="Arial" w:cs="Arial"/>
          <w:i/>
          <w:sz w:val="24"/>
          <w:szCs w:val="24"/>
        </w:rPr>
        <w:t>(</w:t>
      </w:r>
      <w:r w:rsidRPr="00242122">
        <w:rPr>
          <w:rFonts w:ascii="Arial" w:hAnsi="Arial" w:cs="Arial"/>
          <w:i/>
        </w:rPr>
        <w:t>Sursa datelor: Administrația Națională „Apele Române”, proiectul Planului Național de Management actualizat 2021</w:t>
      </w:r>
      <w:r w:rsidRPr="00242122">
        <w:rPr>
          <w:rFonts w:ascii="Arial" w:hAnsi="Arial" w:cs="Arial"/>
          <w:i/>
          <w:sz w:val="24"/>
          <w:szCs w:val="24"/>
        </w:rPr>
        <w:t>)</w:t>
      </w:r>
    </w:p>
    <w:p w:rsidR="002967F0" w:rsidRPr="00242122" w:rsidRDefault="002967F0" w:rsidP="002967F0">
      <w:pPr>
        <w:spacing w:before="120" w:after="120" w:line="240" w:lineRule="auto"/>
        <w:ind w:firstLine="567"/>
        <w:jc w:val="both"/>
        <w:rPr>
          <w:rFonts w:ascii="Arial" w:hAnsi="Arial" w:cs="Arial"/>
          <w:b/>
          <w:bCs/>
          <w:sz w:val="24"/>
          <w:szCs w:val="24"/>
        </w:rPr>
      </w:pP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b/>
          <w:bCs/>
          <w:sz w:val="24"/>
          <w:szCs w:val="24"/>
        </w:rPr>
        <w:t>Riscul neatingerii obiectivelor de mediu pentru corpurile de apă de suprafaţă</w:t>
      </w:r>
      <w:r w:rsidRPr="00242122">
        <w:rPr>
          <w:rFonts w:ascii="Arial" w:hAnsi="Arial" w:cs="Arial"/>
          <w:sz w:val="24"/>
          <w:szCs w:val="24"/>
        </w:rPr>
        <w:t xml:space="preserve"> a fost evaluat având în vedere informațiile privind corpurile de apă, actualizarea informaţiilor privind presiunile semnificative şi impactul acestora asupra apelor, precum şi identificarea măsurilor de bază şi suplimentare care, aplicate pe o perioadă de 6 ani, ar putea conduce la atingerea obiectivelor de mediu în anul 2027. În procesul de evaluare a riscului s-a ţinut cont de presiunile potențial semnificative identificate şi de evaluarea impactului, respectiv de starea / potenţialul ecologic şi starea chimică şi s-au luat în considerare următoarele categorii de risc: poluarea cu substanţe organice, poluarea cu nutrienţi, poluarea cu substanţe periculoase şi alterările hidromorfologice, având în vedere că aceste 4 categorii de presiuni au fost identificate, atât la nivelul Districtului Internaţional al Dunării, cât şi la nivel naţional, ca fiind probleme importante de gospodărirea apelor.</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Riscul total este compus din riscul ecologic şi riscul chimic, iar evaluarea este dată de cea mai proastă situaţie regăsită la cele 2 categorii de risc.</w:t>
      </w:r>
    </w:p>
    <w:p w:rsidR="002967F0" w:rsidRPr="00242122" w:rsidRDefault="002967F0" w:rsidP="002967F0">
      <w:pPr>
        <w:spacing w:before="120" w:after="120" w:line="240" w:lineRule="auto"/>
        <w:ind w:firstLine="567"/>
        <w:jc w:val="both"/>
        <w:rPr>
          <w:rFonts w:ascii="Arial" w:eastAsia="Times New Roman" w:hAnsi="Arial" w:cs="Arial"/>
          <w:sz w:val="24"/>
          <w:szCs w:val="24"/>
          <w:lang w:val="fr-BE"/>
        </w:rPr>
      </w:pPr>
      <w:r w:rsidRPr="00242122">
        <w:rPr>
          <w:rFonts w:ascii="Arial" w:hAnsi="Arial" w:cs="Arial"/>
          <w:sz w:val="24"/>
          <w:szCs w:val="24"/>
        </w:rPr>
        <w:t xml:space="preserve">Din analiza efectuată rezultă că la nivel național,  dintr-un total de 3.025 corpuri de apă, au fost identificate ca fiind la risc în anul 2021 un număr total de 993 corpuri de apă </w:t>
      </w:r>
      <w:r w:rsidRPr="00242122">
        <w:rPr>
          <w:rFonts w:ascii="Arial" w:eastAsia="Times New Roman" w:hAnsi="Arial" w:cs="Arial"/>
          <w:sz w:val="24"/>
          <w:szCs w:val="24"/>
          <w:lang w:val="fr-BE"/>
        </w:rPr>
        <w:t>(32,83 %). Se precizează că numărul de 993  corpuri de apă nu include cele 19 corpuri de apă pentru care se aplică excepţii de stabilire a unor obiective de mediu mai puțin severe (Art. 4.5), acestea fiind considerate că și-au atins obiectivul de mediu până în anul 2021.</w:t>
      </w:r>
    </w:p>
    <w:p w:rsidR="002967F0" w:rsidRPr="00242122" w:rsidRDefault="002967F0" w:rsidP="002967F0">
      <w:pPr>
        <w:spacing w:before="120" w:after="120" w:line="240" w:lineRule="auto"/>
        <w:ind w:firstLine="567"/>
        <w:jc w:val="both"/>
        <w:rPr>
          <w:rFonts w:ascii="Arial" w:eastAsia="Times New Roman" w:hAnsi="Arial" w:cs="Arial"/>
          <w:sz w:val="24"/>
          <w:szCs w:val="24"/>
          <w:lang w:val="fr-BE"/>
        </w:rPr>
      </w:pPr>
      <w:r w:rsidRPr="00242122">
        <w:rPr>
          <w:rFonts w:ascii="Arial" w:eastAsia="Times New Roman" w:hAnsi="Arial" w:cs="Arial"/>
          <w:sz w:val="24"/>
          <w:szCs w:val="24"/>
          <w:lang w:val="fr-BE"/>
        </w:rPr>
        <w:t>Din cele 993 corpuri de apă la risc, 641  corpuri de apă au fost evaluate la risc pentru anul 2021. În ceea ce priveşte riscul neatingerii obiectivelor de mediu pentru anul 2027, rămân la risc un număr total de 352  corpuri de apă de suprafață, din care 351 corpuri de apă nu vor atinge starea ecologică bună/potențialul ecologic bun.</w:t>
      </w:r>
    </w:p>
    <w:p w:rsidR="005B62C4" w:rsidRPr="005B62C4" w:rsidRDefault="002967F0" w:rsidP="005B62C4">
      <w:pPr>
        <w:spacing w:before="120" w:after="120" w:line="240" w:lineRule="auto"/>
        <w:ind w:firstLine="567"/>
        <w:jc w:val="both"/>
        <w:rPr>
          <w:rFonts w:ascii="Arial" w:hAnsi="Arial" w:cs="Arial"/>
          <w:sz w:val="24"/>
          <w:szCs w:val="24"/>
        </w:rPr>
      </w:pPr>
      <w:r w:rsidRPr="00242122">
        <w:rPr>
          <w:rFonts w:ascii="Arial" w:eastAsia="Times New Roman" w:hAnsi="Arial" w:cs="Arial"/>
          <w:sz w:val="24"/>
          <w:szCs w:val="24"/>
          <w:lang w:val="fr-BE"/>
        </w:rPr>
        <w:lastRenderedPageBreak/>
        <w:t>De asemenea, din cele 3025 corpuri de apă, 71 corpuri de apă sunt evaluate la risc de neatingere a obiectivului de stare chimică bună la nivelul anului 2021. Este de precizat ca 11 corpuri de apă vor atinge starea chimică bună în intervalul 2022-2027, astfel încât la nivelul anului 2027 ramân 60 corpuri de apă care nu ating starea chimică bună (Figura II.2.2.1.8)</w:t>
      </w:r>
      <w:r w:rsidR="005B62C4">
        <w:rPr>
          <w:rFonts w:ascii="Arial" w:hAnsi="Arial" w:cs="Arial"/>
          <w:sz w:val="24"/>
          <w:szCs w:val="24"/>
        </w:rPr>
        <w:t xml:space="preserve">. </w:t>
      </w:r>
    </w:p>
    <w:p w:rsidR="002967F0" w:rsidRPr="00242122" w:rsidRDefault="002967F0" w:rsidP="002967F0">
      <w:pPr>
        <w:jc w:val="center"/>
        <w:rPr>
          <w:rFonts w:ascii="Arial" w:hAnsi="Arial" w:cs="Arial"/>
          <w:b/>
          <w:bCs/>
          <w:iCs/>
          <w:sz w:val="24"/>
          <w:szCs w:val="24"/>
        </w:rPr>
      </w:pPr>
      <w:r w:rsidRPr="00242122">
        <w:rPr>
          <w:rFonts w:ascii="Arial" w:hAnsi="Arial" w:cs="Arial"/>
          <w:b/>
          <w:bCs/>
          <w:iCs/>
          <w:sz w:val="24"/>
          <w:szCs w:val="24"/>
        </w:rPr>
        <w:t>Numărul corpurilor de apă la risc datorită presiunilor semnificative</w:t>
      </w:r>
    </w:p>
    <w:p w:rsidR="002967F0" w:rsidRPr="00242122" w:rsidRDefault="002967F0" w:rsidP="002967F0">
      <w:pPr>
        <w:jc w:val="center"/>
        <w:rPr>
          <w:rFonts w:ascii="Arial" w:hAnsi="Arial" w:cs="Arial"/>
          <w:b/>
          <w:bCs/>
          <w:iCs/>
          <w:sz w:val="24"/>
          <w:szCs w:val="24"/>
        </w:rPr>
      </w:pPr>
      <w:r w:rsidRPr="00242122">
        <w:rPr>
          <w:rFonts w:ascii="Arial" w:hAnsi="Arial" w:cs="Arial"/>
          <w:b/>
          <w:bCs/>
          <w:iCs/>
          <w:noProof/>
          <w:sz w:val="24"/>
          <w:szCs w:val="24"/>
          <w:lang w:eastAsia="ro-RO"/>
        </w:rPr>
        <w:drawing>
          <wp:inline distT="0" distB="0" distL="0" distR="0" wp14:anchorId="6297E81B" wp14:editId="78B0379C">
            <wp:extent cx="4341495" cy="26847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41495" cy="2684780"/>
                    </a:xfrm>
                    <a:prstGeom prst="rect">
                      <a:avLst/>
                    </a:prstGeom>
                    <a:noFill/>
                  </pic:spPr>
                </pic:pic>
              </a:graphicData>
            </a:graphic>
          </wp:inline>
        </w:drawing>
      </w:r>
    </w:p>
    <w:p w:rsidR="002967F0" w:rsidRPr="00242122" w:rsidRDefault="002967F0" w:rsidP="005B62C4">
      <w:pPr>
        <w:spacing w:before="120" w:after="120" w:line="240" w:lineRule="auto"/>
        <w:rPr>
          <w:rFonts w:ascii="Arial" w:hAnsi="Arial" w:cs="Arial"/>
          <w:b/>
          <w:sz w:val="24"/>
          <w:szCs w:val="24"/>
        </w:rPr>
      </w:pPr>
      <w:r w:rsidRPr="00242122">
        <w:rPr>
          <w:rFonts w:ascii="Arial" w:hAnsi="Arial" w:cs="Arial"/>
          <w:b/>
          <w:sz w:val="24"/>
          <w:szCs w:val="24"/>
        </w:rPr>
        <w:t>Figura II.2.2.1.8</w:t>
      </w:r>
    </w:p>
    <w:p w:rsidR="002967F0" w:rsidRPr="005B62C4" w:rsidRDefault="002967F0" w:rsidP="005B62C4">
      <w:pPr>
        <w:spacing w:before="120" w:after="120" w:line="240" w:lineRule="auto"/>
        <w:jc w:val="both"/>
        <w:rPr>
          <w:rFonts w:ascii="Arial" w:hAnsi="Arial" w:cs="Arial"/>
          <w:i/>
          <w:sz w:val="24"/>
          <w:szCs w:val="24"/>
        </w:rPr>
      </w:pPr>
      <w:r w:rsidRPr="00242122">
        <w:rPr>
          <w:rFonts w:ascii="Arial" w:hAnsi="Arial" w:cs="Arial"/>
          <w:i/>
          <w:sz w:val="24"/>
          <w:szCs w:val="24"/>
        </w:rPr>
        <w:t>(</w:t>
      </w:r>
      <w:r w:rsidRPr="00242122">
        <w:rPr>
          <w:rFonts w:ascii="Arial" w:hAnsi="Arial" w:cs="Arial"/>
          <w:i/>
        </w:rPr>
        <w:t>Sursa datelor: Administrația Națională „Apele Române”, Planul Național de Management actualizat 2021</w:t>
      </w:r>
      <w:r w:rsidR="005B62C4">
        <w:rPr>
          <w:rFonts w:ascii="Arial" w:hAnsi="Arial" w:cs="Arial"/>
          <w:i/>
          <w:sz w:val="24"/>
          <w:szCs w:val="24"/>
        </w:rPr>
        <w:t>)</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Potrivit Sintezei calității apei elaborată de Administrația Națională „Apele Române”, la nivel naţional s-a identificat un număr de </w:t>
      </w:r>
      <w:r w:rsidRPr="00242122">
        <w:rPr>
          <w:rFonts w:ascii="Arial" w:hAnsi="Arial" w:cs="Arial"/>
          <w:b/>
          <w:sz w:val="24"/>
          <w:szCs w:val="24"/>
        </w:rPr>
        <w:t>1.853 utilizatori de apă ce pot produce poluări accidentale</w:t>
      </w:r>
      <w:r w:rsidRPr="00242122">
        <w:rPr>
          <w:rFonts w:ascii="Arial" w:hAnsi="Arial" w:cs="Arial"/>
          <w:sz w:val="24"/>
          <w:szCs w:val="24"/>
        </w:rPr>
        <w:t xml:space="preserve"> şi care şi-au elaborat Planuri proprii de prevenire şi combatere a poluărilor accidentale. În anul 2020, s-au înregistrat </w:t>
      </w:r>
      <w:r w:rsidRPr="00242122">
        <w:rPr>
          <w:rFonts w:ascii="Arial" w:hAnsi="Arial" w:cs="Arial"/>
          <w:b/>
          <w:bCs/>
          <w:sz w:val="24"/>
          <w:szCs w:val="24"/>
        </w:rPr>
        <w:t>72</w:t>
      </w:r>
      <w:r w:rsidRPr="00242122">
        <w:rPr>
          <w:rFonts w:ascii="Arial" w:hAnsi="Arial" w:cs="Arial"/>
          <w:sz w:val="24"/>
          <w:szCs w:val="24"/>
        </w:rPr>
        <w:t xml:space="preserve"> </w:t>
      </w:r>
      <w:r w:rsidRPr="00242122">
        <w:rPr>
          <w:rFonts w:ascii="Arial" w:hAnsi="Arial" w:cs="Arial"/>
          <w:b/>
          <w:sz w:val="24"/>
          <w:szCs w:val="24"/>
        </w:rPr>
        <w:t>poluări accidentale</w:t>
      </w:r>
      <w:r w:rsidRPr="00242122">
        <w:rPr>
          <w:rFonts w:ascii="Arial" w:hAnsi="Arial" w:cs="Arial"/>
          <w:sz w:val="24"/>
          <w:szCs w:val="24"/>
        </w:rPr>
        <w:t xml:space="preserve"> ale cursurilor de apă de suprafaţă, preponderent pe râurile interioare, cu: </w:t>
      </w:r>
    </w:p>
    <w:p w:rsidR="002967F0" w:rsidRPr="00242122" w:rsidRDefault="002967F0" w:rsidP="002967F0">
      <w:pPr>
        <w:spacing w:after="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țiței, hidrocarburi petroliere, produs petrolier, benzină;</w:t>
      </w:r>
    </w:p>
    <w:p w:rsidR="002967F0" w:rsidRPr="00242122" w:rsidRDefault="002967F0" w:rsidP="002967F0">
      <w:pPr>
        <w:spacing w:after="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ape de santină și ape uzate tehnologice neepurate (NH4, CCO-Cr);</w:t>
      </w:r>
    </w:p>
    <w:p w:rsidR="002967F0" w:rsidRPr="00242122" w:rsidRDefault="002967F0" w:rsidP="002967F0">
      <w:pPr>
        <w:spacing w:after="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rocă fosfatică, bauxită;</w:t>
      </w:r>
    </w:p>
    <w:p w:rsidR="002967F0" w:rsidRPr="00242122" w:rsidRDefault="002967F0" w:rsidP="002967F0">
      <w:pPr>
        <w:spacing w:after="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ape uzate fecaloid-menajere neepurate;</w:t>
      </w:r>
    </w:p>
    <w:p w:rsidR="002967F0" w:rsidRPr="00242122" w:rsidRDefault="002967F0" w:rsidP="002967F0">
      <w:pPr>
        <w:spacing w:after="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ape de mină neepurate și insuficient epurate;</w:t>
      </w:r>
    </w:p>
    <w:p w:rsidR="002967F0" w:rsidRPr="00242122" w:rsidRDefault="002967F0" w:rsidP="002967F0">
      <w:pPr>
        <w:spacing w:after="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ape uzate neepurate încărcate cu materii în suspensie din cauza antrenării de steril de la un iaz de decantare;</w:t>
      </w:r>
    </w:p>
    <w:p w:rsidR="002967F0" w:rsidRPr="00242122" w:rsidRDefault="002967F0" w:rsidP="002967F0">
      <w:pPr>
        <w:spacing w:after="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substanţe chimice organice şi anorganice;</w:t>
      </w:r>
    </w:p>
    <w:p w:rsidR="002967F0" w:rsidRPr="00242122" w:rsidRDefault="002967F0" w:rsidP="002967F0">
      <w:pPr>
        <w:spacing w:after="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 xml:space="preserve">materii în suspensie din aluviuni. </w:t>
      </w:r>
    </w:p>
    <w:p w:rsidR="002967F0" w:rsidRPr="00242122" w:rsidRDefault="002967F0" w:rsidP="002967F0">
      <w:pPr>
        <w:spacing w:before="120" w:after="120" w:line="240" w:lineRule="auto"/>
        <w:ind w:firstLine="720"/>
        <w:jc w:val="both"/>
        <w:rPr>
          <w:rFonts w:ascii="Arial" w:hAnsi="Arial" w:cs="Arial"/>
          <w:sz w:val="24"/>
          <w:szCs w:val="24"/>
        </w:rPr>
      </w:pPr>
      <w:r w:rsidRPr="00242122">
        <w:rPr>
          <w:rFonts w:ascii="Arial" w:hAnsi="Arial" w:cs="Arial"/>
          <w:sz w:val="24"/>
          <w:szCs w:val="24"/>
        </w:rPr>
        <w:t>Se menționează că au fost înregistrate și poluări accidentale cu ape uzate menajere neepurate descărcate ilegal în resursele de apă sau pe sol, cu impact asupra stării apelor de suprafață și subterane și cu efecte de mortalitate pisciolă.</w:t>
      </w:r>
    </w:p>
    <w:p w:rsidR="002967F0" w:rsidRPr="00242122" w:rsidRDefault="002967F0" w:rsidP="002967F0">
      <w:pPr>
        <w:spacing w:before="120" w:after="120" w:line="240" w:lineRule="auto"/>
        <w:ind w:firstLine="720"/>
        <w:jc w:val="both"/>
        <w:rPr>
          <w:rFonts w:ascii="Arial" w:hAnsi="Arial" w:cs="Arial"/>
          <w:sz w:val="24"/>
          <w:szCs w:val="24"/>
        </w:rPr>
      </w:pPr>
      <w:r w:rsidRPr="00242122">
        <w:rPr>
          <w:rFonts w:ascii="Arial" w:hAnsi="Arial" w:cs="Arial"/>
          <w:sz w:val="24"/>
          <w:szCs w:val="24"/>
        </w:rPr>
        <w:t xml:space="preserve"> Fenomenele au avut impact local/bazinal, iar datorită duratei reduse a naturii poluantului, a lungimii tronsonului afectat şi a inerţiei comunităţilor din structura biocenozelor acvatice, efectele fenomenelor în discuţie s-au redus doar la modificarea pe plan local a valorilor indicatorilor fizico-chimici, fără ca pe termen lung acestea să inducă o modificare semnificativă a biodiversităţii acvatice.</w:t>
      </w:r>
    </w:p>
    <w:p w:rsidR="002967F0" w:rsidRPr="00242122" w:rsidRDefault="002967F0" w:rsidP="002967F0">
      <w:pPr>
        <w:spacing w:after="0" w:line="240" w:lineRule="auto"/>
        <w:ind w:firstLine="567"/>
        <w:jc w:val="both"/>
        <w:rPr>
          <w:rFonts w:ascii="Arial" w:hAnsi="Arial" w:cs="Arial"/>
          <w:sz w:val="24"/>
          <w:szCs w:val="24"/>
        </w:rPr>
      </w:pPr>
      <w:r w:rsidRPr="00242122">
        <w:rPr>
          <w:rFonts w:ascii="Arial" w:hAnsi="Arial" w:cs="Arial"/>
          <w:sz w:val="24"/>
          <w:szCs w:val="24"/>
        </w:rPr>
        <w:lastRenderedPageBreak/>
        <w:t xml:space="preserve">În ceea ce privește tipul şi mărimea presiunilor antropice care pot afecta </w:t>
      </w:r>
      <w:r w:rsidRPr="00242122">
        <w:rPr>
          <w:rFonts w:ascii="Arial" w:hAnsi="Arial" w:cs="Arial"/>
          <w:b/>
          <w:sz w:val="24"/>
          <w:szCs w:val="24"/>
        </w:rPr>
        <w:t>corpurile de apă subterană</w:t>
      </w:r>
      <w:r w:rsidRPr="00242122">
        <w:rPr>
          <w:rFonts w:ascii="Arial" w:hAnsi="Arial" w:cs="Arial"/>
          <w:sz w:val="24"/>
          <w:szCs w:val="24"/>
        </w:rPr>
        <w:t xml:space="preserve"> (conform Directivei Cadru 2000/60/EC – anexa II – 2.1), se au în vedere:</w:t>
      </w:r>
    </w:p>
    <w:p w:rsidR="002967F0" w:rsidRPr="00242122" w:rsidRDefault="002967F0" w:rsidP="00B12004">
      <w:pPr>
        <w:numPr>
          <w:ilvl w:val="0"/>
          <w:numId w:val="18"/>
        </w:numPr>
        <w:spacing w:after="0" w:line="240" w:lineRule="auto"/>
        <w:ind w:left="284" w:hanging="284"/>
        <w:jc w:val="both"/>
        <w:rPr>
          <w:rFonts w:ascii="Arial" w:hAnsi="Arial" w:cs="Arial"/>
          <w:i/>
          <w:sz w:val="24"/>
          <w:szCs w:val="24"/>
        </w:rPr>
      </w:pPr>
      <w:r w:rsidRPr="00242122">
        <w:rPr>
          <w:rFonts w:ascii="Arial" w:hAnsi="Arial" w:cs="Arial"/>
          <w:i/>
          <w:sz w:val="24"/>
          <w:szCs w:val="24"/>
        </w:rPr>
        <w:t>surse de poluare punctiforme și difuze:</w:t>
      </w:r>
    </w:p>
    <w:p w:rsidR="002967F0" w:rsidRPr="00242122" w:rsidRDefault="002967F0" w:rsidP="002967F0">
      <w:pPr>
        <w:spacing w:after="0" w:line="240" w:lineRule="auto"/>
        <w:ind w:left="284"/>
        <w:jc w:val="both"/>
        <w:rPr>
          <w:rFonts w:ascii="Arial" w:hAnsi="Arial" w:cs="Arial"/>
          <w:iCs/>
          <w:sz w:val="24"/>
          <w:szCs w:val="24"/>
        </w:rPr>
      </w:pPr>
      <w:r w:rsidRPr="00242122">
        <w:rPr>
          <w:rFonts w:ascii="Arial" w:hAnsi="Arial" w:cs="Arial"/>
          <w:iCs/>
          <w:sz w:val="24"/>
          <w:szCs w:val="24"/>
        </w:rPr>
        <w:t>Un impact calitativ semnificativ asupra apelor subterane îl pot avea următoarele tipuri de poluări determinate de:</w:t>
      </w:r>
    </w:p>
    <w:p w:rsidR="002967F0" w:rsidRPr="00242122" w:rsidRDefault="002967F0" w:rsidP="00B12004">
      <w:pPr>
        <w:numPr>
          <w:ilvl w:val="0"/>
          <w:numId w:val="21"/>
        </w:numPr>
        <w:spacing w:before="120" w:after="120" w:line="240" w:lineRule="auto"/>
        <w:ind w:left="720"/>
        <w:jc w:val="both"/>
        <w:rPr>
          <w:rFonts w:ascii="Arial" w:hAnsi="Arial" w:cs="Arial"/>
          <w:sz w:val="24"/>
          <w:szCs w:val="24"/>
        </w:rPr>
      </w:pPr>
      <w:r w:rsidRPr="00242122">
        <w:rPr>
          <w:rFonts w:ascii="Arial" w:hAnsi="Arial" w:cs="Arial"/>
          <w:sz w:val="24"/>
          <w:szCs w:val="24"/>
        </w:rPr>
        <w:t>poluarea punctuală determinată de depozitele de deşeuri neconforme;</w:t>
      </w:r>
    </w:p>
    <w:p w:rsidR="002967F0" w:rsidRPr="00242122" w:rsidRDefault="002967F0" w:rsidP="00B12004">
      <w:pPr>
        <w:numPr>
          <w:ilvl w:val="0"/>
          <w:numId w:val="21"/>
        </w:numPr>
        <w:spacing w:before="120" w:after="120" w:line="240" w:lineRule="auto"/>
        <w:ind w:left="720"/>
        <w:jc w:val="both"/>
        <w:rPr>
          <w:rFonts w:ascii="Arial" w:hAnsi="Arial" w:cs="Arial"/>
          <w:sz w:val="24"/>
          <w:szCs w:val="24"/>
        </w:rPr>
      </w:pPr>
      <w:r w:rsidRPr="00242122">
        <w:rPr>
          <w:rFonts w:ascii="Arial" w:hAnsi="Arial" w:cs="Arial"/>
          <w:sz w:val="24"/>
          <w:szCs w:val="24"/>
        </w:rPr>
        <w:t>poluarea difuză determinată de activităţile agricole (ferme agrozootehnice care nu au sisteme corespunzătoare de stocare a dejecţiilor, depozite neconforme de fertilizanţi, utilizarea necorespunzătoare a îngrășămintelor și pesticidelor);</w:t>
      </w:r>
    </w:p>
    <w:p w:rsidR="002967F0" w:rsidRPr="00242122" w:rsidRDefault="002967F0" w:rsidP="00B12004">
      <w:pPr>
        <w:numPr>
          <w:ilvl w:val="0"/>
          <w:numId w:val="19"/>
        </w:numPr>
        <w:spacing w:before="120" w:after="120" w:line="240" w:lineRule="auto"/>
        <w:jc w:val="both"/>
        <w:rPr>
          <w:rFonts w:ascii="Arial" w:hAnsi="Arial" w:cs="Arial"/>
          <w:sz w:val="24"/>
          <w:szCs w:val="24"/>
        </w:rPr>
      </w:pPr>
      <w:r w:rsidRPr="00242122">
        <w:rPr>
          <w:rFonts w:ascii="Arial" w:hAnsi="Arial" w:cs="Arial"/>
          <w:sz w:val="24"/>
          <w:szCs w:val="24"/>
        </w:rPr>
        <w:t>aglomerări umane fără sisteme de colectare şi staţii de epurare a apelor uzate;</w:t>
      </w:r>
    </w:p>
    <w:p w:rsidR="002967F0" w:rsidRPr="005B62C4" w:rsidRDefault="002967F0" w:rsidP="005B62C4">
      <w:pPr>
        <w:numPr>
          <w:ilvl w:val="0"/>
          <w:numId w:val="19"/>
        </w:numPr>
        <w:spacing w:after="0" w:line="240" w:lineRule="auto"/>
        <w:jc w:val="both"/>
        <w:rPr>
          <w:rFonts w:ascii="Arial" w:hAnsi="Arial" w:cs="Arial"/>
          <w:sz w:val="24"/>
          <w:szCs w:val="24"/>
        </w:rPr>
      </w:pPr>
      <w:r w:rsidRPr="00242122">
        <w:rPr>
          <w:rFonts w:ascii="Arial" w:hAnsi="Arial" w:cs="Arial"/>
          <w:sz w:val="24"/>
          <w:szCs w:val="24"/>
        </w:rPr>
        <w:t>alte activităţi antropice potenţial poluatoare.</w:t>
      </w:r>
    </w:p>
    <w:p w:rsidR="002967F0" w:rsidRPr="00242122" w:rsidRDefault="002967F0" w:rsidP="002967F0">
      <w:pPr>
        <w:spacing w:after="0" w:line="240" w:lineRule="auto"/>
        <w:ind w:left="360"/>
        <w:jc w:val="both"/>
        <w:rPr>
          <w:rFonts w:ascii="Arial" w:hAnsi="Arial" w:cs="Arial"/>
          <w:sz w:val="24"/>
          <w:szCs w:val="24"/>
        </w:rPr>
      </w:pPr>
      <w:r w:rsidRPr="00242122">
        <w:rPr>
          <w:rFonts w:ascii="Arial" w:hAnsi="Arial" w:cs="Arial"/>
          <w:sz w:val="24"/>
          <w:szCs w:val="24"/>
        </w:rPr>
        <w:t>Cele mai frecvente surse de poluare care pot conduce la deteriorarea apelor subterane din punct de vedere calitativ, sunt sursele de poluare difuză</w:t>
      </w:r>
      <w:r w:rsidRPr="00242122">
        <w:rPr>
          <w:rFonts w:ascii="Arial" w:hAnsi="Arial" w:cs="Arial"/>
        </w:rPr>
        <w:t xml:space="preserve"> </w:t>
      </w:r>
      <w:r w:rsidRPr="00242122">
        <w:rPr>
          <w:rFonts w:ascii="Arial" w:hAnsi="Arial" w:cs="Arial"/>
          <w:sz w:val="24"/>
          <w:szCs w:val="24"/>
        </w:rPr>
        <w:t>datorate aglomerărilor umane fără sisteme de colectare şi epurare a apelor uzate, precum şi presiunilor difuze cauzate de activităţile agricole. De asemenea, trebuie avut în vedere faptul că dinamica apelor subterane este mult mai lentă decât cea a apelor de suprafață, astfel încât efectul oricăror măsuri se face resimțit după o perioadă mai lungă de timp.</w:t>
      </w:r>
    </w:p>
    <w:p w:rsidR="002967F0" w:rsidRPr="00242122" w:rsidRDefault="002967F0" w:rsidP="005B62C4">
      <w:pPr>
        <w:spacing w:after="0" w:line="240" w:lineRule="auto"/>
        <w:ind w:left="360"/>
        <w:jc w:val="both"/>
        <w:rPr>
          <w:rFonts w:ascii="Arial" w:hAnsi="Arial" w:cs="Arial"/>
          <w:sz w:val="24"/>
          <w:szCs w:val="24"/>
        </w:rPr>
      </w:pPr>
      <w:r w:rsidRPr="00242122">
        <w:rPr>
          <w:rFonts w:ascii="Arial" w:hAnsi="Arial" w:cs="Arial"/>
          <w:sz w:val="24"/>
          <w:szCs w:val="24"/>
        </w:rPr>
        <w:t>Din punct de vedere al impactului asupra stării cantitative a corpurilor de apă subterane, presiunile cantitative sunt considerate captările de apă semnificative, care pot depăşi rata naturală</w:t>
      </w:r>
      <w:r w:rsidR="005B62C4">
        <w:rPr>
          <w:rFonts w:ascii="Arial" w:hAnsi="Arial" w:cs="Arial"/>
          <w:sz w:val="24"/>
          <w:szCs w:val="24"/>
        </w:rPr>
        <w:t xml:space="preserve"> de reîncărcare a acviferului. </w:t>
      </w:r>
    </w:p>
    <w:p w:rsidR="002967F0" w:rsidRPr="00242122" w:rsidRDefault="002967F0" w:rsidP="00B12004">
      <w:pPr>
        <w:numPr>
          <w:ilvl w:val="0"/>
          <w:numId w:val="18"/>
        </w:numPr>
        <w:spacing w:after="0" w:line="240" w:lineRule="auto"/>
        <w:ind w:left="284" w:hanging="284"/>
        <w:jc w:val="both"/>
        <w:rPr>
          <w:rFonts w:ascii="Arial" w:hAnsi="Arial" w:cs="Arial"/>
          <w:i/>
          <w:sz w:val="24"/>
          <w:szCs w:val="24"/>
        </w:rPr>
      </w:pPr>
      <w:r w:rsidRPr="00242122">
        <w:rPr>
          <w:rFonts w:ascii="Arial" w:hAnsi="Arial" w:cs="Arial"/>
          <w:i/>
          <w:sz w:val="24"/>
          <w:szCs w:val="24"/>
        </w:rPr>
        <w:t>prelevări de apă şi reîncărcarea corpurilor de apă subterană:</w:t>
      </w:r>
    </w:p>
    <w:p w:rsidR="002967F0" w:rsidRPr="00242122" w:rsidRDefault="002967F0" w:rsidP="002967F0">
      <w:pPr>
        <w:spacing w:after="0" w:line="240" w:lineRule="auto"/>
        <w:ind w:left="284"/>
        <w:jc w:val="both"/>
        <w:rPr>
          <w:rFonts w:ascii="Arial" w:hAnsi="Arial" w:cs="Arial"/>
          <w:sz w:val="24"/>
          <w:szCs w:val="24"/>
        </w:rPr>
      </w:pPr>
      <w:r w:rsidRPr="00242122">
        <w:rPr>
          <w:rFonts w:ascii="Arial" w:hAnsi="Arial" w:cs="Arial"/>
          <w:sz w:val="24"/>
          <w:szCs w:val="24"/>
        </w:rPr>
        <w:t>Conform prevederilor DCA, Anexa II – 2.3, criteriile de selecţie a captărilor de apă sunt considerate cele care au în vedere prelevările de apă &gt;10 m</w:t>
      </w:r>
      <w:r w:rsidRPr="00242122">
        <w:rPr>
          <w:rFonts w:ascii="Arial" w:hAnsi="Arial" w:cs="Arial"/>
          <w:sz w:val="24"/>
          <w:szCs w:val="24"/>
          <w:vertAlign w:val="superscript"/>
        </w:rPr>
        <w:t>3</w:t>
      </w:r>
      <w:r w:rsidRPr="00242122">
        <w:rPr>
          <w:rFonts w:ascii="Arial" w:hAnsi="Arial" w:cs="Arial"/>
          <w:sz w:val="24"/>
          <w:szCs w:val="24"/>
        </w:rPr>
        <w:t>/ zi. În România, apa subterană este folosită în general în scopul alimentării cu apă a populaţiei, cât şi în scop industrial, agricol, etc. Din numărul total de captări (</w:t>
      </w:r>
      <w:r w:rsidRPr="00242122">
        <w:rPr>
          <w:rFonts w:ascii="Arial" w:hAnsi="Arial" w:cs="Arial"/>
          <w:bCs/>
          <w:sz w:val="24"/>
          <w:szCs w:val="24"/>
        </w:rPr>
        <w:t>Figura II.2.2.1.9</w:t>
      </w:r>
      <w:r w:rsidRPr="00242122">
        <w:rPr>
          <w:rFonts w:ascii="Arial" w:hAnsi="Arial" w:cs="Arial"/>
          <w:sz w:val="24"/>
          <w:szCs w:val="24"/>
        </w:rPr>
        <w:t xml:space="preserve">), la nivel naţional au fost identificate </w:t>
      </w:r>
      <w:r w:rsidRPr="00242122">
        <w:rPr>
          <w:rFonts w:ascii="Arial" w:hAnsi="Arial" w:cs="Arial"/>
          <w:b/>
          <w:sz w:val="24"/>
          <w:szCs w:val="24"/>
        </w:rPr>
        <w:t>26 exploatări semnificative de ape subterane</w:t>
      </w:r>
      <w:r w:rsidRPr="00242122">
        <w:rPr>
          <w:rFonts w:ascii="Arial" w:hAnsi="Arial" w:cs="Arial"/>
          <w:sz w:val="24"/>
          <w:szCs w:val="24"/>
        </w:rPr>
        <w:t>, respectiv captări cu debite mai mari sau egale cu 1500 mii m</w:t>
      </w:r>
      <w:r w:rsidRPr="00242122">
        <w:rPr>
          <w:rFonts w:ascii="Arial" w:hAnsi="Arial" w:cs="Arial"/>
          <w:sz w:val="24"/>
          <w:szCs w:val="24"/>
          <w:vertAlign w:val="superscript"/>
        </w:rPr>
        <w:t>3</w:t>
      </w:r>
      <w:r w:rsidRPr="00242122">
        <w:rPr>
          <w:rFonts w:ascii="Arial" w:hAnsi="Arial" w:cs="Arial"/>
          <w:sz w:val="24"/>
          <w:szCs w:val="24"/>
        </w:rPr>
        <w:t xml:space="preserve">/an. </w:t>
      </w:r>
    </w:p>
    <w:p w:rsidR="002967F0" w:rsidRPr="00242122" w:rsidRDefault="002967F0" w:rsidP="002967F0">
      <w:pPr>
        <w:spacing w:after="0" w:line="240" w:lineRule="auto"/>
        <w:ind w:left="284"/>
        <w:jc w:val="both"/>
        <w:rPr>
          <w:rFonts w:ascii="Arial" w:hAnsi="Arial" w:cs="Arial"/>
          <w:sz w:val="24"/>
          <w:szCs w:val="24"/>
        </w:rPr>
      </w:pPr>
    </w:p>
    <w:p w:rsidR="002967F0" w:rsidRPr="00242122" w:rsidRDefault="002967F0" w:rsidP="002967F0">
      <w:pPr>
        <w:autoSpaceDE w:val="0"/>
        <w:autoSpaceDN w:val="0"/>
        <w:adjustRightInd w:val="0"/>
        <w:jc w:val="center"/>
        <w:rPr>
          <w:rFonts w:ascii="Arial" w:hAnsi="Arial" w:cs="Arial"/>
          <w:b/>
          <w:bCs/>
          <w:i/>
          <w:iCs/>
        </w:rPr>
      </w:pPr>
      <w:r w:rsidRPr="00242122">
        <w:rPr>
          <w:rFonts w:ascii="Arial" w:hAnsi="Arial" w:cs="Arial"/>
          <w:b/>
          <w:bCs/>
          <w:i/>
          <w:iCs/>
        </w:rPr>
        <w:t>Reprezentarea grafică a tipurilor de utilizări ale apei subterane (mii mc/an)</w:t>
      </w:r>
    </w:p>
    <w:p w:rsidR="002967F0" w:rsidRPr="00242122" w:rsidRDefault="002967F0" w:rsidP="002967F0">
      <w:pPr>
        <w:autoSpaceDE w:val="0"/>
        <w:autoSpaceDN w:val="0"/>
        <w:adjustRightInd w:val="0"/>
        <w:spacing w:after="0" w:line="240" w:lineRule="auto"/>
        <w:jc w:val="center"/>
        <w:rPr>
          <w:rFonts w:ascii="Arial" w:hAnsi="Arial" w:cs="Arial"/>
          <w:i/>
          <w:noProof/>
          <w:lang w:bidi="si-LK"/>
        </w:rPr>
      </w:pPr>
      <w:r w:rsidRPr="00242122">
        <w:rPr>
          <w:rFonts w:ascii="Arial" w:hAnsi="Arial" w:cs="Arial"/>
          <w:i/>
          <w:noProof/>
          <w:lang w:eastAsia="ro-RO"/>
        </w:rPr>
        <w:drawing>
          <wp:inline distT="0" distB="0" distL="0" distR="0" wp14:anchorId="1B5259C7" wp14:editId="414AF5BE">
            <wp:extent cx="4636587" cy="285769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49678" cy="2865762"/>
                    </a:xfrm>
                    <a:prstGeom prst="rect">
                      <a:avLst/>
                    </a:prstGeom>
                    <a:noFill/>
                  </pic:spPr>
                </pic:pic>
              </a:graphicData>
            </a:graphic>
          </wp:inline>
        </w:drawing>
      </w:r>
    </w:p>
    <w:p w:rsidR="002967F0" w:rsidRPr="00242122" w:rsidRDefault="002967F0" w:rsidP="002967F0">
      <w:pPr>
        <w:autoSpaceDE w:val="0"/>
        <w:autoSpaceDN w:val="0"/>
        <w:adjustRightInd w:val="0"/>
        <w:spacing w:after="0" w:line="240" w:lineRule="auto"/>
        <w:jc w:val="right"/>
        <w:rPr>
          <w:rFonts w:ascii="Arial" w:hAnsi="Arial" w:cs="Arial"/>
          <w:b/>
          <w:sz w:val="24"/>
          <w:szCs w:val="24"/>
        </w:rPr>
      </w:pPr>
    </w:p>
    <w:p w:rsidR="002967F0" w:rsidRPr="005B62C4" w:rsidRDefault="002967F0" w:rsidP="005B62C4">
      <w:pPr>
        <w:autoSpaceDE w:val="0"/>
        <w:autoSpaceDN w:val="0"/>
        <w:adjustRightInd w:val="0"/>
        <w:spacing w:after="0" w:line="240" w:lineRule="auto"/>
        <w:rPr>
          <w:rFonts w:ascii="Arial" w:hAnsi="Arial" w:cs="Arial"/>
          <w:b/>
          <w:sz w:val="24"/>
          <w:szCs w:val="24"/>
        </w:rPr>
      </w:pPr>
      <w:r w:rsidRPr="00242122">
        <w:rPr>
          <w:rFonts w:ascii="Arial" w:hAnsi="Arial" w:cs="Arial"/>
          <w:b/>
          <w:sz w:val="24"/>
          <w:szCs w:val="24"/>
        </w:rPr>
        <w:t>Figura II.2.2.1.9</w:t>
      </w:r>
      <w:r w:rsidR="005B62C4">
        <w:rPr>
          <w:rFonts w:ascii="Arial" w:hAnsi="Arial" w:cs="Arial"/>
          <w:b/>
          <w:sz w:val="24"/>
          <w:szCs w:val="24"/>
        </w:rPr>
        <w:t xml:space="preserve"> </w:t>
      </w:r>
      <w:r w:rsidRPr="00242122">
        <w:rPr>
          <w:rFonts w:ascii="Arial" w:hAnsi="Arial" w:cs="Arial"/>
          <w:i/>
          <w:sz w:val="24"/>
          <w:szCs w:val="24"/>
        </w:rPr>
        <w:t>(</w:t>
      </w:r>
      <w:r w:rsidRPr="00242122">
        <w:rPr>
          <w:rFonts w:ascii="Arial" w:hAnsi="Arial" w:cs="Arial"/>
          <w:i/>
        </w:rPr>
        <w:t>Sursa datelor: Administrația Națională „Apele Române”, Planul Național de Management actualizat 2021</w:t>
      </w:r>
      <w:r w:rsidRPr="00242122">
        <w:rPr>
          <w:rFonts w:ascii="Arial" w:hAnsi="Arial" w:cs="Arial"/>
          <w:i/>
          <w:sz w:val="24"/>
          <w:szCs w:val="24"/>
        </w:rPr>
        <w:t>)</w:t>
      </w:r>
    </w:p>
    <w:p w:rsidR="002967F0" w:rsidRPr="00242122" w:rsidRDefault="002967F0" w:rsidP="002967F0">
      <w:pPr>
        <w:spacing w:after="0" w:line="240" w:lineRule="auto"/>
        <w:ind w:firstLine="720"/>
        <w:jc w:val="both"/>
        <w:rPr>
          <w:rFonts w:ascii="Arial" w:hAnsi="Arial" w:cs="Arial"/>
          <w:sz w:val="24"/>
          <w:szCs w:val="24"/>
        </w:rPr>
      </w:pPr>
      <w:r w:rsidRPr="00242122">
        <w:rPr>
          <w:rFonts w:ascii="Arial" w:hAnsi="Arial" w:cs="Arial"/>
          <w:sz w:val="24"/>
          <w:szCs w:val="24"/>
        </w:rPr>
        <w:lastRenderedPageBreak/>
        <w:t>Tendinţa generală de creştere a volumelor de apă subterană captată în ultimii ani poate fi pusă pe seama următoarelor cauze:</w:t>
      </w:r>
    </w:p>
    <w:p w:rsidR="002967F0" w:rsidRPr="00242122" w:rsidRDefault="002967F0" w:rsidP="00B12004">
      <w:pPr>
        <w:pStyle w:val="ListParagraph"/>
        <w:numPr>
          <w:ilvl w:val="0"/>
          <w:numId w:val="20"/>
        </w:numPr>
        <w:spacing w:after="0" w:line="240" w:lineRule="auto"/>
        <w:ind w:left="270" w:hanging="270"/>
        <w:jc w:val="both"/>
        <w:rPr>
          <w:rFonts w:ascii="Arial" w:hAnsi="Arial" w:cs="Arial"/>
          <w:sz w:val="24"/>
          <w:szCs w:val="24"/>
        </w:rPr>
      </w:pPr>
      <w:r w:rsidRPr="00242122">
        <w:rPr>
          <w:rFonts w:ascii="Arial" w:hAnsi="Arial" w:cs="Arial"/>
          <w:sz w:val="24"/>
          <w:szCs w:val="24"/>
        </w:rPr>
        <w:t>utilizarea capacităţii fronturilor de captare (atât de către unii agenţi economici, dar în special pentru asigurarea apei în reţeaua de distribuţie orăşenească);</w:t>
      </w:r>
    </w:p>
    <w:p w:rsidR="002967F0" w:rsidRPr="00242122" w:rsidRDefault="002967F0" w:rsidP="00B12004">
      <w:pPr>
        <w:pStyle w:val="ListParagraph"/>
        <w:numPr>
          <w:ilvl w:val="0"/>
          <w:numId w:val="20"/>
        </w:numPr>
        <w:spacing w:after="0" w:line="240" w:lineRule="auto"/>
        <w:ind w:left="270" w:hanging="270"/>
        <w:jc w:val="both"/>
        <w:rPr>
          <w:rFonts w:ascii="Arial" w:hAnsi="Arial" w:cs="Arial"/>
          <w:sz w:val="24"/>
          <w:szCs w:val="24"/>
        </w:rPr>
      </w:pPr>
      <w:r w:rsidRPr="00242122">
        <w:rPr>
          <w:rFonts w:ascii="Arial" w:hAnsi="Arial" w:cs="Arial"/>
          <w:sz w:val="24"/>
          <w:szCs w:val="24"/>
        </w:rPr>
        <w:t>creşterea numărului de utilizatori şi schimbarea profilului acestora, respectiv renunţarea la unele activităţi industriale şi orientarea spre diferite tipuri de activităţi agricole;</w:t>
      </w:r>
    </w:p>
    <w:p w:rsidR="002967F0" w:rsidRPr="00242122" w:rsidRDefault="002967F0" w:rsidP="00B12004">
      <w:pPr>
        <w:pStyle w:val="ListParagraph"/>
        <w:numPr>
          <w:ilvl w:val="0"/>
          <w:numId w:val="20"/>
        </w:numPr>
        <w:spacing w:after="0" w:line="240" w:lineRule="auto"/>
        <w:ind w:left="270" w:hanging="270"/>
        <w:jc w:val="both"/>
        <w:rPr>
          <w:rFonts w:ascii="Arial" w:hAnsi="Arial" w:cs="Arial"/>
          <w:sz w:val="24"/>
          <w:szCs w:val="24"/>
        </w:rPr>
      </w:pPr>
      <w:r w:rsidRPr="00242122">
        <w:rPr>
          <w:rFonts w:ascii="Arial" w:hAnsi="Arial" w:cs="Arial"/>
          <w:sz w:val="24"/>
          <w:szCs w:val="24"/>
        </w:rPr>
        <w:t>creşterea numărului de localităţi dotate cu reţele de distribuţie a apei potabile și cu captări din surse subterane.</w:t>
      </w:r>
    </w:p>
    <w:p w:rsidR="002967F0" w:rsidRPr="00242122" w:rsidRDefault="002967F0" w:rsidP="002967F0">
      <w:pPr>
        <w:spacing w:after="0" w:line="240" w:lineRule="auto"/>
        <w:jc w:val="both"/>
        <w:rPr>
          <w:rFonts w:ascii="Arial" w:hAnsi="Arial" w:cs="Arial"/>
          <w:bCs/>
          <w:sz w:val="24"/>
          <w:szCs w:val="24"/>
        </w:rPr>
      </w:pPr>
      <w:r w:rsidRPr="00242122">
        <w:rPr>
          <w:rFonts w:ascii="Arial" w:hAnsi="Arial" w:cs="Arial"/>
          <w:bCs/>
          <w:sz w:val="24"/>
          <w:szCs w:val="24"/>
        </w:rPr>
        <w:t>Reîncărcarea acviferelor în România se realizează prin infiltrarea apelor de suprafaţă şi meteorice.</w:t>
      </w:r>
    </w:p>
    <w:p w:rsidR="002967F0" w:rsidRPr="00242122" w:rsidRDefault="002967F0" w:rsidP="002967F0">
      <w:pPr>
        <w:spacing w:after="0" w:line="240" w:lineRule="auto"/>
        <w:ind w:firstLine="567"/>
        <w:jc w:val="both"/>
        <w:rPr>
          <w:rFonts w:ascii="Arial" w:hAnsi="Arial" w:cs="Arial"/>
          <w:sz w:val="24"/>
          <w:szCs w:val="24"/>
        </w:rPr>
      </w:pPr>
      <w:r w:rsidRPr="00242122">
        <w:rPr>
          <w:rFonts w:ascii="Arial" w:hAnsi="Arial" w:cs="Arial"/>
          <w:sz w:val="24"/>
          <w:szCs w:val="24"/>
        </w:rPr>
        <w:t>În ceea ce priveşte balanţa prelevări/reîncarcare, care conduce la evaluarea corpului de apă subterană din punct de vedere cantitativ, nu se semnalează probleme deosebite, prelevările fiind inferioare ratei naturale de realimentare.</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Din punct de vedere al impactului cantitativ, nu s-au semnalat presiuni semnificative care să conducă la degradarea stării cantitative bune (toate corpurile de apă subterană fiind în stare cantitativă bună).</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La evaluarea riscului neatingerii obiectivelor de mediu pentru corpurile de apă subterană s-a ţinut cont de presiunile semnificative identificate, precum şi de evaluarea impactului acestora diferenţiat pe categorii: risc chimic şi risc cantitativ. Riscul a fost evaluat având ca obiectiv atingerea stării bune cantitative şi chimice aferente anului 2027.</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Pentru evaluarea corpurilor de apă subterană care sunt la risc de neatingere a stării bune cantitative s-au avut în vedere următoarele:</w:t>
      </w:r>
    </w:p>
    <w:p w:rsidR="002967F0" w:rsidRPr="00242122" w:rsidRDefault="002967F0" w:rsidP="002967F0">
      <w:pPr>
        <w:spacing w:before="120" w:after="12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starea cantitativă a apelor subterane - scăderea continuă a nivelurilor piezometrice, pe o durată de minim 10 ani, sub impactul unor exploatări;</w:t>
      </w:r>
    </w:p>
    <w:p w:rsidR="002967F0" w:rsidRPr="00242122" w:rsidRDefault="002967F0" w:rsidP="002967F0">
      <w:pPr>
        <w:spacing w:before="120" w:after="12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deteriorarea stării calitative a apelor subterane prin atragerea de poluanţi;</w:t>
      </w:r>
    </w:p>
    <w:p w:rsidR="002967F0" w:rsidRPr="00242122" w:rsidRDefault="002967F0" w:rsidP="002967F0">
      <w:pPr>
        <w:spacing w:before="120" w:after="12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starea ecosistemelor dependente de apele subterane ca urmarea a variaţiei nivelurilor.</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Ca urmare a analizei de risc efectuate, toate cele 143 corpuri de apă subterană din România sunt clasificate ca fiind în stare cantitativă bună , respectiv fără risc din punct de vedere cantitativ.</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Pentru determinarea riscului din punct de vedere chimic s-au avut în vedere următoarele:</w:t>
      </w:r>
    </w:p>
    <w:p w:rsidR="002967F0" w:rsidRPr="00242122" w:rsidRDefault="002967F0" w:rsidP="00B12004">
      <w:pPr>
        <w:numPr>
          <w:ilvl w:val="2"/>
          <w:numId w:val="12"/>
        </w:numPr>
        <w:spacing w:before="120" w:after="120" w:line="240" w:lineRule="auto"/>
        <w:ind w:left="270" w:hanging="270"/>
        <w:jc w:val="both"/>
        <w:rPr>
          <w:rFonts w:ascii="Arial" w:hAnsi="Arial" w:cs="Arial"/>
          <w:sz w:val="24"/>
          <w:szCs w:val="24"/>
        </w:rPr>
      </w:pPr>
      <w:r w:rsidRPr="00242122">
        <w:rPr>
          <w:rFonts w:ascii="Arial" w:hAnsi="Arial" w:cs="Arial"/>
          <w:sz w:val="24"/>
          <w:szCs w:val="24"/>
        </w:rPr>
        <w:t>corpul de apă subterană este considerat la risc dacă are depăşiri ale valorilor prag pe cel puţin 20 % din suprafaţa corpului de apă, cu condiţia să fie respectat indicele minim de reprezentativitate;</w:t>
      </w:r>
    </w:p>
    <w:p w:rsidR="002967F0" w:rsidRPr="00242122" w:rsidRDefault="002967F0" w:rsidP="00B12004">
      <w:pPr>
        <w:numPr>
          <w:ilvl w:val="2"/>
          <w:numId w:val="12"/>
        </w:numPr>
        <w:spacing w:after="0" w:line="240" w:lineRule="auto"/>
        <w:ind w:left="270" w:hanging="270"/>
        <w:jc w:val="both"/>
        <w:rPr>
          <w:rFonts w:ascii="Arial" w:hAnsi="Arial" w:cs="Arial"/>
          <w:sz w:val="24"/>
          <w:szCs w:val="24"/>
        </w:rPr>
      </w:pPr>
      <w:r w:rsidRPr="00242122">
        <w:rPr>
          <w:rFonts w:ascii="Arial" w:hAnsi="Arial" w:cs="Arial"/>
          <w:sz w:val="24"/>
          <w:szCs w:val="24"/>
        </w:rPr>
        <w:t xml:space="preserve">corpul de apă subterană nu este la risc calitativ dacă este total nepoluat, sau dacă, suprafaţa corpului de apă este afectată într-o proporţie mai mică de 20 % din suprafaţa întregului corp de apă. </w:t>
      </w:r>
    </w:p>
    <w:p w:rsidR="002967F0" w:rsidRPr="00242122" w:rsidRDefault="002967F0" w:rsidP="002967F0">
      <w:pPr>
        <w:spacing w:after="0" w:line="240" w:lineRule="auto"/>
        <w:ind w:firstLine="567"/>
        <w:jc w:val="both"/>
        <w:rPr>
          <w:rFonts w:ascii="Arial" w:hAnsi="Arial" w:cs="Arial"/>
          <w:sz w:val="24"/>
          <w:szCs w:val="24"/>
        </w:rPr>
      </w:pPr>
      <w:r w:rsidRPr="00242122">
        <w:rPr>
          <w:rFonts w:ascii="Arial" w:hAnsi="Arial" w:cs="Arial"/>
          <w:sz w:val="24"/>
          <w:szCs w:val="24"/>
        </w:rPr>
        <w:t xml:space="preserve">Valorile indicatorilor de calitate ai apelor subterane au fost interpretate având ca reper valorile standard prevăzute de Directiva privind Apele Subterane pentru azotați şi pesticide şi valorile prag determinate, după caz, pentru fiecare corp de apă subterană, aprobate prin Ordinul nr. 621 din 7 iulie 2014 privind aprobarea valorilor de prag pentru apele subterane din România şi a prevederilor Directivei 118/2006/EC cu modificările și completările ulterioare. </w:t>
      </w:r>
    </w:p>
    <w:p w:rsidR="002967F0" w:rsidRPr="00242122" w:rsidRDefault="002967F0" w:rsidP="002967F0">
      <w:pPr>
        <w:spacing w:after="0" w:line="240" w:lineRule="auto"/>
        <w:ind w:firstLine="567"/>
        <w:jc w:val="both"/>
        <w:rPr>
          <w:rFonts w:ascii="Arial" w:hAnsi="Arial" w:cs="Arial"/>
          <w:sz w:val="24"/>
          <w:szCs w:val="24"/>
        </w:rPr>
      </w:pPr>
      <w:r w:rsidRPr="00242122">
        <w:rPr>
          <w:rFonts w:ascii="Arial" w:hAnsi="Arial" w:cs="Arial"/>
          <w:sz w:val="24"/>
          <w:szCs w:val="24"/>
        </w:rPr>
        <w:t xml:space="preserve">Rezultatul acestei analize a reliefat că în România există 12 corpuri de apă subterană care riscă să nu atingă starea bună (Figura II.2.2.1.10) din punct de vedere chimic, pentru indicatorul azotaţi. Riscul de neatingere a obiectivelor de mediu pentru </w:t>
      </w:r>
      <w:r w:rsidRPr="00242122">
        <w:rPr>
          <w:rFonts w:ascii="Arial" w:hAnsi="Arial" w:cs="Arial"/>
          <w:sz w:val="24"/>
          <w:szCs w:val="24"/>
        </w:rPr>
        <w:lastRenderedPageBreak/>
        <w:t xml:space="preserve">aceste corpuri de apă subterană se datorează, în principal, emisiilor difuze cauzate de aglomerările umane, în special cele sub 2.000 l.e. care au grad scăzut de conectare la sistemele de canalizare şi la sistemele de epurare adecvate, surselor istorice reprezentate de unităţi sau complexe agrozootehnice care şi-au încetat sau redus activitatea, precum și activităților agricole. </w:t>
      </w:r>
    </w:p>
    <w:p w:rsidR="002967F0" w:rsidRPr="00242122" w:rsidRDefault="002967F0" w:rsidP="002967F0">
      <w:pPr>
        <w:spacing w:before="120" w:after="120" w:line="240" w:lineRule="auto"/>
        <w:ind w:firstLine="720"/>
        <w:jc w:val="both"/>
        <w:rPr>
          <w:rFonts w:ascii="Arial" w:hAnsi="Arial" w:cs="Arial"/>
          <w:b/>
          <w:bCs/>
          <w:sz w:val="24"/>
          <w:szCs w:val="24"/>
        </w:rPr>
      </w:pPr>
      <w:r w:rsidRPr="00242122">
        <w:rPr>
          <w:rFonts w:ascii="Arial" w:hAnsi="Arial" w:cs="Arial"/>
          <w:sz w:val="24"/>
          <w:szCs w:val="24"/>
        </w:rPr>
        <w:t xml:space="preserve">Ca urmare a analizei din punct de vedere calitativ a rezultat că 8,39 % dintre corpurile de apă subterană au fost identificate la risc de neatingere a stării chimice bune (la nivelul anului 2027), faţă de 13,38 % determinate în primul Plan Naţional de Management 2009 şi 10,49 % în Planul Național de Management actualizat. Toate corpurile de apă subterane nu prezintă risc de neatingere a stării cantitative bune în anul 2027. </w:t>
      </w:r>
    </w:p>
    <w:p w:rsidR="002967F0" w:rsidRPr="00242122" w:rsidRDefault="002967F0" w:rsidP="002967F0">
      <w:pPr>
        <w:spacing w:before="120" w:after="120" w:line="240" w:lineRule="auto"/>
        <w:ind w:firstLine="720"/>
        <w:jc w:val="both"/>
        <w:rPr>
          <w:rFonts w:ascii="Arial" w:hAnsi="Arial" w:cs="Arial"/>
          <w:b/>
          <w:bCs/>
          <w:sz w:val="24"/>
          <w:szCs w:val="24"/>
        </w:rPr>
      </w:pPr>
      <w:r w:rsidRPr="00242122">
        <w:rPr>
          <w:rFonts w:ascii="Arial" w:hAnsi="Arial" w:cs="Arial"/>
          <w:b/>
          <w:bCs/>
          <w:sz w:val="24"/>
          <w:szCs w:val="24"/>
        </w:rPr>
        <w:t>Corpurile de apă subterană la risc chimic</w:t>
      </w:r>
    </w:p>
    <w:p w:rsidR="002967F0" w:rsidRPr="00242122" w:rsidRDefault="002967F0" w:rsidP="002967F0">
      <w:pPr>
        <w:spacing w:before="120" w:after="120" w:line="240" w:lineRule="auto"/>
        <w:jc w:val="center"/>
        <w:rPr>
          <w:rFonts w:ascii="Arial" w:hAnsi="Arial" w:cs="Arial"/>
          <w:b/>
          <w:bCs/>
          <w:sz w:val="24"/>
          <w:szCs w:val="24"/>
        </w:rPr>
      </w:pPr>
      <w:r w:rsidRPr="00242122">
        <w:rPr>
          <w:rFonts w:ascii="Arial" w:hAnsi="Arial" w:cs="Arial"/>
          <w:b/>
          <w:bCs/>
          <w:noProof/>
          <w:sz w:val="24"/>
          <w:szCs w:val="24"/>
          <w:lang w:eastAsia="ro-RO"/>
        </w:rPr>
        <w:drawing>
          <wp:inline distT="0" distB="0" distL="0" distR="0" wp14:anchorId="73C25AAE" wp14:editId="021DAB31">
            <wp:extent cx="5722620" cy="433514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2620" cy="4335145"/>
                    </a:xfrm>
                    <a:prstGeom prst="rect">
                      <a:avLst/>
                    </a:prstGeom>
                    <a:noFill/>
                  </pic:spPr>
                </pic:pic>
              </a:graphicData>
            </a:graphic>
          </wp:inline>
        </w:drawing>
      </w:r>
    </w:p>
    <w:p w:rsidR="002967F0" w:rsidRPr="00242122" w:rsidRDefault="009F554C" w:rsidP="009F554C">
      <w:pPr>
        <w:spacing w:before="120" w:after="120" w:line="240" w:lineRule="auto"/>
        <w:rPr>
          <w:rFonts w:ascii="Arial" w:hAnsi="Arial" w:cs="Arial"/>
          <w:b/>
          <w:bCs/>
          <w:sz w:val="24"/>
          <w:szCs w:val="24"/>
        </w:rPr>
      </w:pPr>
      <w:r>
        <w:rPr>
          <w:rFonts w:ascii="Arial" w:hAnsi="Arial" w:cs="Arial"/>
          <w:b/>
          <w:bCs/>
          <w:sz w:val="24"/>
          <w:szCs w:val="24"/>
        </w:rPr>
        <w:t xml:space="preserve">      </w:t>
      </w:r>
      <w:r w:rsidR="002967F0" w:rsidRPr="00242122">
        <w:rPr>
          <w:rFonts w:ascii="Arial" w:hAnsi="Arial" w:cs="Arial"/>
          <w:b/>
          <w:bCs/>
          <w:sz w:val="24"/>
          <w:szCs w:val="24"/>
        </w:rPr>
        <w:t>Figura II.2.2.1.10</w:t>
      </w:r>
    </w:p>
    <w:p w:rsidR="002967F0" w:rsidRPr="00242122" w:rsidRDefault="002967F0" w:rsidP="002967F0">
      <w:pPr>
        <w:autoSpaceDE w:val="0"/>
        <w:autoSpaceDN w:val="0"/>
        <w:adjustRightInd w:val="0"/>
        <w:jc w:val="center"/>
        <w:rPr>
          <w:rFonts w:ascii="Arial" w:hAnsi="Arial" w:cs="Arial"/>
          <w:noProof/>
          <w:sz w:val="24"/>
          <w:szCs w:val="24"/>
          <w:lang w:bidi="si-LK"/>
        </w:rPr>
      </w:pPr>
      <w:r w:rsidRPr="00242122">
        <w:rPr>
          <w:rFonts w:ascii="Arial" w:hAnsi="Arial" w:cs="Arial"/>
          <w:i/>
          <w:sz w:val="24"/>
          <w:szCs w:val="24"/>
        </w:rPr>
        <w:t>(</w:t>
      </w:r>
      <w:r w:rsidRPr="00242122">
        <w:rPr>
          <w:rFonts w:ascii="Arial" w:hAnsi="Arial" w:cs="Arial"/>
          <w:i/>
        </w:rPr>
        <w:t>Sursa datelor: Administrația Națională „Apele Române”, Planul Național de Management actualizat 2021</w:t>
      </w:r>
      <w:r w:rsidRPr="00242122">
        <w:rPr>
          <w:rFonts w:ascii="Arial" w:hAnsi="Arial" w:cs="Arial"/>
          <w:i/>
          <w:sz w:val="24"/>
          <w:szCs w:val="24"/>
        </w:rPr>
        <w:t>)</w:t>
      </w:r>
    </w:p>
    <w:p w:rsidR="002967F0" w:rsidRDefault="002967F0" w:rsidP="002967F0">
      <w:pPr>
        <w:rPr>
          <w:rFonts w:ascii="Arial" w:hAnsi="Arial" w:cs="Arial"/>
          <w:color w:val="FF0000"/>
        </w:rPr>
      </w:pPr>
    </w:p>
    <w:p w:rsidR="008327F0" w:rsidRDefault="008327F0" w:rsidP="002967F0">
      <w:pPr>
        <w:rPr>
          <w:rFonts w:ascii="Arial" w:hAnsi="Arial" w:cs="Arial"/>
          <w:color w:val="FF0000"/>
        </w:rPr>
      </w:pPr>
    </w:p>
    <w:p w:rsidR="008327F0" w:rsidRDefault="008327F0" w:rsidP="002967F0">
      <w:pPr>
        <w:rPr>
          <w:rFonts w:ascii="Arial" w:hAnsi="Arial" w:cs="Arial"/>
          <w:color w:val="FF0000"/>
        </w:rPr>
      </w:pPr>
    </w:p>
    <w:p w:rsidR="008327F0" w:rsidRDefault="008327F0" w:rsidP="002967F0">
      <w:pPr>
        <w:rPr>
          <w:rFonts w:ascii="Arial" w:hAnsi="Arial" w:cs="Arial"/>
          <w:color w:val="FF0000"/>
        </w:rPr>
      </w:pPr>
    </w:p>
    <w:p w:rsidR="009F554C" w:rsidRDefault="009F554C" w:rsidP="002967F0">
      <w:pPr>
        <w:rPr>
          <w:rFonts w:ascii="Arial" w:hAnsi="Arial" w:cs="Arial"/>
          <w:color w:val="FF0000"/>
        </w:rPr>
      </w:pPr>
    </w:p>
    <w:p w:rsidR="009F554C" w:rsidRDefault="009F554C" w:rsidP="002967F0">
      <w:pPr>
        <w:rPr>
          <w:rFonts w:ascii="Arial" w:hAnsi="Arial" w:cs="Arial"/>
          <w:color w:val="FF0000"/>
        </w:rPr>
      </w:pPr>
    </w:p>
    <w:p w:rsidR="008327F0" w:rsidRPr="008327F0" w:rsidRDefault="008327F0" w:rsidP="008327F0">
      <w:pPr>
        <w:spacing w:after="0" w:line="240" w:lineRule="auto"/>
        <w:rPr>
          <w:rFonts w:ascii="Arial" w:eastAsia="Calibri" w:hAnsi="Arial" w:cs="Arial"/>
          <w:b/>
          <w:i/>
          <w:sz w:val="24"/>
          <w:szCs w:val="24"/>
          <w:u w:val="single"/>
        </w:rPr>
      </w:pPr>
      <w:r w:rsidRPr="008327F0">
        <w:rPr>
          <w:rFonts w:ascii="Arial" w:eastAsia="Calibri" w:hAnsi="Arial" w:cs="Arial"/>
          <w:b/>
          <w:i/>
          <w:sz w:val="24"/>
          <w:szCs w:val="24"/>
          <w:u w:val="single"/>
        </w:rPr>
        <w:lastRenderedPageBreak/>
        <w:t>II.2.2.2. Apele uzate și rețelele de canalizare</w:t>
      </w:r>
    </w:p>
    <w:p w:rsidR="008327F0" w:rsidRPr="008327F0" w:rsidRDefault="008327F0" w:rsidP="008327F0">
      <w:pPr>
        <w:spacing w:after="0" w:line="240" w:lineRule="auto"/>
        <w:rPr>
          <w:rFonts w:ascii="Arial" w:eastAsia="Calibri" w:hAnsi="Arial" w:cs="Arial"/>
          <w:b/>
          <w:i/>
          <w:sz w:val="24"/>
          <w:szCs w:val="24"/>
          <w:u w:val="single"/>
        </w:rPr>
      </w:pPr>
    </w:p>
    <w:p w:rsidR="008327F0" w:rsidRPr="008327F0" w:rsidRDefault="008327F0" w:rsidP="008327F0">
      <w:pPr>
        <w:spacing w:after="0" w:line="240" w:lineRule="auto"/>
        <w:jc w:val="center"/>
        <w:rPr>
          <w:rFonts w:ascii="Arial" w:eastAsia="Calibri" w:hAnsi="Arial" w:cs="Arial"/>
          <w:b/>
          <w:i/>
          <w:sz w:val="24"/>
          <w:szCs w:val="24"/>
        </w:rPr>
      </w:pPr>
    </w:p>
    <w:p w:rsidR="008327F0" w:rsidRPr="008327F0" w:rsidRDefault="008327F0" w:rsidP="008327F0">
      <w:pPr>
        <w:spacing w:after="0" w:line="240" w:lineRule="auto"/>
        <w:jc w:val="center"/>
        <w:rPr>
          <w:rFonts w:ascii="Arial" w:eastAsia="Calibri" w:hAnsi="Arial" w:cs="Arial"/>
          <w:b/>
          <w:i/>
          <w:sz w:val="24"/>
          <w:szCs w:val="24"/>
        </w:rPr>
      </w:pPr>
      <w:r w:rsidRPr="008327F0">
        <w:rPr>
          <w:rFonts w:ascii="Arial" w:eastAsia="Calibri" w:hAnsi="Arial" w:cs="Arial"/>
          <w:b/>
          <w:i/>
          <w:sz w:val="24"/>
          <w:szCs w:val="24"/>
        </w:rPr>
        <w:t>Indicator CSI 24. Epurarea apelor uzate urbane RO 24</w:t>
      </w:r>
    </w:p>
    <w:p w:rsidR="008327F0" w:rsidRPr="008327F0" w:rsidRDefault="008327F0" w:rsidP="008327F0">
      <w:pPr>
        <w:spacing w:after="0" w:line="240" w:lineRule="auto"/>
        <w:rPr>
          <w:rFonts w:ascii="Arial" w:eastAsia="Calibri" w:hAnsi="Arial" w:cs="Arial"/>
          <w:b/>
          <w:sz w:val="24"/>
          <w:szCs w:val="24"/>
        </w:rPr>
      </w:pPr>
    </w:p>
    <w:p w:rsidR="008327F0" w:rsidRPr="008327F0" w:rsidRDefault="008327F0" w:rsidP="008327F0">
      <w:pPr>
        <w:autoSpaceDE w:val="0"/>
        <w:autoSpaceDN w:val="0"/>
        <w:adjustRightInd w:val="0"/>
        <w:spacing w:before="120" w:after="0" w:line="240" w:lineRule="auto"/>
        <w:ind w:firstLine="567"/>
        <w:jc w:val="both"/>
        <w:rPr>
          <w:rFonts w:ascii="Arial" w:eastAsia="Calibri" w:hAnsi="Arial" w:cs="Arial"/>
          <w:sz w:val="24"/>
          <w:szCs w:val="24"/>
          <w:lang w:eastAsia="ro-RO"/>
        </w:rPr>
      </w:pPr>
      <w:r w:rsidRPr="008327F0">
        <w:rPr>
          <w:rFonts w:ascii="Arial" w:eastAsia="Calibri" w:hAnsi="Arial" w:cs="Arial"/>
          <w:i/>
          <w:iCs/>
          <w:sz w:val="24"/>
          <w:szCs w:val="24"/>
          <w:lang w:eastAsia="ro-RO"/>
        </w:rPr>
        <w:t>În raport cu provenienţa lor, apele uzate se clasifică astfel: ape uzate menajere</w:t>
      </w:r>
      <w:r w:rsidRPr="008327F0">
        <w:rPr>
          <w:rFonts w:ascii="Arial" w:eastAsia="Calibri" w:hAnsi="Arial" w:cs="Arial"/>
          <w:sz w:val="24"/>
          <w:szCs w:val="24"/>
          <w:lang w:eastAsia="ro-RO"/>
        </w:rPr>
        <w:t xml:space="preserve">, sunt cele care se evacuează după ce au fost folosite pentru nevoi gospodăreşti în locuinţe şi unităţi de folosinţă publică; </w:t>
      </w:r>
      <w:r w:rsidRPr="008327F0">
        <w:rPr>
          <w:rFonts w:ascii="Arial" w:eastAsia="Calibri" w:hAnsi="Arial" w:cs="Arial"/>
          <w:i/>
          <w:iCs/>
          <w:sz w:val="24"/>
          <w:szCs w:val="24"/>
          <w:lang w:eastAsia="ro-RO"/>
        </w:rPr>
        <w:t>ape uzate urbane</w:t>
      </w:r>
      <w:r w:rsidRPr="008327F0">
        <w:rPr>
          <w:rFonts w:ascii="Arial" w:eastAsia="Calibri" w:hAnsi="Arial" w:cs="Arial"/>
          <w:sz w:val="24"/>
          <w:szCs w:val="24"/>
          <w:lang w:eastAsia="ro-RO"/>
        </w:rPr>
        <w:t xml:space="preserve">, definite ca ape uzate menajere sau amestec de ape menajere cu ape uzate industriale şi/sau ape meteorice şi </w:t>
      </w:r>
      <w:r w:rsidRPr="008327F0">
        <w:rPr>
          <w:rFonts w:ascii="Arial" w:eastAsia="Calibri" w:hAnsi="Arial" w:cs="Arial"/>
          <w:i/>
          <w:iCs/>
          <w:sz w:val="24"/>
          <w:szCs w:val="24"/>
          <w:lang w:eastAsia="ro-RO"/>
        </w:rPr>
        <w:t>ape uzate industriale</w:t>
      </w:r>
      <w:r w:rsidRPr="008327F0">
        <w:rPr>
          <w:rFonts w:ascii="Arial" w:eastAsia="Calibri" w:hAnsi="Arial" w:cs="Arial"/>
          <w:sz w:val="24"/>
          <w:szCs w:val="24"/>
          <w:lang w:eastAsia="ro-RO"/>
        </w:rPr>
        <w:t xml:space="preserve">, cele care sunt evacuate ca urmare a folosirii lor în procese tehnologice de obţinere a unor produse finite industriale sau agro-industriale. </w:t>
      </w:r>
    </w:p>
    <w:p w:rsidR="008327F0" w:rsidRPr="008327F0" w:rsidRDefault="008327F0" w:rsidP="008327F0">
      <w:pPr>
        <w:autoSpaceDE w:val="0"/>
        <w:autoSpaceDN w:val="0"/>
        <w:adjustRightInd w:val="0"/>
        <w:spacing w:before="120" w:after="0" w:line="240" w:lineRule="auto"/>
        <w:ind w:firstLine="567"/>
        <w:jc w:val="both"/>
        <w:rPr>
          <w:rFonts w:ascii="Arial" w:eastAsia="Calibri" w:hAnsi="Arial" w:cs="Arial"/>
          <w:sz w:val="24"/>
          <w:szCs w:val="24"/>
          <w:lang w:eastAsia="ro-RO"/>
        </w:rPr>
      </w:pPr>
      <w:r w:rsidRPr="008327F0">
        <w:rPr>
          <w:rFonts w:ascii="Arial" w:eastAsia="Calibri" w:hAnsi="Arial" w:cs="Arial"/>
          <w:sz w:val="24"/>
          <w:szCs w:val="24"/>
          <w:lang w:eastAsia="ro-RO"/>
        </w:rPr>
        <w:t>Apele uzate urbane sunt definite ca ape uzate menajere sau amestec de ape uzate menajere cu ape uzate industriale (în general provenite din industria agro-alimentară) sunt colectate prin sisteme de canalizare şi preluate şi epurate în staţii de epurare.</w:t>
      </w:r>
    </w:p>
    <w:p w:rsidR="008327F0" w:rsidRPr="008327F0" w:rsidRDefault="008327F0" w:rsidP="008327F0">
      <w:pPr>
        <w:autoSpaceDE w:val="0"/>
        <w:autoSpaceDN w:val="0"/>
        <w:adjustRightInd w:val="0"/>
        <w:spacing w:after="0" w:line="240" w:lineRule="auto"/>
        <w:ind w:firstLine="567"/>
        <w:jc w:val="both"/>
        <w:rPr>
          <w:rFonts w:ascii="Arial" w:eastAsia="Calibri" w:hAnsi="Arial" w:cs="Arial"/>
          <w:i/>
          <w:iCs/>
          <w:sz w:val="24"/>
          <w:szCs w:val="24"/>
          <w:lang w:eastAsia="ro-RO"/>
        </w:rPr>
      </w:pPr>
      <w:r w:rsidRPr="008327F0">
        <w:rPr>
          <w:rFonts w:ascii="Arial" w:eastAsia="Calibri" w:hAnsi="Arial" w:cs="Arial"/>
          <w:i/>
          <w:iCs/>
          <w:sz w:val="24"/>
          <w:szCs w:val="24"/>
          <w:lang w:eastAsia="ro-RO"/>
        </w:rPr>
        <w:t>Apele uzate neepurate din aglomerările umane (oraşe şi sate – zonele locuite cele mai concentrate) contribuie la poluarea apelor de suprafaţă şi subterane. Poluarea se datorează în principal următoarelor aspecte:</w:t>
      </w:r>
    </w:p>
    <w:p w:rsidR="008327F0" w:rsidRPr="008327F0" w:rsidRDefault="008327F0" w:rsidP="008327F0">
      <w:pPr>
        <w:numPr>
          <w:ilvl w:val="0"/>
          <w:numId w:val="30"/>
        </w:numPr>
        <w:autoSpaceDE w:val="0"/>
        <w:autoSpaceDN w:val="0"/>
        <w:adjustRightInd w:val="0"/>
        <w:spacing w:after="0" w:line="240" w:lineRule="auto"/>
        <w:jc w:val="both"/>
        <w:rPr>
          <w:rFonts w:ascii="Arial" w:eastAsia="Calibri" w:hAnsi="Arial" w:cs="Arial"/>
          <w:sz w:val="24"/>
          <w:szCs w:val="24"/>
          <w:lang w:eastAsia="ro-RO"/>
        </w:rPr>
      </w:pPr>
      <w:r w:rsidRPr="008327F0">
        <w:rPr>
          <w:rFonts w:ascii="Arial" w:eastAsia="Calibri" w:hAnsi="Arial" w:cs="Arial"/>
          <w:sz w:val="24"/>
          <w:szCs w:val="24"/>
          <w:lang w:eastAsia="ro-RO"/>
        </w:rPr>
        <w:t>Ratei reduse a racordării populaţiei echivalente la sistemele de colectare şi epurare a apelor uzate;</w:t>
      </w:r>
    </w:p>
    <w:p w:rsidR="008327F0" w:rsidRPr="008327F0" w:rsidRDefault="008327F0" w:rsidP="008327F0">
      <w:pPr>
        <w:numPr>
          <w:ilvl w:val="0"/>
          <w:numId w:val="30"/>
        </w:numPr>
        <w:autoSpaceDE w:val="0"/>
        <w:autoSpaceDN w:val="0"/>
        <w:adjustRightInd w:val="0"/>
        <w:spacing w:after="0" w:line="240" w:lineRule="auto"/>
        <w:jc w:val="both"/>
        <w:rPr>
          <w:rFonts w:ascii="Arial" w:eastAsia="Calibri" w:hAnsi="Arial" w:cs="Arial"/>
          <w:sz w:val="24"/>
          <w:szCs w:val="24"/>
          <w:lang w:eastAsia="ro-RO"/>
        </w:rPr>
      </w:pPr>
      <w:r w:rsidRPr="008327F0">
        <w:rPr>
          <w:rFonts w:ascii="Arial" w:eastAsia="Calibri" w:hAnsi="Arial" w:cs="Arial"/>
          <w:sz w:val="24"/>
          <w:szCs w:val="24"/>
          <w:lang w:eastAsia="ro-RO"/>
        </w:rPr>
        <w:t>Funcţionării necorespunzătoare a staţiilor de epurare existente;</w:t>
      </w:r>
    </w:p>
    <w:p w:rsidR="008327F0" w:rsidRPr="008327F0" w:rsidRDefault="008327F0" w:rsidP="008327F0">
      <w:pPr>
        <w:numPr>
          <w:ilvl w:val="0"/>
          <w:numId w:val="31"/>
        </w:numPr>
        <w:autoSpaceDE w:val="0"/>
        <w:autoSpaceDN w:val="0"/>
        <w:adjustRightInd w:val="0"/>
        <w:spacing w:after="0" w:line="240" w:lineRule="auto"/>
        <w:jc w:val="both"/>
        <w:rPr>
          <w:rFonts w:ascii="Arial" w:eastAsia="Calibri" w:hAnsi="Arial" w:cs="Arial"/>
          <w:sz w:val="24"/>
          <w:szCs w:val="24"/>
          <w:lang w:eastAsia="ro-RO"/>
        </w:rPr>
      </w:pPr>
      <w:r w:rsidRPr="008327F0">
        <w:rPr>
          <w:rFonts w:ascii="Arial" w:eastAsia="Calibri" w:hAnsi="Arial" w:cs="Arial"/>
          <w:sz w:val="24"/>
          <w:szCs w:val="24"/>
          <w:lang w:eastAsia="ro-RO"/>
        </w:rPr>
        <w:t>Managementului necorespunzător al nămolurilor de la staţiile de epurare (produse secundare ale procesului de epurare a apelor uzate, considerate deșeuri biodegradabile);</w:t>
      </w:r>
    </w:p>
    <w:p w:rsidR="008327F0" w:rsidRPr="008327F0" w:rsidRDefault="008327F0" w:rsidP="008327F0">
      <w:pPr>
        <w:numPr>
          <w:ilvl w:val="0"/>
          <w:numId w:val="31"/>
        </w:numPr>
        <w:autoSpaceDE w:val="0"/>
        <w:autoSpaceDN w:val="0"/>
        <w:adjustRightInd w:val="0"/>
        <w:spacing w:after="0" w:line="240" w:lineRule="auto"/>
        <w:jc w:val="both"/>
        <w:rPr>
          <w:rFonts w:ascii="Arial" w:eastAsia="Calibri" w:hAnsi="Arial" w:cs="Arial"/>
          <w:sz w:val="24"/>
          <w:szCs w:val="24"/>
          <w:lang w:eastAsia="ro-RO"/>
        </w:rPr>
      </w:pPr>
      <w:r w:rsidRPr="008327F0">
        <w:rPr>
          <w:rFonts w:ascii="Arial" w:eastAsia="Calibri" w:hAnsi="Arial" w:cs="Arial"/>
          <w:sz w:val="24"/>
          <w:szCs w:val="24"/>
          <w:lang w:eastAsia="ro-RO"/>
        </w:rPr>
        <w:t>Dezvoltării zonelor urbane fără asigurarea şi dotarea cu sisteme şi instalaţii de alimentare cu apă şi canalizare, care se reflectă apoi prin evacuările de ape neepurate în emisarii naturali, ceea ce duce la o</w:t>
      </w:r>
    </w:p>
    <w:p w:rsidR="008327F0" w:rsidRPr="008327F0" w:rsidRDefault="008327F0" w:rsidP="008327F0">
      <w:pPr>
        <w:numPr>
          <w:ilvl w:val="0"/>
          <w:numId w:val="31"/>
        </w:numPr>
        <w:spacing w:after="0" w:line="240" w:lineRule="auto"/>
        <w:jc w:val="both"/>
        <w:rPr>
          <w:rFonts w:ascii="Arial" w:eastAsia="Calibri" w:hAnsi="Arial" w:cs="Arial"/>
          <w:sz w:val="24"/>
          <w:szCs w:val="24"/>
        </w:rPr>
      </w:pPr>
      <w:r w:rsidRPr="008327F0">
        <w:rPr>
          <w:rFonts w:ascii="Arial" w:eastAsia="Calibri" w:hAnsi="Arial" w:cs="Arial"/>
          <w:sz w:val="24"/>
          <w:szCs w:val="24"/>
          <w:lang w:eastAsia="ro-RO"/>
        </w:rPr>
        <w:t>protecţie insuficientă a resurselor de apă,</w:t>
      </w:r>
    </w:p>
    <w:p w:rsidR="008327F0" w:rsidRPr="008327F0" w:rsidRDefault="008327F0" w:rsidP="008327F0">
      <w:pPr>
        <w:spacing w:before="120" w:after="120" w:line="240" w:lineRule="auto"/>
        <w:ind w:firstLine="567"/>
        <w:jc w:val="both"/>
        <w:rPr>
          <w:rFonts w:ascii="Arial" w:eastAsia="Calibri" w:hAnsi="Arial" w:cs="Arial"/>
          <w:sz w:val="24"/>
          <w:szCs w:val="24"/>
        </w:rPr>
      </w:pPr>
      <w:r w:rsidRPr="008327F0">
        <w:rPr>
          <w:rFonts w:ascii="Arial" w:eastAsia="Calibri" w:hAnsi="Arial" w:cs="Arial"/>
          <w:sz w:val="24"/>
          <w:szCs w:val="24"/>
        </w:rPr>
        <w:t>Calitatea apelor de suprafaţă este influenţată în mod direct de evacuările de ape uzate, neepurate sau insuficient epurate, provenite din surse punctiforme, urbane, industriale şi agricole. Impactul acestor surse de poluare asupra receptorilor naturali depinde de debitul apei şi de încărcarea acesteia cu substanţe poluante.</w:t>
      </w:r>
    </w:p>
    <w:p w:rsidR="008327F0" w:rsidRPr="008327F0" w:rsidRDefault="008327F0" w:rsidP="008327F0">
      <w:pPr>
        <w:spacing w:before="120" w:after="120" w:line="240" w:lineRule="auto"/>
        <w:ind w:firstLine="567"/>
        <w:jc w:val="both"/>
        <w:rPr>
          <w:rFonts w:ascii="Arial" w:eastAsia="Calibri" w:hAnsi="Arial" w:cs="Arial"/>
          <w:sz w:val="24"/>
          <w:szCs w:val="24"/>
        </w:rPr>
      </w:pPr>
      <w:r w:rsidRPr="008327F0">
        <w:rPr>
          <w:rFonts w:ascii="Arial" w:eastAsia="Calibri" w:hAnsi="Arial" w:cs="Arial"/>
          <w:sz w:val="24"/>
          <w:szCs w:val="24"/>
        </w:rPr>
        <w:t>Poluarea apelor este un proces de alterare a calităţii fizice, chimice sau biologice a acesteia, produsă de o activitate umană, în urma căreia apele devin improprii pentru folosinţă. Se poate spune că o apă poate fi poluată nu numai atunci când ea prezintă modificări vizibile (schimbări de culoare, irizaţii de produse petroliere, mirosuri neplăcute) ci şi atunci când, deşi aparent bună, conţine, fie şi într-o cantitate redusă, substanțe toxice. Poluarea chimică rezultă din deversarea în ape a unor compuşi chimici de tipul: nitraţi, fosfaţi şi alte substanţe folosite în agricultură; unor reziduuri provenite din industria metalurgică, chimică, a lemnului, celulozei, din topitorii sau a unor substanţe organice (solvenţi, coloranţi, substanţe biodegradabile provenite din industria alimentară) etc..</w:t>
      </w:r>
    </w:p>
    <w:p w:rsidR="008327F0" w:rsidRPr="008327F0" w:rsidRDefault="008327F0" w:rsidP="008327F0">
      <w:pPr>
        <w:spacing w:before="120" w:after="120" w:line="240" w:lineRule="auto"/>
        <w:ind w:firstLine="567"/>
        <w:jc w:val="both"/>
        <w:rPr>
          <w:rFonts w:ascii="Arial" w:eastAsia="Calibri" w:hAnsi="Arial" w:cs="Arial"/>
          <w:sz w:val="24"/>
          <w:szCs w:val="24"/>
        </w:rPr>
      </w:pPr>
    </w:p>
    <w:p w:rsidR="008327F0" w:rsidRPr="008327F0" w:rsidRDefault="008327F0" w:rsidP="008327F0">
      <w:pPr>
        <w:spacing w:after="0" w:line="240" w:lineRule="auto"/>
        <w:ind w:left="567"/>
        <w:jc w:val="both"/>
        <w:rPr>
          <w:rFonts w:ascii="Arial" w:eastAsia="Calibri" w:hAnsi="Arial" w:cs="Arial"/>
          <w:b/>
          <w:sz w:val="24"/>
          <w:szCs w:val="24"/>
          <w:u w:val="single"/>
          <w:lang w:val="pt-BR"/>
        </w:rPr>
      </w:pPr>
      <w:r w:rsidRPr="008327F0">
        <w:rPr>
          <w:rFonts w:ascii="Arial" w:eastAsia="Calibri" w:hAnsi="Arial" w:cs="Arial"/>
          <w:b/>
          <w:sz w:val="24"/>
          <w:szCs w:val="24"/>
          <w:u w:val="single"/>
          <w:lang w:val="pt-BR"/>
        </w:rPr>
        <w:t>Structura apelor uzate evacuate. Substanţe poluante şi indicatori de poluare ai apelor uzate</w:t>
      </w:r>
    </w:p>
    <w:p w:rsidR="008327F0" w:rsidRPr="008327F0" w:rsidRDefault="008327F0" w:rsidP="008327F0">
      <w:pPr>
        <w:spacing w:before="120" w:after="0" w:line="240" w:lineRule="auto"/>
        <w:ind w:firstLine="562"/>
        <w:jc w:val="both"/>
        <w:rPr>
          <w:rFonts w:ascii="Arial" w:eastAsia="Calibri" w:hAnsi="Arial" w:cs="Arial"/>
          <w:sz w:val="24"/>
          <w:szCs w:val="24"/>
        </w:rPr>
      </w:pPr>
      <w:r w:rsidRPr="008327F0">
        <w:rPr>
          <w:rFonts w:ascii="Arial" w:eastAsia="Calibri" w:hAnsi="Arial" w:cs="Arial"/>
          <w:sz w:val="24"/>
          <w:szCs w:val="24"/>
        </w:rPr>
        <w:t xml:space="preserve">În conformitate cu rezultatele evaluării situației la nivel național, </w:t>
      </w:r>
      <w:r w:rsidRPr="008327F0">
        <w:rPr>
          <w:rFonts w:ascii="Arial" w:eastAsia="Calibri" w:hAnsi="Arial" w:cs="Arial"/>
          <w:b/>
          <w:sz w:val="24"/>
          <w:szCs w:val="24"/>
        </w:rPr>
        <w:t>volumul total evacuat în anul 2021 a fost de 4196,49 milioane mc.</w:t>
      </w:r>
      <w:r w:rsidRPr="008327F0">
        <w:rPr>
          <w:rFonts w:ascii="Arial" w:eastAsia="Calibri" w:hAnsi="Arial" w:cs="Arial"/>
          <w:sz w:val="24"/>
          <w:szCs w:val="24"/>
        </w:rPr>
        <w:t xml:space="preserve">, din care 2362,14 milioane mc. (56,29%)  reprezintă  ape de răcire, ape încadrate la categoria de </w:t>
      </w:r>
      <w:r w:rsidRPr="008327F0">
        <w:rPr>
          <w:rFonts w:ascii="Arial" w:eastAsia="Calibri" w:hAnsi="Arial" w:cs="Arial"/>
          <w:b/>
          <w:bCs/>
          <w:i/>
          <w:iCs/>
          <w:sz w:val="24"/>
          <w:szCs w:val="24"/>
        </w:rPr>
        <w:t>ape uzate care nu necesită epurare.</w:t>
      </w:r>
      <w:r w:rsidRPr="008327F0">
        <w:rPr>
          <w:rFonts w:ascii="Arial" w:eastAsia="Calibri" w:hAnsi="Arial" w:cs="Arial"/>
          <w:sz w:val="24"/>
          <w:szCs w:val="24"/>
        </w:rPr>
        <w:t xml:space="preserve"> </w:t>
      </w:r>
    </w:p>
    <w:p w:rsidR="008327F0" w:rsidRPr="008327F0" w:rsidRDefault="008327F0" w:rsidP="008327F0">
      <w:pPr>
        <w:spacing w:after="120" w:line="240" w:lineRule="auto"/>
        <w:ind w:firstLine="562"/>
        <w:jc w:val="both"/>
        <w:rPr>
          <w:rFonts w:ascii="Arial" w:eastAsia="Calibri" w:hAnsi="Arial" w:cs="Arial"/>
          <w:i/>
          <w:iCs/>
          <w:sz w:val="24"/>
          <w:szCs w:val="24"/>
        </w:rPr>
      </w:pPr>
      <w:r w:rsidRPr="008327F0">
        <w:rPr>
          <w:rFonts w:ascii="Arial" w:eastAsia="Calibri" w:hAnsi="Arial" w:cs="Arial"/>
          <w:sz w:val="24"/>
          <w:szCs w:val="24"/>
        </w:rPr>
        <w:t xml:space="preserve"> Situația privind volumele de ape uzate evacuate în anul 2021 este prezentată în </w:t>
      </w:r>
      <w:r w:rsidRPr="008327F0">
        <w:rPr>
          <w:rFonts w:ascii="Arial" w:eastAsia="Calibri" w:hAnsi="Arial" w:cs="Arial"/>
          <w:i/>
          <w:iCs/>
          <w:sz w:val="24"/>
          <w:szCs w:val="24"/>
        </w:rPr>
        <w:t xml:space="preserve">Tabelul </w:t>
      </w:r>
      <w:r w:rsidRPr="008327F0">
        <w:rPr>
          <w:rFonts w:ascii="Arial" w:eastAsia="Calibri" w:hAnsi="Arial" w:cs="Arial"/>
          <w:i/>
          <w:sz w:val="24"/>
          <w:szCs w:val="24"/>
          <w:lang w:eastAsia="ro-RO"/>
        </w:rPr>
        <w:t>II.2.2.2.</w:t>
      </w:r>
      <w:r w:rsidRPr="008327F0">
        <w:rPr>
          <w:rFonts w:ascii="Arial" w:eastAsia="Calibri" w:hAnsi="Arial" w:cs="Arial"/>
          <w:i/>
          <w:iCs/>
          <w:sz w:val="24"/>
          <w:szCs w:val="24"/>
        </w:rPr>
        <w:t xml:space="preserve">1 și Figura </w:t>
      </w:r>
      <w:r w:rsidRPr="008327F0">
        <w:rPr>
          <w:rFonts w:ascii="Arial" w:eastAsia="Calibri" w:hAnsi="Arial" w:cs="Arial"/>
          <w:i/>
          <w:sz w:val="24"/>
          <w:szCs w:val="24"/>
          <w:lang w:eastAsia="ro-RO"/>
        </w:rPr>
        <w:t>II.2.2.2.</w:t>
      </w:r>
      <w:r w:rsidRPr="008327F0">
        <w:rPr>
          <w:rFonts w:ascii="Arial" w:eastAsia="Calibri" w:hAnsi="Arial" w:cs="Arial"/>
          <w:i/>
          <w:iCs/>
          <w:sz w:val="24"/>
          <w:szCs w:val="24"/>
        </w:rPr>
        <w:t>1.</w:t>
      </w:r>
    </w:p>
    <w:p w:rsidR="008327F0" w:rsidRDefault="008327F0" w:rsidP="008327F0">
      <w:pPr>
        <w:spacing w:before="120" w:after="120" w:line="240" w:lineRule="auto"/>
        <w:ind w:firstLine="567"/>
        <w:jc w:val="both"/>
        <w:rPr>
          <w:rFonts w:ascii="Arial" w:eastAsia="Calibri" w:hAnsi="Arial" w:cs="Arial"/>
          <w:i/>
          <w:iCs/>
          <w:sz w:val="24"/>
          <w:szCs w:val="24"/>
        </w:rPr>
      </w:pPr>
    </w:p>
    <w:p w:rsidR="00822C3C" w:rsidRPr="008327F0" w:rsidRDefault="00822C3C" w:rsidP="008327F0">
      <w:pPr>
        <w:spacing w:before="120" w:after="120" w:line="240" w:lineRule="auto"/>
        <w:ind w:firstLine="567"/>
        <w:jc w:val="both"/>
        <w:rPr>
          <w:rFonts w:ascii="Arial" w:eastAsia="Calibri" w:hAnsi="Arial" w:cs="Arial"/>
          <w:i/>
          <w:iCs/>
          <w:sz w:val="24"/>
          <w:szCs w:val="24"/>
        </w:rPr>
      </w:pPr>
    </w:p>
    <w:p w:rsidR="008327F0" w:rsidRPr="008327F0" w:rsidRDefault="008327F0" w:rsidP="008327F0">
      <w:pPr>
        <w:spacing w:after="0" w:line="240" w:lineRule="auto"/>
        <w:ind w:left="-90"/>
        <w:jc w:val="both"/>
        <w:rPr>
          <w:rFonts w:ascii="Arial" w:eastAsia="Calibri" w:hAnsi="Arial" w:cs="Arial"/>
          <w:b/>
          <w:bCs/>
          <w:i/>
          <w:sz w:val="20"/>
          <w:szCs w:val="24"/>
          <w:u w:val="single"/>
        </w:rPr>
      </w:pPr>
      <w:r w:rsidRPr="008327F0">
        <w:rPr>
          <w:rFonts w:ascii="Arial" w:eastAsia="Calibri" w:hAnsi="Arial" w:cs="Arial"/>
          <w:b/>
          <w:bCs/>
          <w:color w:val="000000"/>
          <w:sz w:val="20"/>
          <w:szCs w:val="24"/>
          <w:lang w:eastAsia="ro-RO"/>
        </w:rPr>
        <w:t xml:space="preserve">Tabel II.2.2.2.1 </w:t>
      </w:r>
      <w:r w:rsidRPr="008327F0">
        <w:rPr>
          <w:rFonts w:ascii="Arial" w:eastAsia="Calibri" w:hAnsi="Arial" w:cs="Arial"/>
          <w:b/>
          <w:bCs/>
          <w:i/>
          <w:color w:val="000000"/>
          <w:sz w:val="20"/>
          <w:szCs w:val="24"/>
          <w:lang w:eastAsia="ro-RO"/>
        </w:rPr>
        <w:t>Volume de ape uzate evacuate la nivel național în receptorii naturali în anul 2021 (mii mc.)</w:t>
      </w:r>
    </w:p>
    <w:tbl>
      <w:tblPr>
        <w:tblW w:w="9913" w:type="dxa"/>
        <w:tblLook w:val="04A0" w:firstRow="1" w:lastRow="0" w:firstColumn="1" w:lastColumn="0" w:noHBand="0" w:noVBand="1"/>
      </w:tblPr>
      <w:tblGrid>
        <w:gridCol w:w="980"/>
        <w:gridCol w:w="1600"/>
        <w:gridCol w:w="1580"/>
        <w:gridCol w:w="1910"/>
        <w:gridCol w:w="2177"/>
        <w:gridCol w:w="1666"/>
      </w:tblGrid>
      <w:tr w:rsidR="008327F0" w:rsidRPr="008327F0" w:rsidTr="00B8293F">
        <w:trPr>
          <w:trHeight w:val="459"/>
        </w:trPr>
        <w:tc>
          <w:tcPr>
            <w:tcW w:w="980" w:type="dxa"/>
            <w:vMerge w:val="restart"/>
            <w:tcBorders>
              <w:top w:val="single" w:sz="8" w:space="0" w:color="auto"/>
              <w:left w:val="single" w:sz="8" w:space="0" w:color="auto"/>
              <w:bottom w:val="single" w:sz="4" w:space="0" w:color="auto"/>
              <w:right w:val="single" w:sz="4" w:space="0" w:color="auto"/>
            </w:tcBorders>
            <w:shd w:val="clear" w:color="auto" w:fill="DEEAF6"/>
            <w:vAlign w:val="center"/>
            <w:hideMark/>
          </w:tcPr>
          <w:p w:rsidR="008327F0" w:rsidRPr="008327F0" w:rsidRDefault="008327F0" w:rsidP="008327F0">
            <w:pPr>
              <w:spacing w:after="0" w:line="240" w:lineRule="auto"/>
              <w:jc w:val="center"/>
              <w:rPr>
                <w:rFonts w:ascii="Arial" w:eastAsia="Calibri" w:hAnsi="Arial" w:cs="Arial"/>
                <w:b/>
                <w:bCs/>
                <w:color w:val="000000"/>
                <w:szCs w:val="24"/>
                <w:lang w:eastAsia="ro-RO"/>
              </w:rPr>
            </w:pPr>
            <w:r w:rsidRPr="008327F0">
              <w:rPr>
                <w:rFonts w:ascii="Arial" w:eastAsia="Calibri" w:hAnsi="Arial" w:cs="Arial"/>
                <w:b/>
                <w:bCs/>
                <w:color w:val="000000"/>
                <w:szCs w:val="24"/>
              </w:rPr>
              <w:t>Anul</w:t>
            </w:r>
          </w:p>
        </w:tc>
        <w:tc>
          <w:tcPr>
            <w:tcW w:w="1600" w:type="dxa"/>
            <w:vMerge w:val="restart"/>
            <w:tcBorders>
              <w:top w:val="single" w:sz="8" w:space="0" w:color="auto"/>
              <w:left w:val="single" w:sz="4" w:space="0" w:color="auto"/>
              <w:bottom w:val="single" w:sz="4" w:space="0" w:color="auto"/>
              <w:right w:val="single" w:sz="4" w:space="0" w:color="auto"/>
            </w:tcBorders>
            <w:shd w:val="clear" w:color="auto" w:fill="DEEAF6"/>
            <w:vAlign w:val="center"/>
            <w:hideMark/>
          </w:tcPr>
          <w:p w:rsidR="008327F0" w:rsidRPr="008327F0" w:rsidRDefault="008327F0" w:rsidP="008327F0">
            <w:pPr>
              <w:spacing w:after="0" w:line="276" w:lineRule="auto"/>
              <w:jc w:val="center"/>
              <w:rPr>
                <w:rFonts w:ascii="Arial" w:eastAsia="Calibri" w:hAnsi="Arial" w:cs="Arial"/>
                <w:b/>
                <w:bCs/>
                <w:color w:val="000000"/>
                <w:szCs w:val="24"/>
              </w:rPr>
            </w:pPr>
            <w:r w:rsidRPr="008327F0">
              <w:rPr>
                <w:rFonts w:ascii="Arial" w:eastAsia="Calibri" w:hAnsi="Arial" w:cs="Arial"/>
                <w:b/>
                <w:bCs/>
                <w:color w:val="000000"/>
                <w:szCs w:val="24"/>
              </w:rPr>
              <w:t>Total Evacuat</w:t>
            </w:r>
          </w:p>
        </w:tc>
        <w:tc>
          <w:tcPr>
            <w:tcW w:w="1580" w:type="dxa"/>
            <w:vMerge w:val="restart"/>
            <w:tcBorders>
              <w:top w:val="single" w:sz="8" w:space="0" w:color="auto"/>
              <w:left w:val="single" w:sz="4" w:space="0" w:color="auto"/>
              <w:bottom w:val="single" w:sz="4" w:space="0" w:color="auto"/>
              <w:right w:val="single" w:sz="4" w:space="0" w:color="auto"/>
            </w:tcBorders>
            <w:shd w:val="clear" w:color="auto" w:fill="DEEAF6"/>
            <w:vAlign w:val="center"/>
            <w:hideMark/>
          </w:tcPr>
          <w:p w:rsidR="008327F0" w:rsidRPr="008327F0" w:rsidRDefault="008327F0" w:rsidP="008327F0">
            <w:pPr>
              <w:spacing w:after="0" w:line="276" w:lineRule="auto"/>
              <w:jc w:val="center"/>
              <w:rPr>
                <w:rFonts w:ascii="Arial" w:eastAsia="Calibri" w:hAnsi="Arial" w:cs="Arial"/>
                <w:b/>
                <w:bCs/>
                <w:color w:val="000000"/>
                <w:szCs w:val="24"/>
              </w:rPr>
            </w:pPr>
            <w:r w:rsidRPr="008327F0">
              <w:rPr>
                <w:rFonts w:ascii="Arial" w:eastAsia="Calibri" w:hAnsi="Arial" w:cs="Arial"/>
                <w:b/>
                <w:bCs/>
                <w:color w:val="000000"/>
                <w:szCs w:val="24"/>
              </w:rPr>
              <w:t>Nu necesită epurare</w:t>
            </w:r>
          </w:p>
        </w:tc>
        <w:tc>
          <w:tcPr>
            <w:tcW w:w="4087" w:type="dxa"/>
            <w:gridSpan w:val="2"/>
            <w:tcBorders>
              <w:top w:val="single" w:sz="8" w:space="0" w:color="auto"/>
              <w:left w:val="nil"/>
              <w:bottom w:val="single" w:sz="4" w:space="0" w:color="auto"/>
              <w:right w:val="single" w:sz="4" w:space="0" w:color="auto"/>
            </w:tcBorders>
            <w:shd w:val="clear" w:color="auto" w:fill="DEEAF6"/>
            <w:vAlign w:val="center"/>
            <w:hideMark/>
          </w:tcPr>
          <w:p w:rsidR="008327F0" w:rsidRPr="008327F0" w:rsidRDefault="008327F0" w:rsidP="008327F0">
            <w:pPr>
              <w:spacing w:after="0" w:line="276" w:lineRule="auto"/>
              <w:jc w:val="center"/>
              <w:rPr>
                <w:rFonts w:ascii="Arial" w:eastAsia="Calibri" w:hAnsi="Arial" w:cs="Arial"/>
                <w:b/>
                <w:bCs/>
                <w:color w:val="000000"/>
                <w:szCs w:val="24"/>
              </w:rPr>
            </w:pPr>
            <w:r w:rsidRPr="008327F0">
              <w:rPr>
                <w:rFonts w:ascii="Arial" w:eastAsia="Calibri" w:hAnsi="Arial" w:cs="Arial"/>
                <w:b/>
                <w:bCs/>
                <w:color w:val="000000"/>
                <w:szCs w:val="24"/>
              </w:rPr>
              <w:t>Se epurează</w:t>
            </w:r>
          </w:p>
        </w:tc>
        <w:tc>
          <w:tcPr>
            <w:tcW w:w="1666" w:type="dxa"/>
            <w:vMerge w:val="restart"/>
            <w:tcBorders>
              <w:top w:val="single" w:sz="8" w:space="0" w:color="auto"/>
              <w:left w:val="single" w:sz="4" w:space="0" w:color="auto"/>
              <w:bottom w:val="single" w:sz="4" w:space="0" w:color="auto"/>
              <w:right w:val="single" w:sz="8" w:space="0" w:color="auto"/>
            </w:tcBorders>
            <w:shd w:val="clear" w:color="auto" w:fill="DEEAF6"/>
            <w:vAlign w:val="center"/>
            <w:hideMark/>
          </w:tcPr>
          <w:p w:rsidR="008327F0" w:rsidRPr="008327F0" w:rsidRDefault="008327F0" w:rsidP="008327F0">
            <w:pPr>
              <w:spacing w:after="0" w:line="276" w:lineRule="auto"/>
              <w:jc w:val="center"/>
              <w:rPr>
                <w:rFonts w:ascii="Arial" w:eastAsia="Calibri" w:hAnsi="Arial" w:cs="Arial"/>
                <w:b/>
                <w:bCs/>
                <w:color w:val="000000"/>
                <w:szCs w:val="24"/>
              </w:rPr>
            </w:pPr>
            <w:r w:rsidRPr="008327F0">
              <w:rPr>
                <w:rFonts w:ascii="Arial" w:eastAsia="Calibri" w:hAnsi="Arial" w:cs="Arial"/>
                <w:b/>
                <w:bCs/>
                <w:color w:val="000000"/>
                <w:szCs w:val="24"/>
              </w:rPr>
              <w:t>Nu se epurează</w:t>
            </w:r>
          </w:p>
        </w:tc>
      </w:tr>
      <w:tr w:rsidR="008327F0" w:rsidRPr="008327F0" w:rsidTr="00B8293F">
        <w:trPr>
          <w:trHeight w:val="540"/>
        </w:trPr>
        <w:tc>
          <w:tcPr>
            <w:tcW w:w="980" w:type="dxa"/>
            <w:vMerge/>
            <w:tcBorders>
              <w:top w:val="single" w:sz="8" w:space="0" w:color="auto"/>
              <w:left w:val="single" w:sz="8" w:space="0" w:color="auto"/>
              <w:bottom w:val="single" w:sz="4" w:space="0" w:color="auto"/>
              <w:right w:val="single" w:sz="4" w:space="0" w:color="auto"/>
            </w:tcBorders>
            <w:vAlign w:val="center"/>
            <w:hideMark/>
          </w:tcPr>
          <w:p w:rsidR="008327F0" w:rsidRPr="008327F0" w:rsidRDefault="008327F0" w:rsidP="008327F0">
            <w:pPr>
              <w:spacing w:after="200" w:line="276" w:lineRule="auto"/>
              <w:jc w:val="center"/>
              <w:rPr>
                <w:rFonts w:ascii="Arial" w:eastAsia="Calibri" w:hAnsi="Arial" w:cs="Arial"/>
                <w:b/>
                <w:bCs/>
                <w:color w:val="000000"/>
                <w:szCs w:val="24"/>
              </w:rPr>
            </w:pPr>
          </w:p>
        </w:tc>
        <w:tc>
          <w:tcPr>
            <w:tcW w:w="1600" w:type="dxa"/>
            <w:vMerge/>
            <w:tcBorders>
              <w:top w:val="single" w:sz="8" w:space="0" w:color="auto"/>
              <w:left w:val="single" w:sz="4" w:space="0" w:color="auto"/>
              <w:bottom w:val="single" w:sz="4" w:space="0" w:color="auto"/>
              <w:right w:val="single" w:sz="4" w:space="0" w:color="auto"/>
            </w:tcBorders>
            <w:vAlign w:val="center"/>
            <w:hideMark/>
          </w:tcPr>
          <w:p w:rsidR="008327F0" w:rsidRPr="008327F0" w:rsidRDefault="008327F0" w:rsidP="008327F0">
            <w:pPr>
              <w:spacing w:after="200" w:line="276" w:lineRule="auto"/>
              <w:jc w:val="center"/>
              <w:rPr>
                <w:rFonts w:ascii="Arial" w:eastAsia="Calibri" w:hAnsi="Arial" w:cs="Arial"/>
                <w:b/>
                <w:bCs/>
                <w:color w:val="000000"/>
                <w:szCs w:val="24"/>
              </w:rPr>
            </w:pPr>
          </w:p>
        </w:tc>
        <w:tc>
          <w:tcPr>
            <w:tcW w:w="1580" w:type="dxa"/>
            <w:vMerge/>
            <w:tcBorders>
              <w:top w:val="single" w:sz="8" w:space="0" w:color="auto"/>
              <w:left w:val="single" w:sz="4" w:space="0" w:color="auto"/>
              <w:bottom w:val="single" w:sz="4" w:space="0" w:color="auto"/>
              <w:right w:val="single" w:sz="4" w:space="0" w:color="auto"/>
            </w:tcBorders>
            <w:vAlign w:val="center"/>
            <w:hideMark/>
          </w:tcPr>
          <w:p w:rsidR="008327F0" w:rsidRPr="008327F0" w:rsidRDefault="008327F0" w:rsidP="008327F0">
            <w:pPr>
              <w:spacing w:after="200" w:line="276" w:lineRule="auto"/>
              <w:jc w:val="center"/>
              <w:rPr>
                <w:rFonts w:ascii="Arial" w:eastAsia="Calibri" w:hAnsi="Arial" w:cs="Arial"/>
                <w:b/>
                <w:bCs/>
                <w:color w:val="000000"/>
                <w:szCs w:val="24"/>
              </w:rPr>
            </w:pPr>
          </w:p>
        </w:tc>
        <w:tc>
          <w:tcPr>
            <w:tcW w:w="1910" w:type="dxa"/>
            <w:tcBorders>
              <w:top w:val="nil"/>
              <w:left w:val="nil"/>
              <w:bottom w:val="single" w:sz="4" w:space="0" w:color="auto"/>
              <w:right w:val="single" w:sz="4" w:space="0" w:color="auto"/>
            </w:tcBorders>
            <w:shd w:val="clear" w:color="auto" w:fill="DEEAF6"/>
            <w:vAlign w:val="center"/>
            <w:hideMark/>
          </w:tcPr>
          <w:p w:rsidR="008327F0" w:rsidRPr="008327F0" w:rsidRDefault="008327F0" w:rsidP="008327F0">
            <w:pPr>
              <w:spacing w:after="0" w:line="276" w:lineRule="auto"/>
              <w:jc w:val="center"/>
              <w:rPr>
                <w:rFonts w:ascii="Arial" w:eastAsia="Calibri" w:hAnsi="Arial" w:cs="Arial"/>
                <w:b/>
                <w:bCs/>
                <w:color w:val="000000"/>
                <w:szCs w:val="24"/>
              </w:rPr>
            </w:pPr>
            <w:r w:rsidRPr="008327F0">
              <w:rPr>
                <w:rFonts w:ascii="Arial" w:eastAsia="Calibri" w:hAnsi="Arial" w:cs="Arial"/>
                <w:b/>
                <w:bCs/>
                <w:color w:val="000000"/>
                <w:szCs w:val="24"/>
              </w:rPr>
              <w:t>Corespunzător</w:t>
            </w:r>
          </w:p>
        </w:tc>
        <w:tc>
          <w:tcPr>
            <w:tcW w:w="2177" w:type="dxa"/>
            <w:tcBorders>
              <w:top w:val="nil"/>
              <w:left w:val="nil"/>
              <w:bottom w:val="single" w:sz="4" w:space="0" w:color="auto"/>
              <w:right w:val="single" w:sz="4" w:space="0" w:color="auto"/>
            </w:tcBorders>
            <w:shd w:val="clear" w:color="auto" w:fill="DEEAF6"/>
            <w:vAlign w:val="center"/>
            <w:hideMark/>
          </w:tcPr>
          <w:p w:rsidR="008327F0" w:rsidRPr="008327F0" w:rsidRDefault="008327F0" w:rsidP="008327F0">
            <w:pPr>
              <w:spacing w:after="0" w:line="276" w:lineRule="auto"/>
              <w:jc w:val="center"/>
              <w:rPr>
                <w:rFonts w:ascii="Arial" w:eastAsia="Calibri" w:hAnsi="Arial" w:cs="Arial"/>
                <w:b/>
                <w:bCs/>
                <w:color w:val="000000"/>
                <w:szCs w:val="24"/>
              </w:rPr>
            </w:pPr>
            <w:r w:rsidRPr="008327F0">
              <w:rPr>
                <w:rFonts w:ascii="Arial" w:eastAsia="Calibri" w:hAnsi="Arial" w:cs="Arial"/>
                <w:b/>
                <w:bCs/>
                <w:color w:val="000000"/>
                <w:szCs w:val="24"/>
              </w:rPr>
              <w:t>Necorespunzător</w:t>
            </w:r>
          </w:p>
        </w:tc>
        <w:tc>
          <w:tcPr>
            <w:tcW w:w="1666" w:type="dxa"/>
            <w:vMerge/>
            <w:tcBorders>
              <w:top w:val="single" w:sz="8" w:space="0" w:color="auto"/>
              <w:left w:val="single" w:sz="4" w:space="0" w:color="auto"/>
              <w:bottom w:val="single" w:sz="4" w:space="0" w:color="auto"/>
              <w:right w:val="single" w:sz="8" w:space="0" w:color="auto"/>
            </w:tcBorders>
            <w:vAlign w:val="center"/>
            <w:hideMark/>
          </w:tcPr>
          <w:p w:rsidR="008327F0" w:rsidRPr="008327F0" w:rsidRDefault="008327F0" w:rsidP="008327F0">
            <w:pPr>
              <w:spacing w:after="200" w:line="276" w:lineRule="auto"/>
              <w:jc w:val="center"/>
              <w:rPr>
                <w:rFonts w:ascii="Arial" w:eastAsia="Calibri" w:hAnsi="Arial" w:cs="Arial"/>
                <w:b/>
                <w:bCs/>
                <w:color w:val="000000"/>
                <w:szCs w:val="24"/>
              </w:rPr>
            </w:pPr>
          </w:p>
        </w:tc>
      </w:tr>
      <w:tr w:rsidR="008327F0" w:rsidRPr="008327F0" w:rsidTr="00B8293F">
        <w:trPr>
          <w:trHeight w:val="494"/>
        </w:trPr>
        <w:tc>
          <w:tcPr>
            <w:tcW w:w="980" w:type="dxa"/>
            <w:tcBorders>
              <w:top w:val="single" w:sz="4" w:space="0" w:color="auto"/>
              <w:left w:val="single" w:sz="4" w:space="0" w:color="auto"/>
              <w:bottom w:val="single" w:sz="4" w:space="0" w:color="auto"/>
              <w:right w:val="single" w:sz="4" w:space="0" w:color="auto"/>
            </w:tcBorders>
            <w:shd w:val="clear" w:color="auto" w:fill="F2F2F2"/>
            <w:noWrap/>
            <w:vAlign w:val="center"/>
          </w:tcPr>
          <w:p w:rsidR="008327F0" w:rsidRPr="008327F0" w:rsidRDefault="008327F0" w:rsidP="008327F0">
            <w:pPr>
              <w:spacing w:after="0" w:line="276" w:lineRule="auto"/>
              <w:jc w:val="center"/>
              <w:rPr>
                <w:rFonts w:ascii="Arial" w:eastAsia="Calibri" w:hAnsi="Arial" w:cs="Arial"/>
                <w:bCs/>
                <w:color w:val="000000"/>
                <w:szCs w:val="24"/>
              </w:rPr>
            </w:pPr>
            <w:r w:rsidRPr="008327F0">
              <w:rPr>
                <w:rFonts w:ascii="Arial" w:eastAsia="Calibri" w:hAnsi="Arial" w:cs="Arial"/>
                <w:bCs/>
                <w:color w:val="000000"/>
                <w:szCs w:val="24"/>
              </w:rPr>
              <w:t>2021</w:t>
            </w:r>
          </w:p>
        </w:tc>
        <w:tc>
          <w:tcPr>
            <w:tcW w:w="1600" w:type="dxa"/>
            <w:tcBorders>
              <w:top w:val="single" w:sz="4" w:space="0" w:color="auto"/>
              <w:left w:val="nil"/>
              <w:bottom w:val="single" w:sz="4" w:space="0" w:color="auto"/>
              <w:right w:val="single" w:sz="4" w:space="0" w:color="auto"/>
            </w:tcBorders>
            <w:shd w:val="clear" w:color="auto" w:fill="F2F2F2"/>
            <w:noWrap/>
            <w:vAlign w:val="center"/>
          </w:tcPr>
          <w:p w:rsidR="008327F0" w:rsidRPr="008327F0" w:rsidRDefault="008327F0" w:rsidP="008327F0">
            <w:pPr>
              <w:spacing w:after="0" w:line="276" w:lineRule="auto"/>
              <w:jc w:val="center"/>
              <w:rPr>
                <w:rFonts w:ascii="Arial" w:eastAsia="Calibri" w:hAnsi="Arial" w:cs="Arial"/>
                <w:bCs/>
                <w:color w:val="000000"/>
                <w:szCs w:val="24"/>
              </w:rPr>
            </w:pPr>
            <w:r w:rsidRPr="008327F0">
              <w:rPr>
                <w:rFonts w:ascii="Arial" w:eastAsia="Calibri" w:hAnsi="Arial" w:cs="Arial"/>
                <w:bCs/>
                <w:color w:val="000000"/>
                <w:szCs w:val="24"/>
              </w:rPr>
              <w:t>4196790,83</w:t>
            </w:r>
          </w:p>
        </w:tc>
        <w:tc>
          <w:tcPr>
            <w:tcW w:w="1580" w:type="dxa"/>
            <w:tcBorders>
              <w:top w:val="single" w:sz="4" w:space="0" w:color="auto"/>
              <w:left w:val="nil"/>
              <w:bottom w:val="single" w:sz="4" w:space="0" w:color="auto"/>
              <w:right w:val="single" w:sz="4" w:space="0" w:color="auto"/>
            </w:tcBorders>
            <w:shd w:val="clear" w:color="auto" w:fill="F2F2F2"/>
            <w:noWrap/>
            <w:vAlign w:val="center"/>
          </w:tcPr>
          <w:p w:rsidR="008327F0" w:rsidRPr="008327F0" w:rsidRDefault="008327F0" w:rsidP="008327F0">
            <w:pPr>
              <w:spacing w:after="0" w:line="276" w:lineRule="auto"/>
              <w:jc w:val="center"/>
              <w:rPr>
                <w:rFonts w:ascii="Arial" w:eastAsia="Calibri" w:hAnsi="Arial" w:cs="Arial"/>
                <w:bCs/>
                <w:color w:val="000000"/>
                <w:szCs w:val="24"/>
              </w:rPr>
            </w:pPr>
            <w:r w:rsidRPr="008327F0">
              <w:rPr>
                <w:rFonts w:ascii="Arial" w:eastAsia="Calibri" w:hAnsi="Arial" w:cs="Arial"/>
                <w:bCs/>
                <w:color w:val="000000"/>
                <w:szCs w:val="24"/>
              </w:rPr>
              <w:t>2362142,95</w:t>
            </w:r>
          </w:p>
        </w:tc>
        <w:tc>
          <w:tcPr>
            <w:tcW w:w="1910" w:type="dxa"/>
            <w:tcBorders>
              <w:top w:val="single" w:sz="4" w:space="0" w:color="auto"/>
              <w:left w:val="nil"/>
              <w:bottom w:val="single" w:sz="4" w:space="0" w:color="auto"/>
              <w:right w:val="single" w:sz="4" w:space="0" w:color="auto"/>
            </w:tcBorders>
            <w:shd w:val="clear" w:color="auto" w:fill="F2F2F2"/>
            <w:noWrap/>
            <w:vAlign w:val="center"/>
          </w:tcPr>
          <w:p w:rsidR="008327F0" w:rsidRPr="008327F0" w:rsidRDefault="008327F0" w:rsidP="008327F0">
            <w:pPr>
              <w:spacing w:after="0" w:line="276" w:lineRule="auto"/>
              <w:jc w:val="center"/>
              <w:rPr>
                <w:rFonts w:ascii="Arial" w:eastAsia="Calibri" w:hAnsi="Arial" w:cs="Arial"/>
                <w:bCs/>
                <w:color w:val="000000"/>
                <w:szCs w:val="24"/>
              </w:rPr>
            </w:pPr>
            <w:r w:rsidRPr="008327F0">
              <w:rPr>
                <w:rFonts w:ascii="Arial" w:eastAsia="Calibri" w:hAnsi="Arial" w:cs="Arial"/>
                <w:bCs/>
                <w:color w:val="000000"/>
                <w:szCs w:val="24"/>
              </w:rPr>
              <w:t>1287626,81</w:t>
            </w:r>
          </w:p>
        </w:tc>
        <w:tc>
          <w:tcPr>
            <w:tcW w:w="2177" w:type="dxa"/>
            <w:tcBorders>
              <w:top w:val="single" w:sz="4" w:space="0" w:color="auto"/>
              <w:left w:val="nil"/>
              <w:bottom w:val="single" w:sz="4" w:space="0" w:color="auto"/>
              <w:right w:val="single" w:sz="4" w:space="0" w:color="auto"/>
            </w:tcBorders>
            <w:shd w:val="clear" w:color="auto" w:fill="F2F2F2"/>
            <w:noWrap/>
            <w:vAlign w:val="center"/>
          </w:tcPr>
          <w:p w:rsidR="008327F0" w:rsidRPr="008327F0" w:rsidRDefault="008327F0" w:rsidP="008327F0">
            <w:pPr>
              <w:spacing w:after="0" w:line="276" w:lineRule="auto"/>
              <w:jc w:val="center"/>
              <w:rPr>
                <w:rFonts w:ascii="Arial" w:eastAsia="Calibri" w:hAnsi="Arial" w:cs="Arial"/>
                <w:bCs/>
                <w:color w:val="000000"/>
                <w:szCs w:val="24"/>
              </w:rPr>
            </w:pPr>
            <w:r w:rsidRPr="008327F0">
              <w:rPr>
                <w:rFonts w:ascii="Arial" w:eastAsia="Calibri" w:hAnsi="Arial" w:cs="Arial"/>
                <w:bCs/>
                <w:color w:val="000000"/>
                <w:szCs w:val="24"/>
              </w:rPr>
              <w:t>385760,89</w:t>
            </w:r>
          </w:p>
        </w:tc>
        <w:tc>
          <w:tcPr>
            <w:tcW w:w="1666" w:type="dxa"/>
            <w:tcBorders>
              <w:top w:val="single" w:sz="4" w:space="0" w:color="auto"/>
              <w:left w:val="nil"/>
              <w:bottom w:val="single" w:sz="4" w:space="0" w:color="auto"/>
              <w:right w:val="single" w:sz="4" w:space="0" w:color="auto"/>
            </w:tcBorders>
            <w:shd w:val="clear" w:color="auto" w:fill="F2F2F2"/>
            <w:noWrap/>
            <w:vAlign w:val="center"/>
          </w:tcPr>
          <w:p w:rsidR="008327F0" w:rsidRPr="008327F0" w:rsidRDefault="008327F0" w:rsidP="008327F0">
            <w:pPr>
              <w:spacing w:after="0" w:line="276" w:lineRule="auto"/>
              <w:jc w:val="center"/>
              <w:rPr>
                <w:rFonts w:ascii="Arial" w:eastAsia="Calibri" w:hAnsi="Arial" w:cs="Arial"/>
                <w:bCs/>
                <w:color w:val="000000"/>
                <w:szCs w:val="24"/>
              </w:rPr>
            </w:pPr>
            <w:r w:rsidRPr="008327F0">
              <w:rPr>
                <w:rFonts w:ascii="Arial" w:eastAsia="Calibri" w:hAnsi="Arial" w:cs="Arial"/>
                <w:bCs/>
                <w:color w:val="000000"/>
                <w:szCs w:val="24"/>
              </w:rPr>
              <w:t>161260,17</w:t>
            </w:r>
          </w:p>
        </w:tc>
      </w:tr>
    </w:tbl>
    <w:p w:rsidR="008327F0" w:rsidRDefault="008327F0" w:rsidP="00822C3C">
      <w:pPr>
        <w:spacing w:before="120" w:after="120" w:line="240" w:lineRule="auto"/>
        <w:ind w:left="900" w:hanging="900"/>
        <w:jc w:val="both"/>
        <w:rPr>
          <w:rFonts w:ascii="Arial" w:eastAsia="Calibri" w:hAnsi="Arial" w:cs="Arial"/>
          <w:i/>
          <w:iCs/>
          <w:color w:val="000000"/>
          <w:sz w:val="24"/>
          <w:szCs w:val="24"/>
          <w:lang w:eastAsia="ro-RO"/>
        </w:rPr>
      </w:pPr>
      <w:r w:rsidRPr="008327F0">
        <w:rPr>
          <w:rFonts w:ascii="Arial" w:eastAsia="Calibri" w:hAnsi="Arial" w:cs="Arial"/>
          <w:i/>
          <w:iCs/>
          <w:color w:val="000000"/>
          <w:sz w:val="24"/>
          <w:szCs w:val="24"/>
          <w:lang w:eastAsia="ro-RO"/>
        </w:rPr>
        <w:t xml:space="preserve"> (Sursa: Administraţia Naţională “Apele Române”, Sinteza calităţii a</w:t>
      </w:r>
      <w:r w:rsidR="00822C3C">
        <w:rPr>
          <w:rFonts w:ascii="Arial" w:eastAsia="Calibri" w:hAnsi="Arial" w:cs="Arial"/>
          <w:i/>
          <w:iCs/>
          <w:color w:val="000000"/>
          <w:sz w:val="24"/>
          <w:szCs w:val="24"/>
          <w:lang w:eastAsia="ro-RO"/>
        </w:rPr>
        <w:t>pelor din România în anul 2021)</w:t>
      </w:r>
    </w:p>
    <w:p w:rsidR="00822C3C" w:rsidRDefault="00822C3C" w:rsidP="00822C3C">
      <w:pPr>
        <w:spacing w:before="120" w:after="120" w:line="240" w:lineRule="auto"/>
        <w:ind w:left="900" w:hanging="900"/>
        <w:jc w:val="both"/>
        <w:rPr>
          <w:rFonts w:ascii="Arial" w:eastAsia="Calibri" w:hAnsi="Arial" w:cs="Arial"/>
          <w:i/>
          <w:iCs/>
          <w:color w:val="000000"/>
          <w:sz w:val="24"/>
          <w:szCs w:val="24"/>
          <w:lang w:eastAsia="ro-RO"/>
        </w:rPr>
      </w:pPr>
    </w:p>
    <w:p w:rsidR="00822C3C" w:rsidRPr="008327F0" w:rsidRDefault="00822C3C" w:rsidP="00822C3C">
      <w:pPr>
        <w:spacing w:before="120" w:after="120" w:line="240" w:lineRule="auto"/>
        <w:ind w:left="900" w:hanging="900"/>
        <w:jc w:val="both"/>
        <w:rPr>
          <w:rFonts w:ascii="Arial" w:eastAsia="Calibri" w:hAnsi="Arial" w:cs="Arial"/>
          <w:i/>
          <w:iCs/>
          <w:color w:val="000000"/>
          <w:sz w:val="24"/>
          <w:szCs w:val="24"/>
          <w:lang w:eastAsia="ro-RO"/>
        </w:rPr>
      </w:pPr>
    </w:p>
    <w:p w:rsidR="008327F0" w:rsidRPr="008327F0" w:rsidRDefault="008327F0" w:rsidP="008327F0">
      <w:pPr>
        <w:autoSpaceDE w:val="0"/>
        <w:autoSpaceDN w:val="0"/>
        <w:adjustRightInd w:val="0"/>
        <w:spacing w:after="0" w:line="240" w:lineRule="auto"/>
        <w:jc w:val="center"/>
        <w:rPr>
          <w:rFonts w:ascii="Arial" w:eastAsia="Calibri" w:hAnsi="Arial" w:cs="Arial"/>
          <w:lang w:val="it-IT"/>
        </w:rPr>
      </w:pPr>
      <w:r w:rsidRPr="008327F0">
        <w:rPr>
          <w:rFonts w:ascii="Arial" w:eastAsia="Calibri" w:hAnsi="Arial" w:cs="Arial"/>
          <w:noProof/>
          <w:lang w:eastAsia="ro-RO"/>
        </w:rPr>
        <w:drawing>
          <wp:inline distT="0" distB="0" distL="0" distR="0">
            <wp:extent cx="5168265" cy="318198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68265" cy="3181985"/>
                    </a:xfrm>
                    <a:prstGeom prst="rect">
                      <a:avLst/>
                    </a:prstGeom>
                    <a:noFill/>
                  </pic:spPr>
                </pic:pic>
              </a:graphicData>
            </a:graphic>
          </wp:inline>
        </w:drawing>
      </w:r>
    </w:p>
    <w:p w:rsidR="00822C3C" w:rsidRDefault="00822C3C" w:rsidP="008327F0">
      <w:pPr>
        <w:spacing w:after="0" w:line="276" w:lineRule="auto"/>
        <w:ind w:left="1530" w:hanging="1530"/>
        <w:jc w:val="both"/>
        <w:rPr>
          <w:rFonts w:ascii="Arial" w:eastAsia="Calibri" w:hAnsi="Arial" w:cs="Arial"/>
          <w:b/>
          <w:bCs/>
          <w:i/>
          <w:color w:val="000000"/>
          <w:sz w:val="20"/>
          <w:szCs w:val="24"/>
          <w:lang w:eastAsia="ro-RO"/>
        </w:rPr>
      </w:pPr>
    </w:p>
    <w:p w:rsidR="008327F0" w:rsidRPr="008327F0" w:rsidRDefault="008327F0" w:rsidP="008327F0">
      <w:pPr>
        <w:spacing w:after="0" w:line="276" w:lineRule="auto"/>
        <w:ind w:left="1530" w:hanging="1530"/>
        <w:jc w:val="both"/>
        <w:rPr>
          <w:rFonts w:ascii="Arial" w:eastAsia="Calibri" w:hAnsi="Arial" w:cs="Arial"/>
          <w:b/>
          <w:bCs/>
          <w:i/>
          <w:color w:val="000000"/>
          <w:sz w:val="20"/>
          <w:szCs w:val="24"/>
          <w:lang w:eastAsia="ro-RO"/>
        </w:rPr>
      </w:pPr>
      <w:r w:rsidRPr="008327F0">
        <w:rPr>
          <w:rFonts w:ascii="Arial" w:eastAsia="Calibri" w:hAnsi="Arial" w:cs="Arial"/>
          <w:b/>
          <w:bCs/>
          <w:i/>
          <w:color w:val="000000"/>
          <w:sz w:val="20"/>
          <w:szCs w:val="24"/>
          <w:lang w:eastAsia="ro-RO"/>
        </w:rPr>
        <w:t>Figura II.2.2.2.1 Volume de ape uzate care necesită epurare, evacuate la nivel național în receptorii naturali în anul 2021 (mil. mc.)</w:t>
      </w:r>
    </w:p>
    <w:p w:rsidR="008327F0" w:rsidRPr="00822C3C" w:rsidRDefault="008327F0" w:rsidP="00822C3C">
      <w:pPr>
        <w:spacing w:after="0" w:line="276" w:lineRule="auto"/>
        <w:ind w:left="900" w:hanging="900"/>
        <w:jc w:val="both"/>
        <w:rPr>
          <w:rFonts w:ascii="Arial" w:eastAsia="Calibri" w:hAnsi="Arial" w:cs="Arial"/>
          <w:i/>
          <w:iCs/>
          <w:color w:val="000000"/>
          <w:sz w:val="24"/>
          <w:szCs w:val="24"/>
          <w:lang w:eastAsia="ro-RO"/>
        </w:rPr>
      </w:pPr>
      <w:r w:rsidRPr="008327F0">
        <w:rPr>
          <w:rFonts w:ascii="Arial" w:eastAsia="Calibri" w:hAnsi="Arial" w:cs="Arial"/>
          <w:i/>
          <w:iCs/>
          <w:color w:val="000000"/>
          <w:sz w:val="24"/>
          <w:szCs w:val="24"/>
          <w:lang w:eastAsia="ro-RO"/>
        </w:rPr>
        <w:t xml:space="preserve"> (Sursa: Administraţia Naţională “Apele Române”, Sinteza calităţii ap</w:t>
      </w:r>
      <w:r w:rsidR="00822C3C">
        <w:rPr>
          <w:rFonts w:ascii="Arial" w:eastAsia="Calibri" w:hAnsi="Arial" w:cs="Arial"/>
          <w:i/>
          <w:iCs/>
          <w:color w:val="000000"/>
          <w:sz w:val="24"/>
          <w:szCs w:val="24"/>
          <w:lang w:eastAsia="ro-RO"/>
        </w:rPr>
        <w:t>elor din România  în anul 2021)</w:t>
      </w:r>
    </w:p>
    <w:p w:rsidR="00822C3C" w:rsidRDefault="00822C3C" w:rsidP="008327F0">
      <w:pPr>
        <w:spacing w:after="0" w:line="240" w:lineRule="auto"/>
        <w:ind w:firstLine="567"/>
        <w:jc w:val="both"/>
        <w:rPr>
          <w:rFonts w:ascii="Arial" w:eastAsia="Calibri" w:hAnsi="Arial" w:cs="Arial"/>
          <w:sz w:val="24"/>
          <w:szCs w:val="24"/>
        </w:rPr>
      </w:pPr>
    </w:p>
    <w:p w:rsidR="008327F0" w:rsidRPr="008327F0" w:rsidRDefault="008327F0" w:rsidP="008327F0">
      <w:pPr>
        <w:spacing w:after="0" w:line="240" w:lineRule="auto"/>
        <w:ind w:firstLine="567"/>
        <w:jc w:val="both"/>
        <w:rPr>
          <w:rFonts w:ascii="Arial" w:eastAsia="Calibri" w:hAnsi="Arial" w:cs="Arial"/>
          <w:sz w:val="24"/>
          <w:szCs w:val="24"/>
        </w:rPr>
      </w:pPr>
      <w:r w:rsidRPr="008327F0">
        <w:rPr>
          <w:rFonts w:ascii="Arial" w:eastAsia="Calibri" w:hAnsi="Arial" w:cs="Arial"/>
          <w:sz w:val="24"/>
          <w:szCs w:val="24"/>
        </w:rPr>
        <w:t>În ceea ce privește ponderea încărcării principalilor indicatori de calitate din apele uzate evacuate în receptorii naturali, pe activităţi din economia naţională, situația se prezintă în Tabelul II.2.2.2.2 și  Figura II.2.2.2.2.</w:t>
      </w:r>
    </w:p>
    <w:p w:rsidR="008327F0" w:rsidRDefault="008327F0" w:rsidP="008327F0">
      <w:pPr>
        <w:spacing w:after="0" w:line="240" w:lineRule="auto"/>
        <w:ind w:firstLine="567"/>
        <w:jc w:val="both"/>
        <w:rPr>
          <w:rFonts w:ascii="Arial" w:eastAsia="Calibri" w:hAnsi="Arial" w:cs="Arial"/>
          <w:b/>
          <w:bCs/>
          <w:sz w:val="24"/>
          <w:szCs w:val="24"/>
        </w:rPr>
      </w:pPr>
    </w:p>
    <w:p w:rsidR="00822C3C" w:rsidRDefault="00822C3C" w:rsidP="008327F0">
      <w:pPr>
        <w:spacing w:after="0" w:line="240" w:lineRule="auto"/>
        <w:ind w:firstLine="567"/>
        <w:jc w:val="both"/>
        <w:rPr>
          <w:rFonts w:ascii="Arial" w:eastAsia="Calibri" w:hAnsi="Arial" w:cs="Arial"/>
          <w:b/>
          <w:bCs/>
          <w:sz w:val="24"/>
          <w:szCs w:val="24"/>
        </w:rPr>
      </w:pPr>
    </w:p>
    <w:p w:rsidR="00822C3C" w:rsidRDefault="00822C3C" w:rsidP="008327F0">
      <w:pPr>
        <w:spacing w:after="0" w:line="240" w:lineRule="auto"/>
        <w:ind w:firstLine="567"/>
        <w:jc w:val="both"/>
        <w:rPr>
          <w:rFonts w:ascii="Arial" w:eastAsia="Calibri" w:hAnsi="Arial" w:cs="Arial"/>
          <w:b/>
          <w:bCs/>
          <w:sz w:val="24"/>
          <w:szCs w:val="24"/>
        </w:rPr>
      </w:pPr>
    </w:p>
    <w:p w:rsidR="00822C3C" w:rsidRDefault="00822C3C" w:rsidP="008327F0">
      <w:pPr>
        <w:spacing w:after="0" w:line="240" w:lineRule="auto"/>
        <w:ind w:firstLine="567"/>
        <w:jc w:val="both"/>
        <w:rPr>
          <w:rFonts w:ascii="Arial" w:eastAsia="Calibri" w:hAnsi="Arial" w:cs="Arial"/>
          <w:b/>
          <w:bCs/>
          <w:sz w:val="24"/>
          <w:szCs w:val="24"/>
        </w:rPr>
      </w:pPr>
    </w:p>
    <w:p w:rsidR="00822C3C" w:rsidRDefault="00822C3C" w:rsidP="008327F0">
      <w:pPr>
        <w:spacing w:after="0" w:line="240" w:lineRule="auto"/>
        <w:ind w:firstLine="567"/>
        <w:jc w:val="both"/>
        <w:rPr>
          <w:rFonts w:ascii="Arial" w:eastAsia="Calibri" w:hAnsi="Arial" w:cs="Arial"/>
          <w:b/>
          <w:bCs/>
          <w:sz w:val="24"/>
          <w:szCs w:val="24"/>
        </w:rPr>
      </w:pPr>
    </w:p>
    <w:p w:rsidR="00822C3C" w:rsidRDefault="00822C3C" w:rsidP="008327F0">
      <w:pPr>
        <w:spacing w:after="0" w:line="240" w:lineRule="auto"/>
        <w:ind w:firstLine="567"/>
        <w:jc w:val="both"/>
        <w:rPr>
          <w:rFonts w:ascii="Arial" w:eastAsia="Calibri" w:hAnsi="Arial" w:cs="Arial"/>
          <w:b/>
          <w:bCs/>
          <w:sz w:val="24"/>
          <w:szCs w:val="24"/>
        </w:rPr>
      </w:pPr>
    </w:p>
    <w:p w:rsidR="00822C3C" w:rsidRDefault="00822C3C" w:rsidP="008327F0">
      <w:pPr>
        <w:spacing w:after="0" w:line="240" w:lineRule="auto"/>
        <w:ind w:firstLine="567"/>
        <w:jc w:val="both"/>
        <w:rPr>
          <w:rFonts w:ascii="Arial" w:eastAsia="Calibri" w:hAnsi="Arial" w:cs="Arial"/>
          <w:b/>
          <w:bCs/>
          <w:sz w:val="24"/>
          <w:szCs w:val="24"/>
        </w:rPr>
      </w:pPr>
    </w:p>
    <w:p w:rsidR="00822C3C" w:rsidRDefault="00822C3C" w:rsidP="008327F0">
      <w:pPr>
        <w:spacing w:after="0" w:line="240" w:lineRule="auto"/>
        <w:ind w:firstLine="567"/>
        <w:jc w:val="both"/>
        <w:rPr>
          <w:rFonts w:ascii="Arial" w:eastAsia="Calibri" w:hAnsi="Arial" w:cs="Arial"/>
          <w:b/>
          <w:bCs/>
          <w:sz w:val="24"/>
          <w:szCs w:val="24"/>
        </w:rPr>
      </w:pPr>
    </w:p>
    <w:p w:rsidR="00822C3C" w:rsidRDefault="00822C3C" w:rsidP="008327F0">
      <w:pPr>
        <w:spacing w:after="0" w:line="240" w:lineRule="auto"/>
        <w:ind w:firstLine="567"/>
        <w:jc w:val="both"/>
        <w:rPr>
          <w:rFonts w:ascii="Arial" w:eastAsia="Calibri" w:hAnsi="Arial" w:cs="Arial"/>
          <w:b/>
          <w:bCs/>
          <w:sz w:val="24"/>
          <w:szCs w:val="24"/>
        </w:rPr>
      </w:pPr>
    </w:p>
    <w:p w:rsidR="00822C3C" w:rsidRPr="008327F0" w:rsidRDefault="00822C3C" w:rsidP="008327F0">
      <w:pPr>
        <w:spacing w:after="0" w:line="240" w:lineRule="auto"/>
        <w:ind w:firstLine="567"/>
        <w:jc w:val="both"/>
        <w:rPr>
          <w:rFonts w:ascii="Arial" w:eastAsia="Calibri" w:hAnsi="Arial" w:cs="Arial"/>
          <w:b/>
          <w:bCs/>
          <w:sz w:val="24"/>
          <w:szCs w:val="24"/>
        </w:rPr>
      </w:pPr>
    </w:p>
    <w:p w:rsidR="008327F0" w:rsidRPr="008327F0" w:rsidRDefault="008327F0" w:rsidP="008327F0">
      <w:pPr>
        <w:spacing w:after="0" w:line="240" w:lineRule="auto"/>
        <w:jc w:val="both"/>
        <w:rPr>
          <w:rFonts w:ascii="Arial" w:eastAsia="Calibri" w:hAnsi="Arial" w:cs="Arial"/>
          <w:b/>
          <w:bCs/>
          <w:color w:val="000000"/>
          <w:sz w:val="20"/>
          <w:szCs w:val="24"/>
          <w:lang w:eastAsia="ro-RO"/>
        </w:rPr>
      </w:pPr>
    </w:p>
    <w:p w:rsidR="008327F0" w:rsidRPr="008327F0" w:rsidRDefault="008327F0" w:rsidP="008327F0">
      <w:pPr>
        <w:spacing w:after="0" w:line="240" w:lineRule="auto"/>
        <w:jc w:val="both"/>
        <w:rPr>
          <w:rFonts w:ascii="Arial" w:eastAsia="Calibri" w:hAnsi="Arial" w:cs="Arial"/>
          <w:b/>
          <w:bCs/>
          <w:i/>
          <w:color w:val="000000"/>
          <w:sz w:val="20"/>
          <w:szCs w:val="24"/>
          <w:lang w:eastAsia="ro-RO"/>
        </w:rPr>
      </w:pPr>
      <w:r w:rsidRPr="008327F0">
        <w:rPr>
          <w:rFonts w:ascii="Arial" w:eastAsia="Calibri" w:hAnsi="Arial" w:cs="Arial"/>
          <w:b/>
          <w:bCs/>
          <w:color w:val="000000"/>
          <w:sz w:val="20"/>
          <w:szCs w:val="24"/>
          <w:lang w:eastAsia="ro-RO"/>
        </w:rPr>
        <w:t xml:space="preserve">Tabel II.2.2.2.2 </w:t>
      </w:r>
      <w:r w:rsidRPr="008327F0">
        <w:rPr>
          <w:rFonts w:ascii="Arial" w:eastAsia="Calibri" w:hAnsi="Arial" w:cs="Arial"/>
          <w:b/>
          <w:bCs/>
          <w:i/>
          <w:color w:val="000000"/>
          <w:sz w:val="20"/>
          <w:szCs w:val="24"/>
          <w:lang w:eastAsia="ro-RO"/>
        </w:rPr>
        <w:t>Ponderea încărcării principalilor indicatori de calitate din apele uzate evacuate în receptorii naturali în anul 2021 (%)</w:t>
      </w:r>
    </w:p>
    <w:p w:rsidR="008327F0" w:rsidRPr="008327F0" w:rsidRDefault="008327F0" w:rsidP="008327F0">
      <w:pPr>
        <w:spacing w:after="0" w:line="240" w:lineRule="auto"/>
        <w:jc w:val="both"/>
        <w:rPr>
          <w:rFonts w:ascii="Arial" w:eastAsia="Calibri" w:hAnsi="Arial" w:cs="Arial"/>
          <w:b/>
          <w:bCs/>
          <w:i/>
          <w:color w:val="000000"/>
          <w:sz w:val="20"/>
          <w:szCs w:val="24"/>
          <w:lang w:eastAsia="ro-RO"/>
        </w:rPr>
      </w:pPr>
    </w:p>
    <w:tbl>
      <w:tblPr>
        <w:tblW w:w="10064" w:type="dxa"/>
        <w:jc w:val="center"/>
        <w:tblLayout w:type="fixed"/>
        <w:tblCellMar>
          <w:left w:w="0" w:type="dxa"/>
          <w:right w:w="0" w:type="dxa"/>
        </w:tblCellMar>
        <w:tblLook w:val="04A0" w:firstRow="1" w:lastRow="0" w:firstColumn="1" w:lastColumn="0" w:noHBand="0" w:noVBand="1"/>
      </w:tblPr>
      <w:tblGrid>
        <w:gridCol w:w="1802"/>
        <w:gridCol w:w="813"/>
        <w:gridCol w:w="990"/>
        <w:gridCol w:w="900"/>
        <w:gridCol w:w="900"/>
        <w:gridCol w:w="990"/>
        <w:gridCol w:w="1223"/>
        <w:gridCol w:w="7"/>
        <w:gridCol w:w="1280"/>
        <w:gridCol w:w="1152"/>
        <w:gridCol w:w="7"/>
      </w:tblGrid>
      <w:tr w:rsidR="008327F0" w:rsidRPr="008327F0" w:rsidTr="00B8293F">
        <w:trPr>
          <w:gridAfter w:val="1"/>
          <w:wAfter w:w="7" w:type="dxa"/>
          <w:trHeight w:val="315"/>
          <w:jc w:val="center"/>
        </w:trPr>
        <w:tc>
          <w:tcPr>
            <w:tcW w:w="1802" w:type="dxa"/>
            <w:vMerge w:val="restart"/>
            <w:tcBorders>
              <w:top w:val="single" w:sz="8" w:space="0" w:color="auto"/>
              <w:left w:val="single" w:sz="8" w:space="0" w:color="auto"/>
              <w:bottom w:val="single" w:sz="8" w:space="0" w:color="000000"/>
              <w:right w:val="single" w:sz="8" w:space="0" w:color="auto"/>
            </w:tcBorders>
            <w:shd w:val="clear" w:color="auto" w:fill="DEEAF6"/>
            <w:tcMar>
              <w:top w:w="0" w:type="dxa"/>
              <w:left w:w="108" w:type="dxa"/>
              <w:bottom w:w="0" w:type="dxa"/>
              <w:right w:w="108" w:type="dxa"/>
            </w:tcMar>
            <w:vAlign w:val="center"/>
            <w:hideMark/>
          </w:tcPr>
          <w:p w:rsidR="008327F0" w:rsidRPr="008327F0" w:rsidRDefault="008327F0" w:rsidP="008327F0">
            <w:pPr>
              <w:spacing w:after="0" w:line="240" w:lineRule="auto"/>
              <w:jc w:val="center"/>
              <w:rPr>
                <w:rFonts w:ascii="Arial" w:eastAsia="Calibri" w:hAnsi="Arial" w:cs="Arial"/>
                <w:b/>
                <w:bCs/>
                <w:color w:val="000000"/>
                <w:sz w:val="20"/>
                <w:lang w:eastAsia="ro-RO"/>
              </w:rPr>
            </w:pPr>
            <w:r w:rsidRPr="008327F0">
              <w:rPr>
                <w:rFonts w:ascii="Arial" w:eastAsia="Calibri" w:hAnsi="Arial" w:cs="Arial"/>
                <w:b/>
                <w:bCs/>
                <w:color w:val="000000"/>
                <w:sz w:val="20"/>
                <w:lang w:eastAsia="ro-RO"/>
              </w:rPr>
              <w:t>Principalele activități economice</w:t>
            </w:r>
          </w:p>
        </w:tc>
        <w:tc>
          <w:tcPr>
            <w:tcW w:w="8255" w:type="dxa"/>
            <w:gridSpan w:val="9"/>
            <w:tcBorders>
              <w:top w:val="single" w:sz="8" w:space="0" w:color="auto"/>
              <w:left w:val="nil"/>
              <w:bottom w:val="single" w:sz="8" w:space="0" w:color="auto"/>
              <w:right w:val="single" w:sz="8" w:space="0" w:color="000000"/>
            </w:tcBorders>
            <w:shd w:val="clear" w:color="auto" w:fill="DEEAF6"/>
            <w:noWrap/>
            <w:tcMar>
              <w:top w:w="0" w:type="dxa"/>
              <w:left w:w="108" w:type="dxa"/>
              <w:bottom w:w="0" w:type="dxa"/>
              <w:right w:w="108" w:type="dxa"/>
            </w:tcMar>
            <w:vAlign w:val="center"/>
            <w:hideMark/>
          </w:tcPr>
          <w:p w:rsidR="008327F0" w:rsidRPr="008327F0" w:rsidRDefault="008327F0" w:rsidP="008327F0">
            <w:pPr>
              <w:spacing w:after="0" w:line="240" w:lineRule="auto"/>
              <w:jc w:val="center"/>
              <w:rPr>
                <w:rFonts w:ascii="Arial" w:eastAsia="Calibri" w:hAnsi="Arial" w:cs="Arial"/>
                <w:b/>
                <w:bCs/>
                <w:color w:val="000000"/>
                <w:sz w:val="20"/>
                <w:lang w:eastAsia="ro-RO"/>
              </w:rPr>
            </w:pPr>
            <w:r w:rsidRPr="008327F0">
              <w:rPr>
                <w:rFonts w:ascii="Arial" w:eastAsia="Calibri" w:hAnsi="Arial" w:cs="Arial"/>
                <w:b/>
                <w:bCs/>
                <w:color w:val="000000"/>
                <w:sz w:val="20"/>
                <w:lang w:eastAsia="ro-RO"/>
              </w:rPr>
              <w:t>Ponderea încărcării principalilor indicatori de calitate din apele uzate evacuate în receptorii naturali în anul 2021 (%)</w:t>
            </w:r>
          </w:p>
        </w:tc>
      </w:tr>
      <w:tr w:rsidR="008327F0" w:rsidRPr="008327F0" w:rsidTr="00B8293F">
        <w:trPr>
          <w:trHeight w:val="459"/>
          <w:jc w:val="center"/>
        </w:trPr>
        <w:tc>
          <w:tcPr>
            <w:tcW w:w="1802" w:type="dxa"/>
            <w:vMerge/>
            <w:tcBorders>
              <w:top w:val="single" w:sz="8" w:space="0" w:color="auto"/>
              <w:left w:val="single" w:sz="8" w:space="0" w:color="auto"/>
              <w:bottom w:val="single" w:sz="8" w:space="0" w:color="000000"/>
              <w:right w:val="single" w:sz="8" w:space="0" w:color="auto"/>
            </w:tcBorders>
            <w:shd w:val="clear" w:color="auto" w:fill="DEEAF6"/>
            <w:vAlign w:val="center"/>
            <w:hideMark/>
          </w:tcPr>
          <w:p w:rsidR="008327F0" w:rsidRPr="008327F0" w:rsidRDefault="008327F0" w:rsidP="008327F0">
            <w:pPr>
              <w:spacing w:after="0" w:line="240" w:lineRule="auto"/>
              <w:jc w:val="center"/>
              <w:rPr>
                <w:rFonts w:ascii="Arial" w:eastAsia="Calibri" w:hAnsi="Arial" w:cs="Arial"/>
                <w:b/>
                <w:bCs/>
                <w:color w:val="000000"/>
                <w:sz w:val="20"/>
                <w:lang w:eastAsia="ro-RO"/>
              </w:rPr>
            </w:pPr>
          </w:p>
        </w:tc>
        <w:tc>
          <w:tcPr>
            <w:tcW w:w="813" w:type="dxa"/>
            <w:tcBorders>
              <w:top w:val="nil"/>
              <w:left w:val="nil"/>
              <w:bottom w:val="single" w:sz="8" w:space="0" w:color="auto"/>
              <w:right w:val="single" w:sz="8" w:space="0" w:color="auto"/>
            </w:tcBorders>
            <w:shd w:val="clear" w:color="auto" w:fill="DEEAF6"/>
            <w:noWrap/>
            <w:tcMar>
              <w:top w:w="0" w:type="dxa"/>
              <w:left w:w="108" w:type="dxa"/>
              <w:bottom w:w="0" w:type="dxa"/>
              <w:right w:w="108" w:type="dxa"/>
            </w:tcMar>
            <w:vAlign w:val="center"/>
            <w:hideMark/>
          </w:tcPr>
          <w:p w:rsidR="008327F0" w:rsidRPr="008327F0" w:rsidRDefault="008327F0" w:rsidP="008327F0">
            <w:pPr>
              <w:spacing w:after="0" w:line="240" w:lineRule="auto"/>
              <w:jc w:val="center"/>
              <w:rPr>
                <w:rFonts w:ascii="Arial" w:eastAsia="Calibri" w:hAnsi="Arial" w:cs="Arial"/>
                <w:b/>
                <w:bCs/>
                <w:color w:val="000000"/>
                <w:sz w:val="20"/>
                <w:lang w:eastAsia="ro-RO"/>
              </w:rPr>
            </w:pPr>
            <w:r w:rsidRPr="008327F0">
              <w:rPr>
                <w:rFonts w:ascii="Arial" w:eastAsia="Calibri" w:hAnsi="Arial" w:cs="Arial"/>
                <w:b/>
                <w:bCs/>
                <w:color w:val="000000"/>
                <w:sz w:val="20"/>
                <w:lang w:eastAsia="ro-RO"/>
              </w:rPr>
              <w:t>CBO5</w:t>
            </w:r>
          </w:p>
        </w:tc>
        <w:tc>
          <w:tcPr>
            <w:tcW w:w="990" w:type="dxa"/>
            <w:tcBorders>
              <w:top w:val="nil"/>
              <w:left w:val="nil"/>
              <w:bottom w:val="single" w:sz="8" w:space="0" w:color="auto"/>
              <w:right w:val="single" w:sz="8" w:space="0" w:color="auto"/>
            </w:tcBorders>
            <w:shd w:val="clear" w:color="auto" w:fill="DEEAF6"/>
            <w:noWrap/>
            <w:tcMar>
              <w:top w:w="0" w:type="dxa"/>
              <w:left w:w="108" w:type="dxa"/>
              <w:bottom w:w="0" w:type="dxa"/>
              <w:right w:w="108" w:type="dxa"/>
            </w:tcMar>
            <w:vAlign w:val="center"/>
            <w:hideMark/>
          </w:tcPr>
          <w:p w:rsidR="008327F0" w:rsidRPr="008327F0" w:rsidRDefault="008327F0" w:rsidP="008327F0">
            <w:pPr>
              <w:spacing w:after="0" w:line="240" w:lineRule="auto"/>
              <w:jc w:val="center"/>
              <w:rPr>
                <w:rFonts w:ascii="Arial" w:eastAsia="Calibri" w:hAnsi="Arial" w:cs="Arial"/>
                <w:b/>
                <w:bCs/>
                <w:color w:val="000000"/>
                <w:sz w:val="20"/>
                <w:lang w:eastAsia="ro-RO"/>
              </w:rPr>
            </w:pPr>
            <w:r w:rsidRPr="008327F0">
              <w:rPr>
                <w:rFonts w:ascii="Arial" w:eastAsia="Calibri" w:hAnsi="Arial" w:cs="Arial"/>
                <w:b/>
                <w:bCs/>
                <w:color w:val="000000"/>
                <w:sz w:val="20"/>
                <w:lang w:eastAsia="ro-RO"/>
              </w:rPr>
              <w:t>CCO-Cr</w:t>
            </w:r>
          </w:p>
        </w:tc>
        <w:tc>
          <w:tcPr>
            <w:tcW w:w="90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hideMark/>
          </w:tcPr>
          <w:p w:rsidR="008327F0" w:rsidRPr="008327F0" w:rsidRDefault="008327F0" w:rsidP="008327F0">
            <w:pPr>
              <w:spacing w:after="0" w:line="240" w:lineRule="auto"/>
              <w:jc w:val="center"/>
              <w:rPr>
                <w:rFonts w:ascii="Arial" w:eastAsia="Calibri" w:hAnsi="Arial" w:cs="Arial"/>
                <w:b/>
                <w:bCs/>
                <w:sz w:val="20"/>
                <w:lang w:eastAsia="ro-RO"/>
              </w:rPr>
            </w:pPr>
            <w:r w:rsidRPr="008327F0">
              <w:rPr>
                <w:rFonts w:ascii="Arial" w:eastAsia="Calibri" w:hAnsi="Arial" w:cs="Arial"/>
                <w:b/>
                <w:bCs/>
                <w:sz w:val="20"/>
                <w:lang w:eastAsia="ro-RO"/>
              </w:rPr>
              <w:t>Azot total</w:t>
            </w:r>
          </w:p>
        </w:tc>
        <w:tc>
          <w:tcPr>
            <w:tcW w:w="90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hideMark/>
          </w:tcPr>
          <w:p w:rsidR="008327F0" w:rsidRPr="008327F0" w:rsidRDefault="008327F0" w:rsidP="008327F0">
            <w:pPr>
              <w:spacing w:after="0" w:line="240" w:lineRule="auto"/>
              <w:jc w:val="center"/>
              <w:rPr>
                <w:rFonts w:ascii="Arial" w:eastAsia="Calibri" w:hAnsi="Arial" w:cs="Arial"/>
                <w:b/>
                <w:bCs/>
                <w:sz w:val="20"/>
                <w:lang w:eastAsia="ro-RO"/>
              </w:rPr>
            </w:pPr>
            <w:r w:rsidRPr="008327F0">
              <w:rPr>
                <w:rFonts w:ascii="Arial" w:eastAsia="Calibri" w:hAnsi="Arial" w:cs="Arial"/>
                <w:b/>
                <w:bCs/>
                <w:sz w:val="20"/>
                <w:lang w:eastAsia="ro-RO"/>
              </w:rPr>
              <w:t>Fosfor total</w:t>
            </w:r>
          </w:p>
        </w:tc>
        <w:tc>
          <w:tcPr>
            <w:tcW w:w="99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b/>
                <w:bCs/>
                <w:sz w:val="20"/>
                <w:lang w:eastAsia="ro-RO"/>
              </w:rPr>
            </w:pPr>
            <w:r w:rsidRPr="008327F0">
              <w:rPr>
                <w:rFonts w:ascii="Arial" w:eastAsia="Calibri" w:hAnsi="Arial" w:cs="Arial"/>
                <w:b/>
                <w:bCs/>
                <w:sz w:val="20"/>
                <w:lang w:eastAsia="ro-RO"/>
              </w:rPr>
              <w:t>Amoniu</w:t>
            </w:r>
          </w:p>
        </w:tc>
        <w:tc>
          <w:tcPr>
            <w:tcW w:w="1230" w:type="dxa"/>
            <w:gridSpan w:val="2"/>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b/>
                <w:bCs/>
                <w:sz w:val="20"/>
                <w:lang w:eastAsia="ro-RO"/>
              </w:rPr>
            </w:pPr>
            <w:r w:rsidRPr="008327F0">
              <w:rPr>
                <w:rFonts w:ascii="Arial" w:eastAsia="Calibri" w:hAnsi="Arial" w:cs="Arial"/>
                <w:b/>
                <w:bCs/>
                <w:sz w:val="20"/>
                <w:lang w:eastAsia="ro-RO"/>
              </w:rPr>
              <w:t>Materii în suspensie</w:t>
            </w:r>
          </w:p>
        </w:tc>
        <w:tc>
          <w:tcPr>
            <w:tcW w:w="1280" w:type="dxa"/>
            <w:tcBorders>
              <w:top w:val="nil"/>
              <w:left w:val="nil"/>
              <w:bottom w:val="single" w:sz="8" w:space="0" w:color="auto"/>
              <w:right w:val="single" w:sz="8" w:space="0" w:color="auto"/>
            </w:tcBorders>
            <w:shd w:val="clear" w:color="auto" w:fill="DEEAF6"/>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b/>
                <w:bCs/>
                <w:sz w:val="20"/>
                <w:lang w:eastAsia="ro-RO"/>
              </w:rPr>
            </w:pPr>
            <w:r w:rsidRPr="008327F0">
              <w:rPr>
                <w:rFonts w:ascii="Arial" w:eastAsia="Calibri" w:hAnsi="Arial" w:cs="Arial"/>
                <w:b/>
                <w:bCs/>
                <w:sz w:val="20"/>
                <w:lang w:eastAsia="ro-RO"/>
              </w:rPr>
              <w:t>Detergenţi sintetici</w:t>
            </w:r>
          </w:p>
        </w:tc>
        <w:tc>
          <w:tcPr>
            <w:tcW w:w="1159" w:type="dxa"/>
            <w:gridSpan w:val="2"/>
            <w:tcBorders>
              <w:top w:val="nil"/>
              <w:left w:val="nil"/>
              <w:bottom w:val="single" w:sz="8" w:space="0" w:color="auto"/>
              <w:right w:val="single" w:sz="8" w:space="0" w:color="auto"/>
            </w:tcBorders>
            <w:shd w:val="clear" w:color="auto" w:fill="DEEAF6"/>
            <w:vAlign w:val="center"/>
          </w:tcPr>
          <w:p w:rsidR="008327F0" w:rsidRPr="008327F0" w:rsidRDefault="008327F0" w:rsidP="008327F0">
            <w:pPr>
              <w:spacing w:after="0" w:line="240" w:lineRule="auto"/>
              <w:jc w:val="center"/>
              <w:rPr>
                <w:rFonts w:ascii="Arial" w:eastAsia="Calibri" w:hAnsi="Arial" w:cs="Arial"/>
                <w:b/>
                <w:bCs/>
                <w:sz w:val="20"/>
                <w:lang w:eastAsia="ro-RO"/>
              </w:rPr>
            </w:pPr>
            <w:r w:rsidRPr="008327F0">
              <w:rPr>
                <w:rFonts w:ascii="Arial" w:eastAsia="Calibri" w:hAnsi="Arial" w:cs="Arial"/>
                <w:b/>
                <w:bCs/>
                <w:sz w:val="20"/>
                <w:lang w:eastAsia="ro-RO"/>
              </w:rPr>
              <w:t>Substanţe extractibile</w:t>
            </w:r>
          </w:p>
        </w:tc>
      </w:tr>
      <w:tr w:rsidR="008327F0" w:rsidRPr="008327F0" w:rsidTr="00B8293F">
        <w:trPr>
          <w:gridAfter w:val="1"/>
          <w:wAfter w:w="7" w:type="dxa"/>
          <w:trHeight w:val="754"/>
          <w:jc w:val="center"/>
        </w:trPr>
        <w:tc>
          <w:tcPr>
            <w:tcW w:w="180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327F0" w:rsidRPr="008327F0" w:rsidRDefault="008327F0" w:rsidP="008327F0">
            <w:pPr>
              <w:spacing w:after="0" w:line="240" w:lineRule="auto"/>
              <w:jc w:val="center"/>
              <w:rPr>
                <w:rFonts w:ascii="Arial" w:eastAsia="Calibri" w:hAnsi="Arial" w:cs="Arial"/>
                <w:b/>
                <w:bCs/>
                <w:color w:val="000000"/>
                <w:sz w:val="20"/>
                <w:szCs w:val="20"/>
                <w:lang w:eastAsia="ro-RO"/>
              </w:rPr>
            </w:pPr>
            <w:r w:rsidRPr="008327F0">
              <w:rPr>
                <w:rFonts w:ascii="Arial" w:eastAsia="Calibri" w:hAnsi="Arial" w:cs="Arial"/>
                <w:sz w:val="20"/>
                <w:szCs w:val="20"/>
                <w:lang w:val="it-IT"/>
              </w:rPr>
              <w:t>Colectarea și epurarea apelor uzate urbane</w:t>
            </w:r>
          </w:p>
        </w:tc>
        <w:tc>
          <w:tcPr>
            <w:tcW w:w="81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68,49</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71,48</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rPr>
            </w:pPr>
            <w:r w:rsidRPr="008327F0">
              <w:rPr>
                <w:rFonts w:ascii="Arial" w:eastAsia="Calibri" w:hAnsi="Arial" w:cs="Arial"/>
                <w:sz w:val="20"/>
                <w:szCs w:val="20"/>
              </w:rPr>
              <w:t>96,26</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95,36</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96,91</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40,09</w:t>
            </w:r>
          </w:p>
        </w:tc>
        <w:tc>
          <w:tcPr>
            <w:tcW w:w="1287" w:type="dxa"/>
            <w:gridSpan w:val="2"/>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81,78</w:t>
            </w:r>
          </w:p>
        </w:tc>
        <w:tc>
          <w:tcPr>
            <w:tcW w:w="1152" w:type="dxa"/>
            <w:tcBorders>
              <w:top w:val="nil"/>
              <w:left w:val="nil"/>
              <w:bottom w:val="single" w:sz="8" w:space="0" w:color="auto"/>
              <w:right w:val="single" w:sz="8" w:space="0" w:color="auto"/>
            </w:tcBorders>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67,95</w:t>
            </w:r>
          </w:p>
        </w:tc>
      </w:tr>
      <w:tr w:rsidR="008327F0" w:rsidRPr="008327F0" w:rsidTr="00B8293F">
        <w:trPr>
          <w:gridAfter w:val="1"/>
          <w:wAfter w:w="7" w:type="dxa"/>
          <w:trHeight w:val="525"/>
          <w:jc w:val="center"/>
        </w:trPr>
        <w:tc>
          <w:tcPr>
            <w:tcW w:w="180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327F0" w:rsidRPr="008327F0" w:rsidRDefault="008327F0" w:rsidP="008327F0">
            <w:pPr>
              <w:spacing w:after="0" w:line="240" w:lineRule="auto"/>
              <w:jc w:val="center"/>
              <w:rPr>
                <w:rFonts w:ascii="Arial" w:eastAsia="Calibri" w:hAnsi="Arial" w:cs="Arial"/>
                <w:b/>
                <w:bCs/>
                <w:color w:val="000000"/>
                <w:sz w:val="20"/>
                <w:szCs w:val="20"/>
                <w:lang w:eastAsia="ro-RO"/>
              </w:rPr>
            </w:pPr>
            <w:r w:rsidRPr="008327F0">
              <w:rPr>
                <w:rFonts w:ascii="Arial" w:eastAsia="Calibri" w:hAnsi="Arial" w:cs="Arial"/>
                <w:bCs/>
                <w:iCs/>
                <w:sz w:val="20"/>
                <w:szCs w:val="20"/>
                <w:lang w:val="it-IT"/>
              </w:rPr>
              <w:t>Fabricarea  produselor chimice</w:t>
            </w:r>
          </w:p>
        </w:tc>
        <w:tc>
          <w:tcPr>
            <w:tcW w:w="81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23,82</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16,61</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76" w:lineRule="auto"/>
              <w:jc w:val="center"/>
              <w:rPr>
                <w:rFonts w:ascii="Arial" w:eastAsia="Calibri" w:hAnsi="Arial" w:cs="Arial"/>
                <w:sz w:val="20"/>
                <w:szCs w:val="20"/>
              </w:rPr>
            </w:pPr>
            <w:r w:rsidRPr="008327F0">
              <w:rPr>
                <w:rFonts w:ascii="Arial" w:eastAsia="Calibri" w:hAnsi="Arial" w:cs="Arial"/>
                <w:sz w:val="20"/>
                <w:szCs w:val="20"/>
              </w:rPr>
              <w:t>0,54</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0,34</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0,36</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10,21</w:t>
            </w:r>
          </w:p>
        </w:tc>
        <w:tc>
          <w:tcPr>
            <w:tcW w:w="1287" w:type="dxa"/>
            <w:gridSpan w:val="2"/>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0,048</w:t>
            </w:r>
          </w:p>
        </w:tc>
        <w:tc>
          <w:tcPr>
            <w:tcW w:w="1152" w:type="dxa"/>
            <w:tcBorders>
              <w:top w:val="nil"/>
              <w:left w:val="nil"/>
              <w:bottom w:val="single" w:sz="8" w:space="0" w:color="auto"/>
              <w:right w:val="single" w:sz="8" w:space="0" w:color="auto"/>
            </w:tcBorders>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3,71</w:t>
            </w:r>
          </w:p>
        </w:tc>
      </w:tr>
      <w:tr w:rsidR="008327F0" w:rsidRPr="008327F0" w:rsidTr="00B8293F">
        <w:trPr>
          <w:gridAfter w:val="1"/>
          <w:wAfter w:w="7" w:type="dxa"/>
          <w:trHeight w:val="525"/>
          <w:jc w:val="center"/>
        </w:trPr>
        <w:tc>
          <w:tcPr>
            <w:tcW w:w="180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bCs/>
                <w:iCs/>
                <w:sz w:val="20"/>
                <w:szCs w:val="20"/>
                <w:lang w:val="it-IT"/>
              </w:rPr>
            </w:pPr>
            <w:r w:rsidRPr="008327F0">
              <w:rPr>
                <w:rFonts w:ascii="Arial" w:eastAsia="Calibri" w:hAnsi="Arial" w:cs="Arial"/>
                <w:sz w:val="20"/>
                <w:szCs w:val="20"/>
                <w:lang w:val="it-IT"/>
              </w:rPr>
              <w:t>Industria alimentară/fabricarea băuturilor</w:t>
            </w:r>
          </w:p>
        </w:tc>
        <w:tc>
          <w:tcPr>
            <w:tcW w:w="81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1,09</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1,08</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76" w:lineRule="auto"/>
              <w:jc w:val="center"/>
              <w:rPr>
                <w:rFonts w:ascii="Arial" w:eastAsia="Calibri" w:hAnsi="Arial" w:cs="Arial"/>
                <w:sz w:val="20"/>
                <w:szCs w:val="20"/>
              </w:rPr>
            </w:pPr>
            <w:r w:rsidRPr="008327F0">
              <w:rPr>
                <w:rFonts w:ascii="Arial" w:eastAsia="Calibri" w:hAnsi="Arial" w:cs="Arial"/>
                <w:sz w:val="20"/>
                <w:szCs w:val="20"/>
              </w:rPr>
              <w:t>0,59</w:t>
            </w:r>
          </w:p>
        </w:tc>
        <w:tc>
          <w:tcPr>
            <w:tcW w:w="90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1,12</w:t>
            </w:r>
          </w:p>
        </w:tc>
        <w:tc>
          <w:tcPr>
            <w:tcW w:w="990"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0,43</w:t>
            </w:r>
          </w:p>
        </w:tc>
        <w:tc>
          <w:tcPr>
            <w:tcW w:w="1223" w:type="dxa"/>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0,42</w:t>
            </w:r>
          </w:p>
        </w:tc>
        <w:tc>
          <w:tcPr>
            <w:tcW w:w="1287" w:type="dxa"/>
            <w:gridSpan w:val="2"/>
            <w:tcBorders>
              <w:top w:val="nil"/>
              <w:left w:val="nil"/>
              <w:bottom w:val="single" w:sz="8"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0,075</w:t>
            </w:r>
          </w:p>
        </w:tc>
        <w:tc>
          <w:tcPr>
            <w:tcW w:w="1152" w:type="dxa"/>
            <w:tcBorders>
              <w:top w:val="nil"/>
              <w:left w:val="nil"/>
              <w:bottom w:val="single" w:sz="8" w:space="0" w:color="auto"/>
              <w:right w:val="single" w:sz="8" w:space="0" w:color="auto"/>
            </w:tcBorders>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0,91</w:t>
            </w:r>
          </w:p>
        </w:tc>
      </w:tr>
      <w:tr w:rsidR="008327F0" w:rsidRPr="008327F0" w:rsidTr="00B8293F">
        <w:trPr>
          <w:gridAfter w:val="1"/>
          <w:wAfter w:w="7" w:type="dxa"/>
          <w:trHeight w:val="525"/>
          <w:jc w:val="center"/>
        </w:trPr>
        <w:tc>
          <w:tcPr>
            <w:tcW w:w="1802"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b/>
                <w:bCs/>
                <w:color w:val="000000"/>
                <w:sz w:val="20"/>
                <w:szCs w:val="20"/>
                <w:lang w:eastAsia="ro-RO"/>
              </w:rPr>
            </w:pPr>
            <w:r w:rsidRPr="008327F0">
              <w:rPr>
                <w:rFonts w:ascii="Arial" w:eastAsia="Calibri" w:hAnsi="Arial" w:cs="Arial"/>
                <w:bCs/>
                <w:iCs/>
                <w:sz w:val="20"/>
                <w:szCs w:val="20"/>
                <w:lang w:val="it-IT"/>
              </w:rPr>
              <w:t xml:space="preserve">Ind.metalurgică / construcţii </w:t>
            </w:r>
            <w:r w:rsidRPr="008327F0">
              <w:rPr>
                <w:rFonts w:ascii="Arial" w:eastAsia="Calibri" w:hAnsi="Arial" w:cs="Arial"/>
                <w:sz w:val="20"/>
                <w:szCs w:val="20"/>
                <w:lang w:val="it-IT"/>
              </w:rPr>
              <w:t>metalice</w:t>
            </w:r>
          </w:p>
        </w:tc>
        <w:tc>
          <w:tcPr>
            <w:tcW w:w="813"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2,21</w:t>
            </w:r>
          </w:p>
        </w:tc>
        <w:tc>
          <w:tcPr>
            <w:tcW w:w="990"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3,48</w:t>
            </w:r>
          </w:p>
        </w:tc>
        <w:tc>
          <w:tcPr>
            <w:tcW w:w="900"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76" w:lineRule="auto"/>
              <w:jc w:val="center"/>
              <w:rPr>
                <w:rFonts w:ascii="Arial" w:eastAsia="Calibri" w:hAnsi="Arial" w:cs="Arial"/>
                <w:sz w:val="20"/>
                <w:szCs w:val="20"/>
              </w:rPr>
            </w:pPr>
            <w:r w:rsidRPr="008327F0">
              <w:rPr>
                <w:rFonts w:ascii="Arial" w:eastAsia="Calibri" w:hAnsi="Arial" w:cs="Arial"/>
                <w:sz w:val="20"/>
                <w:szCs w:val="20"/>
              </w:rPr>
              <w:t>0,043</w:t>
            </w:r>
          </w:p>
        </w:tc>
        <w:tc>
          <w:tcPr>
            <w:tcW w:w="900"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0,037</w:t>
            </w:r>
          </w:p>
        </w:tc>
        <w:tc>
          <w:tcPr>
            <w:tcW w:w="990"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0,68</w:t>
            </w:r>
          </w:p>
        </w:tc>
        <w:tc>
          <w:tcPr>
            <w:tcW w:w="1223"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3,47</w:t>
            </w:r>
          </w:p>
        </w:tc>
        <w:tc>
          <w:tcPr>
            <w:tcW w:w="1287" w:type="dxa"/>
            <w:gridSpan w:val="2"/>
            <w:tcBorders>
              <w:top w:val="nil"/>
              <w:left w:val="nil"/>
              <w:bottom w:val="single" w:sz="4"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16,28</w:t>
            </w:r>
          </w:p>
        </w:tc>
        <w:tc>
          <w:tcPr>
            <w:tcW w:w="1152" w:type="dxa"/>
            <w:tcBorders>
              <w:top w:val="nil"/>
              <w:left w:val="nil"/>
              <w:bottom w:val="single" w:sz="4" w:space="0" w:color="auto"/>
              <w:right w:val="single" w:sz="8" w:space="0" w:color="auto"/>
            </w:tcBorders>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7,46</w:t>
            </w:r>
          </w:p>
        </w:tc>
      </w:tr>
      <w:tr w:rsidR="008327F0" w:rsidRPr="008327F0" w:rsidTr="00B8293F">
        <w:trPr>
          <w:gridAfter w:val="1"/>
          <w:wAfter w:w="7" w:type="dxa"/>
          <w:trHeight w:val="525"/>
          <w:jc w:val="center"/>
        </w:trPr>
        <w:tc>
          <w:tcPr>
            <w:tcW w:w="1802"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b/>
                <w:bCs/>
                <w:color w:val="000000"/>
                <w:sz w:val="20"/>
                <w:szCs w:val="20"/>
                <w:lang w:eastAsia="ro-RO"/>
              </w:rPr>
            </w:pPr>
            <w:r w:rsidRPr="008327F0">
              <w:rPr>
                <w:rFonts w:ascii="Arial" w:eastAsia="Calibri" w:hAnsi="Arial" w:cs="Arial"/>
                <w:sz w:val="20"/>
                <w:szCs w:val="20"/>
                <w:lang w:val="it-IT"/>
              </w:rPr>
              <w:t>Producția și furn. energie electrică, termic</w:t>
            </w:r>
            <w:r w:rsidRPr="008327F0">
              <w:rPr>
                <w:rFonts w:ascii="Arial" w:eastAsia="Calibri" w:hAnsi="Arial" w:cs="Arial"/>
                <w:sz w:val="20"/>
                <w:szCs w:val="20"/>
              </w:rPr>
              <w:t>ă</w:t>
            </w:r>
            <w:r w:rsidRPr="008327F0">
              <w:rPr>
                <w:rFonts w:ascii="Arial" w:eastAsia="Calibri" w:hAnsi="Arial" w:cs="Arial"/>
                <w:sz w:val="20"/>
                <w:szCs w:val="20"/>
                <w:lang w:val="it-IT"/>
              </w:rPr>
              <w:t>, apă caldă</w:t>
            </w:r>
          </w:p>
        </w:tc>
        <w:tc>
          <w:tcPr>
            <w:tcW w:w="813"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1,66</w:t>
            </w:r>
          </w:p>
        </w:tc>
        <w:tc>
          <w:tcPr>
            <w:tcW w:w="990"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3,67</w:t>
            </w:r>
          </w:p>
        </w:tc>
        <w:tc>
          <w:tcPr>
            <w:tcW w:w="900"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76" w:lineRule="auto"/>
              <w:jc w:val="center"/>
              <w:rPr>
                <w:rFonts w:ascii="Arial" w:eastAsia="Calibri" w:hAnsi="Arial" w:cs="Arial"/>
                <w:sz w:val="20"/>
                <w:szCs w:val="20"/>
              </w:rPr>
            </w:pPr>
            <w:r w:rsidRPr="008327F0">
              <w:rPr>
                <w:rFonts w:ascii="Arial" w:eastAsia="Calibri" w:hAnsi="Arial" w:cs="Arial"/>
                <w:sz w:val="20"/>
                <w:szCs w:val="20"/>
              </w:rPr>
              <w:t>0,005</w:t>
            </w:r>
          </w:p>
        </w:tc>
        <w:tc>
          <w:tcPr>
            <w:tcW w:w="900"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0,02</w:t>
            </w:r>
          </w:p>
        </w:tc>
        <w:tc>
          <w:tcPr>
            <w:tcW w:w="990"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0,37</w:t>
            </w:r>
          </w:p>
        </w:tc>
        <w:tc>
          <w:tcPr>
            <w:tcW w:w="1223" w:type="dxa"/>
            <w:tcBorders>
              <w:top w:val="nil"/>
              <w:left w:val="nil"/>
              <w:bottom w:val="single" w:sz="4"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18,34</w:t>
            </w:r>
          </w:p>
        </w:tc>
        <w:tc>
          <w:tcPr>
            <w:tcW w:w="1287" w:type="dxa"/>
            <w:gridSpan w:val="2"/>
            <w:tcBorders>
              <w:top w:val="nil"/>
              <w:left w:val="nil"/>
              <w:bottom w:val="single" w:sz="4" w:space="0" w:color="auto"/>
              <w:right w:val="single" w:sz="8" w:space="0" w:color="auto"/>
            </w:tcBorders>
            <w:noWrap/>
            <w:tcMar>
              <w:top w:w="0" w:type="dxa"/>
              <w:left w:w="108" w:type="dxa"/>
              <w:bottom w:w="0" w:type="dxa"/>
              <w:right w:w="108" w:type="dxa"/>
            </w:tcMar>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0,007</w:t>
            </w:r>
          </w:p>
        </w:tc>
        <w:tc>
          <w:tcPr>
            <w:tcW w:w="1152" w:type="dxa"/>
            <w:tcBorders>
              <w:top w:val="nil"/>
              <w:left w:val="nil"/>
              <w:bottom w:val="single" w:sz="4" w:space="0" w:color="auto"/>
              <w:right w:val="single" w:sz="8" w:space="0" w:color="auto"/>
            </w:tcBorders>
            <w:vAlign w:val="center"/>
          </w:tcPr>
          <w:p w:rsidR="008327F0" w:rsidRPr="008327F0" w:rsidRDefault="008327F0" w:rsidP="008327F0">
            <w:pPr>
              <w:spacing w:after="0" w:line="240" w:lineRule="auto"/>
              <w:jc w:val="center"/>
              <w:rPr>
                <w:rFonts w:ascii="Arial" w:eastAsia="Calibri" w:hAnsi="Arial" w:cs="Arial"/>
                <w:sz w:val="20"/>
                <w:szCs w:val="20"/>
                <w:lang w:eastAsia="ro-RO"/>
              </w:rPr>
            </w:pPr>
            <w:r w:rsidRPr="008327F0">
              <w:rPr>
                <w:rFonts w:ascii="Arial" w:eastAsia="Calibri" w:hAnsi="Arial" w:cs="Arial"/>
                <w:sz w:val="20"/>
                <w:szCs w:val="20"/>
                <w:lang w:eastAsia="ro-RO"/>
              </w:rPr>
              <w:t>16,77</w:t>
            </w:r>
          </w:p>
        </w:tc>
      </w:tr>
    </w:tbl>
    <w:p w:rsidR="008327F0" w:rsidRPr="008327F0" w:rsidRDefault="008327F0" w:rsidP="008327F0">
      <w:pPr>
        <w:spacing w:before="120" w:after="120" w:line="240" w:lineRule="auto"/>
        <w:ind w:left="900" w:hanging="900"/>
        <w:jc w:val="both"/>
        <w:rPr>
          <w:rFonts w:ascii="Arial" w:eastAsia="Calibri" w:hAnsi="Arial" w:cs="Arial"/>
          <w:i/>
          <w:iCs/>
          <w:color w:val="000000"/>
          <w:sz w:val="24"/>
          <w:szCs w:val="24"/>
          <w:lang w:eastAsia="ro-RO"/>
        </w:rPr>
      </w:pPr>
      <w:r w:rsidRPr="008327F0">
        <w:rPr>
          <w:rFonts w:ascii="Arial" w:eastAsia="Calibri" w:hAnsi="Arial" w:cs="Arial"/>
          <w:i/>
          <w:iCs/>
          <w:color w:val="000000"/>
          <w:sz w:val="24"/>
          <w:szCs w:val="24"/>
          <w:lang w:eastAsia="ro-RO"/>
        </w:rPr>
        <w:t xml:space="preserve"> (Sursa: Administraţia Naţională “Apele Române”, Sinteza calităţii apelor din România în anul 2021)</w:t>
      </w:r>
    </w:p>
    <w:p w:rsidR="008327F0" w:rsidRPr="008327F0" w:rsidRDefault="008327F0" w:rsidP="008327F0">
      <w:pPr>
        <w:tabs>
          <w:tab w:val="left" w:pos="1620"/>
        </w:tabs>
        <w:spacing w:after="0" w:line="240" w:lineRule="auto"/>
        <w:jc w:val="center"/>
        <w:rPr>
          <w:rFonts w:ascii="Arial" w:eastAsia="Calibri" w:hAnsi="Arial" w:cs="Arial"/>
          <w:b/>
          <w:bCs/>
          <w:color w:val="000000"/>
          <w:sz w:val="24"/>
          <w:szCs w:val="24"/>
          <w:lang w:eastAsia="ro-RO"/>
        </w:rPr>
      </w:pPr>
      <w:r w:rsidRPr="008327F0">
        <w:rPr>
          <w:rFonts w:ascii="Calibri" w:eastAsia="Calibri" w:hAnsi="Calibri" w:cs="Times New Roman"/>
          <w:noProof/>
          <w:lang w:eastAsia="ro-RO"/>
        </w:rPr>
        <w:drawing>
          <wp:inline distT="0" distB="0" distL="0" distR="0">
            <wp:extent cx="6057265" cy="4176395"/>
            <wp:effectExtent l="0" t="0" r="63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57265" cy="4176395"/>
                    </a:xfrm>
                    <a:prstGeom prst="rect">
                      <a:avLst/>
                    </a:prstGeom>
                    <a:noFill/>
                  </pic:spPr>
                </pic:pic>
              </a:graphicData>
            </a:graphic>
          </wp:inline>
        </w:drawing>
      </w:r>
      <w:r w:rsidRPr="008327F0">
        <w:rPr>
          <w:rFonts w:ascii="Arial" w:eastAsia="Calibri" w:hAnsi="Arial" w:cs="Arial"/>
          <w:b/>
          <w:bCs/>
          <w:i/>
          <w:color w:val="000000"/>
          <w:sz w:val="20"/>
          <w:szCs w:val="24"/>
          <w:lang w:eastAsia="ro-RO"/>
        </w:rPr>
        <w:t>Figura II.2.2.2.2 Ponderea încărcării principalilor indicatori de calitate din apele uzate evacuate în  receptorii naturali în anul 2021 (%)</w:t>
      </w:r>
    </w:p>
    <w:p w:rsidR="008327F0" w:rsidRPr="008327F0" w:rsidRDefault="008327F0" w:rsidP="008327F0">
      <w:pPr>
        <w:spacing w:before="120" w:after="120" w:line="240" w:lineRule="auto"/>
        <w:ind w:left="900" w:hanging="900"/>
        <w:jc w:val="both"/>
        <w:rPr>
          <w:rFonts w:ascii="Arial" w:eastAsia="Calibri" w:hAnsi="Arial" w:cs="Arial"/>
          <w:i/>
          <w:iCs/>
          <w:color w:val="000000"/>
          <w:sz w:val="24"/>
          <w:szCs w:val="24"/>
          <w:lang w:eastAsia="ro-RO"/>
        </w:rPr>
      </w:pPr>
      <w:r w:rsidRPr="008327F0">
        <w:rPr>
          <w:rFonts w:ascii="Arial" w:eastAsia="Calibri" w:hAnsi="Arial" w:cs="Arial"/>
          <w:i/>
          <w:iCs/>
          <w:color w:val="000000"/>
          <w:sz w:val="24"/>
          <w:szCs w:val="24"/>
          <w:lang w:eastAsia="ro-RO"/>
        </w:rPr>
        <w:t xml:space="preserve"> (Sursa: Administraţia Naţională “Apele Române”, Sinteza calităţii apelor din România în anul 2021)</w:t>
      </w:r>
    </w:p>
    <w:p w:rsidR="008327F0" w:rsidRPr="008327F0" w:rsidRDefault="008327F0" w:rsidP="008327F0">
      <w:pPr>
        <w:spacing w:before="120" w:after="120" w:line="240" w:lineRule="auto"/>
        <w:ind w:firstLine="567"/>
        <w:jc w:val="both"/>
        <w:rPr>
          <w:rFonts w:ascii="Arial" w:eastAsia="Calibri" w:hAnsi="Arial" w:cs="Arial"/>
          <w:sz w:val="24"/>
          <w:szCs w:val="24"/>
        </w:rPr>
      </w:pPr>
    </w:p>
    <w:p w:rsidR="008327F0" w:rsidRPr="008327F0" w:rsidRDefault="008327F0" w:rsidP="008327F0">
      <w:pPr>
        <w:spacing w:before="120" w:after="120" w:line="240" w:lineRule="auto"/>
        <w:ind w:firstLine="567"/>
        <w:jc w:val="both"/>
        <w:rPr>
          <w:rFonts w:ascii="Arial" w:eastAsia="Calibri" w:hAnsi="Arial" w:cs="Arial"/>
          <w:sz w:val="24"/>
          <w:szCs w:val="24"/>
        </w:rPr>
      </w:pPr>
      <w:r w:rsidRPr="008327F0">
        <w:rPr>
          <w:rFonts w:ascii="Arial" w:eastAsia="Calibri" w:hAnsi="Arial" w:cs="Arial"/>
          <w:sz w:val="24"/>
          <w:szCs w:val="24"/>
        </w:rPr>
        <w:t>Statisticile întocmite şi prezentate anual în ”Sinteza calităţii apelor din România” dovedesc faptul că dintre apele uzate care necesită epurare, cel mai mare impact îl au apele uzate provenite de la aglomerările urbane, în special în ceea ce priveşte poluarea cu substanţe organice (CBO5 şi CCO-Cr) şi nutrienţi (azot total şi fosfor total).</w:t>
      </w:r>
    </w:p>
    <w:p w:rsidR="008327F0" w:rsidRPr="008327F0" w:rsidRDefault="008327F0" w:rsidP="008327F0">
      <w:pPr>
        <w:spacing w:before="120" w:after="120" w:line="240" w:lineRule="auto"/>
        <w:ind w:firstLine="567"/>
        <w:jc w:val="both"/>
        <w:rPr>
          <w:rFonts w:ascii="Arial" w:eastAsia="Calibri" w:hAnsi="Arial" w:cs="Arial"/>
          <w:sz w:val="24"/>
          <w:szCs w:val="24"/>
        </w:rPr>
      </w:pPr>
      <w:r w:rsidRPr="008327F0">
        <w:rPr>
          <w:rFonts w:ascii="Arial" w:eastAsia="Calibri" w:hAnsi="Arial" w:cs="Arial"/>
          <w:i/>
          <w:sz w:val="24"/>
          <w:szCs w:val="24"/>
        </w:rPr>
        <w:t xml:space="preserve"> Tabele </w:t>
      </w:r>
      <w:r w:rsidRPr="008327F0">
        <w:rPr>
          <w:rFonts w:ascii="Arial" w:eastAsia="Calibri" w:hAnsi="Arial" w:cs="Arial"/>
          <w:i/>
          <w:sz w:val="24"/>
          <w:szCs w:val="24"/>
          <w:lang w:eastAsia="ro-RO"/>
        </w:rPr>
        <w:t xml:space="preserve">II.2.2.2.3 și II.2.2.2.4 </w:t>
      </w:r>
      <w:r w:rsidRPr="008327F0">
        <w:rPr>
          <w:rFonts w:ascii="Arial" w:eastAsia="Calibri" w:hAnsi="Arial" w:cs="Arial"/>
          <w:sz w:val="24"/>
          <w:szCs w:val="24"/>
        </w:rPr>
        <w:t>evidențiază cele afirmate mai sus.</w:t>
      </w:r>
    </w:p>
    <w:p w:rsidR="008327F0" w:rsidRPr="008327F0" w:rsidRDefault="008327F0" w:rsidP="008327F0">
      <w:pPr>
        <w:autoSpaceDE w:val="0"/>
        <w:autoSpaceDN w:val="0"/>
        <w:adjustRightInd w:val="0"/>
        <w:spacing w:before="120" w:after="120" w:line="240" w:lineRule="auto"/>
        <w:rPr>
          <w:rFonts w:ascii="Arial" w:eastAsia="Calibri" w:hAnsi="Arial" w:cs="Arial"/>
          <w:b/>
          <w:i/>
          <w:sz w:val="20"/>
          <w:szCs w:val="20"/>
        </w:rPr>
      </w:pPr>
      <w:r w:rsidRPr="008327F0">
        <w:rPr>
          <w:rFonts w:ascii="Arial" w:eastAsia="Calibri" w:hAnsi="Arial" w:cs="Arial"/>
          <w:b/>
          <w:i/>
          <w:sz w:val="20"/>
          <w:szCs w:val="20"/>
        </w:rPr>
        <w:t xml:space="preserve">Tabel </w:t>
      </w:r>
      <w:r w:rsidRPr="008327F0">
        <w:rPr>
          <w:rFonts w:ascii="Arial" w:eastAsia="Calibri" w:hAnsi="Arial" w:cs="Arial"/>
          <w:b/>
          <w:i/>
          <w:sz w:val="20"/>
          <w:szCs w:val="20"/>
          <w:lang w:eastAsia="ro-RO"/>
        </w:rPr>
        <w:t xml:space="preserve">II.2.2.2.3 </w:t>
      </w:r>
      <w:r w:rsidRPr="008327F0">
        <w:rPr>
          <w:rFonts w:ascii="Arial" w:eastAsia="Calibri" w:hAnsi="Arial" w:cs="Arial"/>
          <w:b/>
          <w:i/>
          <w:sz w:val="20"/>
          <w:szCs w:val="20"/>
        </w:rPr>
        <w:t>Volumul total de ape uzate urbane evacuate în receptorii naturali în anul 2021 (mil. m</w:t>
      </w:r>
      <w:r w:rsidRPr="008327F0">
        <w:rPr>
          <w:rFonts w:ascii="Arial" w:eastAsia="Calibri" w:hAnsi="Arial" w:cs="Arial"/>
          <w:b/>
          <w:i/>
          <w:sz w:val="20"/>
          <w:szCs w:val="20"/>
          <w:vertAlign w:val="superscript"/>
        </w:rPr>
        <w:t>3</w:t>
      </w:r>
      <w:r w:rsidRPr="008327F0">
        <w:rPr>
          <w:rFonts w:ascii="Arial" w:eastAsia="Calibri" w:hAnsi="Arial" w:cs="Arial"/>
          <w:b/>
          <w:i/>
          <w:sz w:val="20"/>
          <w:szCs w:val="20"/>
        </w:rPr>
        <w:t>/an)</w:t>
      </w:r>
    </w:p>
    <w:tbl>
      <w:tblPr>
        <w:tblW w:w="74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92"/>
        <w:gridCol w:w="1251"/>
        <w:gridCol w:w="1771"/>
        <w:gridCol w:w="2126"/>
        <w:gridCol w:w="1232"/>
        <w:gridCol w:w="10"/>
      </w:tblGrid>
      <w:tr w:rsidR="008327F0" w:rsidRPr="008327F0" w:rsidTr="00B8293F">
        <w:trPr>
          <w:trHeight w:val="503"/>
          <w:jc w:val="center"/>
        </w:trPr>
        <w:tc>
          <w:tcPr>
            <w:tcW w:w="1092" w:type="dxa"/>
            <w:vMerge w:val="restart"/>
            <w:shd w:val="clear" w:color="auto" w:fill="DEEAF6"/>
            <w:vAlign w:val="center"/>
          </w:tcPr>
          <w:p w:rsidR="008327F0" w:rsidRPr="008327F0" w:rsidRDefault="008327F0" w:rsidP="008327F0">
            <w:pPr>
              <w:spacing w:after="0" w:line="240" w:lineRule="auto"/>
              <w:jc w:val="center"/>
              <w:rPr>
                <w:rFonts w:ascii="Arial" w:eastAsia="Calibri" w:hAnsi="Arial" w:cs="Arial"/>
                <w:b/>
                <w:lang w:val="it-IT"/>
              </w:rPr>
            </w:pPr>
            <w:r w:rsidRPr="008327F0">
              <w:rPr>
                <w:rFonts w:ascii="Arial" w:eastAsia="Calibri" w:hAnsi="Arial" w:cs="Arial"/>
                <w:b/>
                <w:lang w:val="it-IT"/>
              </w:rPr>
              <w:t>Anul</w:t>
            </w:r>
          </w:p>
        </w:tc>
        <w:tc>
          <w:tcPr>
            <w:tcW w:w="6390" w:type="dxa"/>
            <w:gridSpan w:val="5"/>
            <w:shd w:val="clear" w:color="auto" w:fill="DEEAF6"/>
            <w:vAlign w:val="center"/>
          </w:tcPr>
          <w:p w:rsidR="008327F0" w:rsidRPr="008327F0" w:rsidRDefault="008327F0" w:rsidP="008327F0">
            <w:pPr>
              <w:spacing w:after="0" w:line="240" w:lineRule="auto"/>
              <w:jc w:val="center"/>
              <w:rPr>
                <w:rFonts w:ascii="Arial" w:eastAsia="Calibri" w:hAnsi="Arial" w:cs="Arial"/>
                <w:b/>
              </w:rPr>
            </w:pPr>
            <w:r w:rsidRPr="008327F0">
              <w:rPr>
                <w:rFonts w:ascii="Arial" w:eastAsia="Calibri" w:hAnsi="Arial" w:cs="Arial"/>
                <w:b/>
              </w:rPr>
              <w:t>Volum ape uzate urbane evacuate în receptorii naturali</w:t>
            </w:r>
          </w:p>
          <w:p w:rsidR="008327F0" w:rsidRPr="008327F0" w:rsidRDefault="008327F0" w:rsidP="008327F0">
            <w:pPr>
              <w:spacing w:after="0" w:line="240" w:lineRule="auto"/>
              <w:jc w:val="center"/>
              <w:rPr>
                <w:rFonts w:ascii="Arial" w:eastAsia="Calibri" w:hAnsi="Arial" w:cs="Arial"/>
                <w:b/>
              </w:rPr>
            </w:pPr>
            <w:r w:rsidRPr="008327F0">
              <w:rPr>
                <w:rFonts w:ascii="Arial" w:eastAsia="Calibri" w:hAnsi="Arial" w:cs="Arial"/>
                <w:b/>
              </w:rPr>
              <w:t>(mil. m</w:t>
            </w:r>
            <w:r w:rsidRPr="008327F0">
              <w:rPr>
                <w:rFonts w:ascii="Arial" w:eastAsia="Calibri" w:hAnsi="Arial" w:cs="Arial"/>
                <w:b/>
                <w:vertAlign w:val="superscript"/>
              </w:rPr>
              <w:t>3</w:t>
            </w:r>
            <w:r w:rsidRPr="008327F0">
              <w:rPr>
                <w:rFonts w:ascii="Arial" w:eastAsia="Calibri" w:hAnsi="Arial" w:cs="Arial"/>
                <w:b/>
              </w:rPr>
              <w:t>/an)</w:t>
            </w:r>
          </w:p>
        </w:tc>
      </w:tr>
      <w:tr w:rsidR="008327F0" w:rsidRPr="008327F0" w:rsidTr="00B8293F">
        <w:trPr>
          <w:gridAfter w:val="1"/>
          <w:wAfter w:w="10" w:type="dxa"/>
          <w:jc w:val="center"/>
        </w:trPr>
        <w:tc>
          <w:tcPr>
            <w:tcW w:w="1092" w:type="dxa"/>
            <w:vMerge/>
            <w:shd w:val="clear" w:color="auto" w:fill="DEEAF6"/>
            <w:vAlign w:val="center"/>
          </w:tcPr>
          <w:p w:rsidR="008327F0" w:rsidRPr="008327F0" w:rsidRDefault="008327F0" w:rsidP="008327F0">
            <w:pPr>
              <w:spacing w:after="0" w:line="240" w:lineRule="auto"/>
              <w:jc w:val="center"/>
              <w:rPr>
                <w:rFonts w:ascii="Arial" w:eastAsia="Calibri" w:hAnsi="Arial" w:cs="Arial"/>
              </w:rPr>
            </w:pPr>
          </w:p>
        </w:tc>
        <w:tc>
          <w:tcPr>
            <w:tcW w:w="1251" w:type="dxa"/>
            <w:shd w:val="clear" w:color="auto" w:fill="DEEAF6"/>
            <w:vAlign w:val="center"/>
          </w:tcPr>
          <w:p w:rsidR="008327F0" w:rsidRPr="008327F0" w:rsidRDefault="008327F0" w:rsidP="008327F0">
            <w:pPr>
              <w:spacing w:after="0" w:line="240" w:lineRule="auto"/>
              <w:jc w:val="center"/>
              <w:rPr>
                <w:rFonts w:ascii="Arial" w:eastAsia="Calibri" w:hAnsi="Arial" w:cs="Arial"/>
                <w:b/>
                <w:lang w:val="it-IT"/>
              </w:rPr>
            </w:pPr>
            <w:r w:rsidRPr="008327F0">
              <w:rPr>
                <w:rFonts w:ascii="Arial" w:eastAsia="Calibri" w:hAnsi="Arial" w:cs="Arial"/>
                <w:b/>
              </w:rPr>
              <w:t>Total</w:t>
            </w:r>
          </w:p>
        </w:tc>
        <w:tc>
          <w:tcPr>
            <w:tcW w:w="1771" w:type="dxa"/>
            <w:shd w:val="clear" w:color="auto" w:fill="DEEAF6"/>
            <w:vAlign w:val="center"/>
          </w:tcPr>
          <w:p w:rsidR="008327F0" w:rsidRPr="008327F0" w:rsidRDefault="008327F0" w:rsidP="008327F0">
            <w:pPr>
              <w:spacing w:after="0" w:line="240" w:lineRule="auto"/>
              <w:jc w:val="center"/>
              <w:rPr>
                <w:rFonts w:ascii="Arial" w:eastAsia="Calibri" w:hAnsi="Arial" w:cs="Arial"/>
                <w:b/>
                <w:lang w:val="it-IT"/>
              </w:rPr>
            </w:pPr>
            <w:r w:rsidRPr="008327F0">
              <w:rPr>
                <w:rFonts w:ascii="Arial" w:eastAsia="Calibri" w:hAnsi="Arial" w:cs="Arial"/>
                <w:b/>
                <w:lang w:val="it-IT"/>
              </w:rPr>
              <w:t>Corespunzător</w:t>
            </w:r>
          </w:p>
          <w:p w:rsidR="008327F0" w:rsidRPr="008327F0" w:rsidRDefault="008327F0" w:rsidP="008327F0">
            <w:pPr>
              <w:spacing w:after="0" w:line="240" w:lineRule="auto"/>
              <w:jc w:val="center"/>
              <w:rPr>
                <w:rFonts w:ascii="Arial" w:eastAsia="Calibri" w:hAnsi="Arial" w:cs="Arial"/>
                <w:b/>
                <w:lang w:val="it-IT"/>
              </w:rPr>
            </w:pPr>
            <w:r w:rsidRPr="008327F0">
              <w:rPr>
                <w:rFonts w:ascii="Arial" w:eastAsia="Calibri" w:hAnsi="Arial" w:cs="Arial"/>
                <w:b/>
                <w:lang w:val="it-IT"/>
              </w:rPr>
              <w:t>epurate</w:t>
            </w:r>
          </w:p>
        </w:tc>
        <w:tc>
          <w:tcPr>
            <w:tcW w:w="2126" w:type="dxa"/>
            <w:shd w:val="clear" w:color="auto" w:fill="DEEAF6"/>
            <w:vAlign w:val="center"/>
          </w:tcPr>
          <w:p w:rsidR="008327F0" w:rsidRPr="008327F0" w:rsidRDefault="008327F0" w:rsidP="008327F0">
            <w:pPr>
              <w:spacing w:after="0" w:line="240" w:lineRule="auto"/>
              <w:jc w:val="center"/>
              <w:rPr>
                <w:rFonts w:ascii="Arial" w:eastAsia="Calibri" w:hAnsi="Arial" w:cs="Arial"/>
                <w:b/>
                <w:lang w:val="it-IT"/>
              </w:rPr>
            </w:pPr>
            <w:r w:rsidRPr="008327F0">
              <w:rPr>
                <w:rFonts w:ascii="Arial" w:eastAsia="Calibri" w:hAnsi="Arial" w:cs="Arial"/>
                <w:b/>
                <w:lang w:val="it-IT"/>
              </w:rPr>
              <w:t>Necorespunzător</w:t>
            </w:r>
          </w:p>
          <w:p w:rsidR="008327F0" w:rsidRPr="008327F0" w:rsidRDefault="008327F0" w:rsidP="008327F0">
            <w:pPr>
              <w:spacing w:after="0" w:line="240" w:lineRule="auto"/>
              <w:jc w:val="center"/>
              <w:rPr>
                <w:rFonts w:ascii="Arial" w:eastAsia="Calibri" w:hAnsi="Arial" w:cs="Arial"/>
                <w:b/>
              </w:rPr>
            </w:pPr>
            <w:r w:rsidRPr="008327F0">
              <w:rPr>
                <w:rFonts w:ascii="Arial" w:eastAsia="Calibri" w:hAnsi="Arial" w:cs="Arial"/>
                <w:b/>
                <w:lang w:val="it-IT"/>
              </w:rPr>
              <w:t>epurate</w:t>
            </w:r>
          </w:p>
        </w:tc>
        <w:tc>
          <w:tcPr>
            <w:tcW w:w="1232" w:type="dxa"/>
            <w:shd w:val="clear" w:color="auto" w:fill="DEEAF6"/>
            <w:vAlign w:val="center"/>
          </w:tcPr>
          <w:p w:rsidR="008327F0" w:rsidRPr="008327F0" w:rsidRDefault="008327F0" w:rsidP="008327F0">
            <w:pPr>
              <w:spacing w:after="0" w:line="240" w:lineRule="auto"/>
              <w:jc w:val="center"/>
              <w:rPr>
                <w:rFonts w:ascii="Arial" w:eastAsia="Calibri" w:hAnsi="Arial" w:cs="Arial"/>
                <w:b/>
                <w:bCs/>
                <w:color w:val="000000"/>
                <w:lang w:eastAsia="ro-RO"/>
              </w:rPr>
            </w:pPr>
            <w:r w:rsidRPr="008327F0">
              <w:rPr>
                <w:rFonts w:ascii="Arial" w:eastAsia="Calibri" w:hAnsi="Arial" w:cs="Arial"/>
                <w:b/>
                <w:bCs/>
                <w:color w:val="000000"/>
                <w:lang w:eastAsia="ro-RO"/>
              </w:rPr>
              <w:t>Nu se epurează</w:t>
            </w:r>
          </w:p>
        </w:tc>
      </w:tr>
      <w:tr w:rsidR="008327F0" w:rsidRPr="008327F0" w:rsidTr="00B8293F">
        <w:trPr>
          <w:gridAfter w:val="1"/>
          <w:wAfter w:w="10" w:type="dxa"/>
          <w:trHeight w:val="512"/>
          <w:jc w:val="center"/>
        </w:trPr>
        <w:tc>
          <w:tcPr>
            <w:tcW w:w="1092" w:type="dxa"/>
            <w:vAlign w:val="center"/>
          </w:tcPr>
          <w:p w:rsidR="008327F0" w:rsidRPr="008327F0" w:rsidRDefault="008327F0" w:rsidP="008327F0">
            <w:pPr>
              <w:spacing w:after="0" w:line="240" w:lineRule="auto"/>
              <w:jc w:val="center"/>
              <w:rPr>
                <w:rFonts w:ascii="Arial" w:eastAsia="Calibri" w:hAnsi="Arial" w:cs="Arial"/>
                <w:lang w:val="it-IT"/>
              </w:rPr>
            </w:pPr>
            <w:r w:rsidRPr="008327F0">
              <w:rPr>
                <w:rFonts w:ascii="Arial" w:eastAsia="Calibri" w:hAnsi="Arial" w:cs="Arial"/>
                <w:lang w:val="it-IT"/>
              </w:rPr>
              <w:t>2021</w:t>
            </w:r>
          </w:p>
        </w:tc>
        <w:tc>
          <w:tcPr>
            <w:tcW w:w="1251" w:type="dxa"/>
            <w:vAlign w:val="center"/>
          </w:tcPr>
          <w:p w:rsidR="008327F0" w:rsidRPr="008327F0" w:rsidRDefault="008327F0" w:rsidP="008327F0">
            <w:pPr>
              <w:spacing w:after="0" w:line="240" w:lineRule="auto"/>
              <w:jc w:val="center"/>
              <w:rPr>
                <w:rFonts w:ascii="Arial" w:eastAsia="Calibri" w:hAnsi="Arial" w:cs="Arial"/>
              </w:rPr>
            </w:pPr>
            <w:r w:rsidRPr="008327F0">
              <w:rPr>
                <w:rFonts w:ascii="Arial" w:eastAsia="Calibri" w:hAnsi="Arial" w:cs="Arial"/>
              </w:rPr>
              <w:t>1154,418</w:t>
            </w:r>
          </w:p>
        </w:tc>
        <w:tc>
          <w:tcPr>
            <w:tcW w:w="1771" w:type="dxa"/>
            <w:vAlign w:val="center"/>
          </w:tcPr>
          <w:p w:rsidR="008327F0" w:rsidRPr="008327F0" w:rsidRDefault="008327F0" w:rsidP="008327F0">
            <w:pPr>
              <w:spacing w:after="0" w:line="240" w:lineRule="auto"/>
              <w:jc w:val="center"/>
              <w:rPr>
                <w:rFonts w:ascii="Arial" w:eastAsia="Calibri" w:hAnsi="Arial" w:cs="Arial"/>
              </w:rPr>
            </w:pPr>
            <w:r w:rsidRPr="008327F0">
              <w:rPr>
                <w:rFonts w:ascii="Arial" w:eastAsia="Calibri" w:hAnsi="Arial" w:cs="Arial"/>
              </w:rPr>
              <w:t>777,517</w:t>
            </w:r>
          </w:p>
        </w:tc>
        <w:tc>
          <w:tcPr>
            <w:tcW w:w="2126" w:type="dxa"/>
            <w:vAlign w:val="center"/>
          </w:tcPr>
          <w:p w:rsidR="008327F0" w:rsidRPr="008327F0" w:rsidRDefault="008327F0" w:rsidP="008327F0">
            <w:pPr>
              <w:spacing w:after="0" w:line="240" w:lineRule="auto"/>
              <w:jc w:val="center"/>
              <w:rPr>
                <w:rFonts w:ascii="Arial" w:eastAsia="Calibri" w:hAnsi="Arial" w:cs="Arial"/>
              </w:rPr>
            </w:pPr>
            <w:r w:rsidRPr="008327F0">
              <w:rPr>
                <w:rFonts w:ascii="Arial" w:eastAsia="Calibri" w:hAnsi="Arial" w:cs="Arial"/>
              </w:rPr>
              <w:t>326,886</w:t>
            </w:r>
          </w:p>
        </w:tc>
        <w:tc>
          <w:tcPr>
            <w:tcW w:w="1232" w:type="dxa"/>
            <w:vAlign w:val="center"/>
          </w:tcPr>
          <w:p w:rsidR="008327F0" w:rsidRPr="008327F0" w:rsidRDefault="008327F0" w:rsidP="008327F0">
            <w:pPr>
              <w:spacing w:after="0" w:line="240" w:lineRule="auto"/>
              <w:jc w:val="center"/>
              <w:rPr>
                <w:rFonts w:ascii="Arial" w:eastAsia="Calibri" w:hAnsi="Arial" w:cs="Arial"/>
              </w:rPr>
            </w:pPr>
            <w:r w:rsidRPr="008327F0">
              <w:rPr>
                <w:rFonts w:ascii="Arial" w:eastAsia="Calibri" w:hAnsi="Arial" w:cs="Arial"/>
              </w:rPr>
              <w:t>50,015</w:t>
            </w:r>
          </w:p>
        </w:tc>
      </w:tr>
    </w:tbl>
    <w:p w:rsidR="008327F0" w:rsidRPr="008327F0" w:rsidRDefault="008327F0" w:rsidP="008327F0">
      <w:pPr>
        <w:autoSpaceDE w:val="0"/>
        <w:autoSpaceDN w:val="0"/>
        <w:adjustRightInd w:val="0"/>
        <w:spacing w:before="120" w:after="120" w:line="240" w:lineRule="auto"/>
        <w:rPr>
          <w:rFonts w:ascii="Arial" w:eastAsia="Calibri" w:hAnsi="Arial" w:cs="Arial"/>
          <w:b/>
          <w:i/>
          <w:sz w:val="20"/>
          <w:szCs w:val="24"/>
          <w:lang w:eastAsia="ro-RO"/>
        </w:rPr>
      </w:pPr>
    </w:p>
    <w:p w:rsidR="008327F0" w:rsidRPr="008327F0" w:rsidRDefault="008327F0" w:rsidP="008327F0">
      <w:pPr>
        <w:autoSpaceDE w:val="0"/>
        <w:autoSpaceDN w:val="0"/>
        <w:adjustRightInd w:val="0"/>
        <w:spacing w:before="120" w:after="120" w:line="240" w:lineRule="auto"/>
        <w:rPr>
          <w:rFonts w:ascii="Arial" w:eastAsia="Calibri" w:hAnsi="Arial" w:cs="Arial"/>
          <w:b/>
          <w:bCs/>
          <w:i/>
          <w:color w:val="000000"/>
          <w:sz w:val="20"/>
          <w:szCs w:val="24"/>
          <w:lang w:eastAsia="ro-RO"/>
        </w:rPr>
      </w:pPr>
      <w:r w:rsidRPr="008327F0">
        <w:rPr>
          <w:rFonts w:ascii="Arial" w:eastAsia="Calibri" w:hAnsi="Arial" w:cs="Arial"/>
          <w:b/>
          <w:i/>
          <w:sz w:val="20"/>
          <w:szCs w:val="24"/>
          <w:lang w:eastAsia="ro-RO"/>
        </w:rPr>
        <w:t xml:space="preserve">Tabel II.2.2.2.4 </w:t>
      </w:r>
      <w:r w:rsidRPr="008327F0">
        <w:rPr>
          <w:rFonts w:ascii="Arial" w:eastAsia="Calibri" w:hAnsi="Arial" w:cs="Arial"/>
          <w:b/>
          <w:bCs/>
          <w:i/>
          <w:color w:val="000000"/>
          <w:sz w:val="20"/>
          <w:szCs w:val="24"/>
          <w:lang w:eastAsia="ro-RO"/>
        </w:rPr>
        <w:t>Încărcarea cu poluanți (tone/an) a efluenților evacuaţi de la aglomerările urbane în receptorii naturali în anul 2021</w:t>
      </w:r>
    </w:p>
    <w:tbl>
      <w:tblPr>
        <w:tblW w:w="540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68"/>
        <w:gridCol w:w="2937"/>
      </w:tblGrid>
      <w:tr w:rsidR="008327F0" w:rsidRPr="008327F0" w:rsidTr="00B8293F">
        <w:trPr>
          <w:trHeight w:val="329"/>
          <w:jc w:val="center"/>
        </w:trPr>
        <w:tc>
          <w:tcPr>
            <w:tcW w:w="2468" w:type="dxa"/>
            <w:vMerge w:val="restart"/>
            <w:shd w:val="clear" w:color="auto" w:fill="DEEAF6"/>
            <w:vAlign w:val="center"/>
          </w:tcPr>
          <w:p w:rsidR="008327F0" w:rsidRPr="008327F0" w:rsidRDefault="008327F0" w:rsidP="008327F0">
            <w:pPr>
              <w:spacing w:after="0" w:line="240" w:lineRule="auto"/>
              <w:jc w:val="center"/>
              <w:rPr>
                <w:rFonts w:ascii="Arial" w:eastAsia="Calibri" w:hAnsi="Arial" w:cs="Arial"/>
                <w:b/>
                <w:lang w:val="it-IT"/>
              </w:rPr>
            </w:pPr>
            <w:r w:rsidRPr="008327F0">
              <w:rPr>
                <w:rFonts w:ascii="Arial" w:eastAsia="Calibri" w:hAnsi="Arial" w:cs="Arial"/>
                <w:b/>
                <w:lang w:val="it-IT"/>
              </w:rPr>
              <w:t>Poluant</w:t>
            </w:r>
          </w:p>
        </w:tc>
        <w:tc>
          <w:tcPr>
            <w:tcW w:w="2936" w:type="dxa"/>
            <w:shd w:val="clear" w:color="auto" w:fill="DEEAF6"/>
            <w:vAlign w:val="center"/>
          </w:tcPr>
          <w:p w:rsidR="008327F0" w:rsidRPr="008327F0" w:rsidRDefault="008327F0" w:rsidP="008327F0">
            <w:pPr>
              <w:spacing w:after="0" w:line="240" w:lineRule="auto"/>
              <w:jc w:val="center"/>
              <w:rPr>
                <w:rFonts w:ascii="Arial" w:eastAsia="Calibri" w:hAnsi="Arial" w:cs="Arial"/>
                <w:b/>
                <w:lang w:val="it-IT"/>
              </w:rPr>
            </w:pPr>
            <w:r w:rsidRPr="008327F0">
              <w:rPr>
                <w:rFonts w:ascii="Arial" w:eastAsia="Calibri" w:hAnsi="Arial" w:cs="Arial"/>
                <w:b/>
                <w:lang w:val="it-IT"/>
              </w:rPr>
              <w:t>Cantitatea de poluan</w:t>
            </w:r>
            <w:r w:rsidRPr="008327F0">
              <w:rPr>
                <w:rFonts w:ascii="Arial" w:eastAsia="Calibri" w:hAnsi="Arial" w:cs="Arial"/>
                <w:b/>
              </w:rPr>
              <w:t>ţ</w:t>
            </w:r>
            <w:r w:rsidRPr="008327F0">
              <w:rPr>
                <w:rFonts w:ascii="Arial" w:eastAsia="Calibri" w:hAnsi="Arial" w:cs="Arial"/>
                <w:b/>
                <w:lang w:val="it-IT"/>
              </w:rPr>
              <w:t>i (tone/an)</w:t>
            </w:r>
          </w:p>
        </w:tc>
      </w:tr>
      <w:tr w:rsidR="008327F0" w:rsidRPr="008327F0" w:rsidTr="00B8293F">
        <w:trPr>
          <w:trHeight w:val="418"/>
          <w:jc w:val="center"/>
        </w:trPr>
        <w:tc>
          <w:tcPr>
            <w:tcW w:w="2468" w:type="dxa"/>
            <w:vMerge/>
            <w:shd w:val="clear" w:color="auto" w:fill="DEEAF6"/>
            <w:vAlign w:val="center"/>
          </w:tcPr>
          <w:p w:rsidR="008327F0" w:rsidRPr="008327F0" w:rsidRDefault="008327F0" w:rsidP="008327F0">
            <w:pPr>
              <w:spacing w:after="0" w:line="240" w:lineRule="auto"/>
              <w:jc w:val="center"/>
              <w:rPr>
                <w:rFonts w:ascii="Arial" w:eastAsia="Calibri" w:hAnsi="Arial" w:cs="Arial"/>
                <w:lang w:val="it-IT"/>
              </w:rPr>
            </w:pPr>
          </w:p>
        </w:tc>
        <w:tc>
          <w:tcPr>
            <w:tcW w:w="2937" w:type="dxa"/>
            <w:shd w:val="clear" w:color="auto" w:fill="DEEAF6"/>
            <w:vAlign w:val="center"/>
          </w:tcPr>
          <w:p w:rsidR="008327F0" w:rsidRPr="008327F0" w:rsidRDefault="008327F0" w:rsidP="008327F0">
            <w:pPr>
              <w:spacing w:after="0" w:line="240" w:lineRule="auto"/>
              <w:jc w:val="center"/>
              <w:rPr>
                <w:rFonts w:ascii="Arial" w:eastAsia="Calibri" w:hAnsi="Arial" w:cs="Arial"/>
                <w:b/>
              </w:rPr>
            </w:pPr>
            <w:r w:rsidRPr="008327F0">
              <w:rPr>
                <w:rFonts w:ascii="Arial" w:eastAsia="Calibri" w:hAnsi="Arial" w:cs="Arial"/>
                <w:b/>
              </w:rPr>
              <w:t>2021</w:t>
            </w:r>
          </w:p>
        </w:tc>
      </w:tr>
      <w:tr w:rsidR="008327F0" w:rsidRPr="008327F0" w:rsidTr="00B8293F">
        <w:trPr>
          <w:trHeight w:val="413"/>
          <w:jc w:val="center"/>
        </w:trPr>
        <w:tc>
          <w:tcPr>
            <w:tcW w:w="2468" w:type="dxa"/>
            <w:shd w:val="clear" w:color="auto" w:fill="auto"/>
            <w:vAlign w:val="center"/>
          </w:tcPr>
          <w:p w:rsidR="008327F0" w:rsidRPr="008327F0" w:rsidRDefault="008327F0" w:rsidP="008327F0">
            <w:pPr>
              <w:spacing w:after="0" w:line="240" w:lineRule="auto"/>
              <w:jc w:val="center"/>
              <w:rPr>
                <w:rFonts w:ascii="Arial" w:eastAsia="Calibri" w:hAnsi="Arial" w:cs="Arial"/>
                <w:b/>
                <w:lang w:val="it-IT"/>
              </w:rPr>
            </w:pPr>
            <w:r w:rsidRPr="008327F0">
              <w:rPr>
                <w:rFonts w:ascii="Arial" w:eastAsia="Calibri" w:hAnsi="Arial" w:cs="Arial"/>
                <w:b/>
              </w:rPr>
              <w:t>CBO</w:t>
            </w:r>
            <w:r w:rsidRPr="008327F0">
              <w:rPr>
                <w:rFonts w:ascii="Arial" w:eastAsia="Calibri" w:hAnsi="Arial" w:cs="Arial"/>
                <w:b/>
                <w:vertAlign w:val="subscript"/>
              </w:rPr>
              <w:t>5</w:t>
            </w:r>
          </w:p>
        </w:tc>
        <w:tc>
          <w:tcPr>
            <w:tcW w:w="2937" w:type="dxa"/>
            <w:shd w:val="clear" w:color="auto" w:fill="auto"/>
            <w:vAlign w:val="center"/>
          </w:tcPr>
          <w:p w:rsidR="008327F0" w:rsidRPr="008327F0" w:rsidRDefault="008327F0" w:rsidP="008327F0">
            <w:pPr>
              <w:spacing w:after="0" w:line="240" w:lineRule="auto"/>
              <w:jc w:val="center"/>
              <w:rPr>
                <w:rFonts w:ascii="Arial" w:eastAsia="Calibri" w:hAnsi="Arial" w:cs="Arial"/>
                <w:lang w:val="it-IT"/>
              </w:rPr>
            </w:pPr>
            <w:r w:rsidRPr="008327F0">
              <w:rPr>
                <w:rFonts w:ascii="Arial" w:eastAsia="Calibri" w:hAnsi="Arial" w:cs="Arial"/>
                <w:lang w:val="it-IT"/>
              </w:rPr>
              <w:t>26159,61</w:t>
            </w:r>
          </w:p>
        </w:tc>
      </w:tr>
      <w:tr w:rsidR="008327F0" w:rsidRPr="008327F0" w:rsidTr="00B8293F">
        <w:trPr>
          <w:trHeight w:val="404"/>
          <w:jc w:val="center"/>
        </w:trPr>
        <w:tc>
          <w:tcPr>
            <w:tcW w:w="2468" w:type="dxa"/>
            <w:shd w:val="clear" w:color="auto" w:fill="auto"/>
            <w:vAlign w:val="center"/>
          </w:tcPr>
          <w:p w:rsidR="008327F0" w:rsidRPr="008327F0" w:rsidRDefault="008327F0" w:rsidP="008327F0">
            <w:pPr>
              <w:spacing w:after="0" w:line="240" w:lineRule="auto"/>
              <w:jc w:val="center"/>
              <w:rPr>
                <w:rFonts w:ascii="Arial" w:eastAsia="Calibri" w:hAnsi="Arial" w:cs="Arial"/>
                <w:b/>
                <w:lang w:val="it-IT"/>
              </w:rPr>
            </w:pPr>
            <w:r w:rsidRPr="008327F0">
              <w:rPr>
                <w:rFonts w:ascii="Arial" w:eastAsia="Calibri" w:hAnsi="Arial" w:cs="Arial"/>
                <w:b/>
              </w:rPr>
              <w:t>CCO-Cr</w:t>
            </w:r>
          </w:p>
        </w:tc>
        <w:tc>
          <w:tcPr>
            <w:tcW w:w="2937" w:type="dxa"/>
            <w:shd w:val="clear" w:color="auto" w:fill="auto"/>
            <w:vAlign w:val="center"/>
          </w:tcPr>
          <w:p w:rsidR="008327F0" w:rsidRPr="008327F0" w:rsidRDefault="008327F0" w:rsidP="008327F0">
            <w:pPr>
              <w:spacing w:after="0" w:line="240" w:lineRule="auto"/>
              <w:jc w:val="center"/>
              <w:rPr>
                <w:rFonts w:ascii="Arial" w:eastAsia="Calibri" w:hAnsi="Arial" w:cs="Arial"/>
                <w:lang w:val="it-IT"/>
              </w:rPr>
            </w:pPr>
            <w:r w:rsidRPr="008327F0">
              <w:rPr>
                <w:rFonts w:ascii="Arial" w:eastAsia="Calibri" w:hAnsi="Arial" w:cs="Arial"/>
                <w:lang w:val="it-IT"/>
              </w:rPr>
              <w:t>82451,82</w:t>
            </w:r>
          </w:p>
        </w:tc>
      </w:tr>
      <w:tr w:rsidR="008327F0" w:rsidRPr="008327F0" w:rsidTr="00B8293F">
        <w:trPr>
          <w:trHeight w:val="413"/>
          <w:jc w:val="center"/>
        </w:trPr>
        <w:tc>
          <w:tcPr>
            <w:tcW w:w="2468" w:type="dxa"/>
            <w:shd w:val="clear" w:color="auto" w:fill="auto"/>
            <w:vAlign w:val="center"/>
          </w:tcPr>
          <w:p w:rsidR="008327F0" w:rsidRPr="008327F0" w:rsidRDefault="008327F0" w:rsidP="008327F0">
            <w:pPr>
              <w:spacing w:after="0" w:line="240" w:lineRule="auto"/>
              <w:jc w:val="center"/>
              <w:rPr>
                <w:rFonts w:ascii="Arial" w:eastAsia="Calibri" w:hAnsi="Arial" w:cs="Arial"/>
                <w:b/>
                <w:lang w:val="it-IT"/>
              </w:rPr>
            </w:pPr>
            <w:r w:rsidRPr="008327F0">
              <w:rPr>
                <w:rFonts w:ascii="Arial" w:eastAsia="Calibri" w:hAnsi="Arial" w:cs="Arial"/>
                <w:b/>
              </w:rPr>
              <w:t>Azot total</w:t>
            </w:r>
          </w:p>
        </w:tc>
        <w:tc>
          <w:tcPr>
            <w:tcW w:w="2937" w:type="dxa"/>
            <w:shd w:val="clear" w:color="auto" w:fill="auto"/>
            <w:vAlign w:val="center"/>
          </w:tcPr>
          <w:p w:rsidR="008327F0" w:rsidRPr="008327F0" w:rsidRDefault="008327F0" w:rsidP="008327F0">
            <w:pPr>
              <w:spacing w:after="0" w:line="240" w:lineRule="auto"/>
              <w:jc w:val="center"/>
              <w:rPr>
                <w:rFonts w:ascii="Arial" w:eastAsia="Calibri" w:hAnsi="Arial" w:cs="Arial"/>
                <w:lang w:val="it-IT"/>
              </w:rPr>
            </w:pPr>
            <w:r w:rsidRPr="008327F0">
              <w:rPr>
                <w:rFonts w:ascii="Arial" w:eastAsia="Calibri" w:hAnsi="Arial" w:cs="Arial"/>
                <w:lang w:val="it-IT"/>
              </w:rPr>
              <w:t>11275,13</w:t>
            </w:r>
          </w:p>
        </w:tc>
      </w:tr>
      <w:tr w:rsidR="008327F0" w:rsidRPr="008327F0" w:rsidTr="00B8293F">
        <w:trPr>
          <w:trHeight w:val="404"/>
          <w:jc w:val="center"/>
        </w:trPr>
        <w:tc>
          <w:tcPr>
            <w:tcW w:w="2468" w:type="dxa"/>
            <w:shd w:val="clear" w:color="auto" w:fill="auto"/>
            <w:vAlign w:val="center"/>
          </w:tcPr>
          <w:p w:rsidR="008327F0" w:rsidRPr="008327F0" w:rsidRDefault="008327F0" w:rsidP="008327F0">
            <w:pPr>
              <w:spacing w:after="0" w:line="240" w:lineRule="auto"/>
              <w:jc w:val="center"/>
              <w:rPr>
                <w:rFonts w:ascii="Arial" w:eastAsia="Calibri" w:hAnsi="Arial" w:cs="Arial"/>
                <w:b/>
                <w:lang w:val="it-IT"/>
              </w:rPr>
            </w:pPr>
            <w:r w:rsidRPr="008327F0">
              <w:rPr>
                <w:rFonts w:ascii="Arial" w:eastAsia="Calibri" w:hAnsi="Arial" w:cs="Arial"/>
                <w:b/>
              </w:rPr>
              <w:t>Fosfor total</w:t>
            </w:r>
          </w:p>
        </w:tc>
        <w:tc>
          <w:tcPr>
            <w:tcW w:w="2937" w:type="dxa"/>
            <w:shd w:val="clear" w:color="auto" w:fill="auto"/>
            <w:vAlign w:val="center"/>
          </w:tcPr>
          <w:p w:rsidR="008327F0" w:rsidRPr="008327F0" w:rsidRDefault="008327F0" w:rsidP="008327F0">
            <w:pPr>
              <w:spacing w:after="0" w:line="240" w:lineRule="auto"/>
              <w:jc w:val="center"/>
              <w:rPr>
                <w:rFonts w:ascii="Arial" w:eastAsia="Calibri" w:hAnsi="Arial" w:cs="Arial"/>
                <w:lang w:val="it-IT"/>
              </w:rPr>
            </w:pPr>
            <w:r w:rsidRPr="008327F0">
              <w:rPr>
                <w:rFonts w:ascii="Arial" w:eastAsia="Calibri" w:hAnsi="Arial" w:cs="Arial"/>
                <w:lang w:val="it-IT"/>
              </w:rPr>
              <w:t>1046,56</w:t>
            </w:r>
          </w:p>
        </w:tc>
      </w:tr>
      <w:tr w:rsidR="008327F0" w:rsidRPr="008327F0" w:rsidTr="00B8293F">
        <w:trPr>
          <w:trHeight w:val="350"/>
          <w:jc w:val="center"/>
        </w:trPr>
        <w:tc>
          <w:tcPr>
            <w:tcW w:w="2468" w:type="dxa"/>
            <w:shd w:val="clear" w:color="auto" w:fill="auto"/>
            <w:vAlign w:val="center"/>
          </w:tcPr>
          <w:p w:rsidR="008327F0" w:rsidRPr="008327F0" w:rsidRDefault="008327F0" w:rsidP="008327F0">
            <w:pPr>
              <w:spacing w:after="0" w:line="240" w:lineRule="auto"/>
              <w:jc w:val="center"/>
              <w:rPr>
                <w:rFonts w:ascii="Arial" w:eastAsia="Calibri" w:hAnsi="Arial" w:cs="Arial"/>
                <w:b/>
              </w:rPr>
            </w:pPr>
            <w:r w:rsidRPr="008327F0">
              <w:rPr>
                <w:rFonts w:ascii="Arial" w:eastAsia="Calibri" w:hAnsi="Arial" w:cs="Arial"/>
                <w:b/>
              </w:rPr>
              <w:t>Amoniu</w:t>
            </w:r>
          </w:p>
        </w:tc>
        <w:tc>
          <w:tcPr>
            <w:tcW w:w="2937" w:type="dxa"/>
            <w:shd w:val="clear" w:color="auto" w:fill="auto"/>
            <w:vAlign w:val="center"/>
          </w:tcPr>
          <w:p w:rsidR="008327F0" w:rsidRPr="008327F0" w:rsidRDefault="008327F0" w:rsidP="008327F0">
            <w:pPr>
              <w:spacing w:after="0" w:line="240" w:lineRule="auto"/>
              <w:jc w:val="center"/>
              <w:rPr>
                <w:rFonts w:ascii="Arial" w:eastAsia="Calibri" w:hAnsi="Arial" w:cs="Arial"/>
                <w:lang w:val="it-IT"/>
              </w:rPr>
            </w:pPr>
            <w:r w:rsidRPr="008327F0">
              <w:rPr>
                <w:rFonts w:ascii="Arial" w:eastAsia="Calibri" w:hAnsi="Arial" w:cs="Arial"/>
                <w:lang w:val="it-IT"/>
              </w:rPr>
              <w:t>8590,93</w:t>
            </w:r>
          </w:p>
        </w:tc>
      </w:tr>
      <w:tr w:rsidR="008327F0" w:rsidRPr="008327F0" w:rsidTr="00B8293F">
        <w:trPr>
          <w:trHeight w:val="350"/>
          <w:jc w:val="center"/>
        </w:trPr>
        <w:tc>
          <w:tcPr>
            <w:tcW w:w="2468" w:type="dxa"/>
            <w:shd w:val="clear" w:color="auto" w:fill="auto"/>
            <w:vAlign w:val="center"/>
          </w:tcPr>
          <w:p w:rsidR="008327F0" w:rsidRPr="008327F0" w:rsidRDefault="008327F0" w:rsidP="008327F0">
            <w:pPr>
              <w:spacing w:after="0" w:line="240" w:lineRule="auto"/>
              <w:jc w:val="center"/>
              <w:rPr>
                <w:rFonts w:ascii="Arial" w:eastAsia="Calibri" w:hAnsi="Arial" w:cs="Arial"/>
                <w:b/>
                <w:lang w:val="it-IT"/>
              </w:rPr>
            </w:pPr>
            <w:r w:rsidRPr="008327F0">
              <w:rPr>
                <w:rFonts w:ascii="Arial" w:eastAsia="Calibri" w:hAnsi="Arial" w:cs="Arial"/>
                <w:b/>
              </w:rPr>
              <w:t>Materii în suspensie</w:t>
            </w:r>
          </w:p>
        </w:tc>
        <w:tc>
          <w:tcPr>
            <w:tcW w:w="2937" w:type="dxa"/>
            <w:shd w:val="clear" w:color="auto" w:fill="auto"/>
            <w:vAlign w:val="center"/>
          </w:tcPr>
          <w:p w:rsidR="008327F0" w:rsidRPr="008327F0" w:rsidRDefault="008327F0" w:rsidP="008327F0">
            <w:pPr>
              <w:spacing w:after="0" w:line="240" w:lineRule="auto"/>
              <w:jc w:val="center"/>
              <w:rPr>
                <w:rFonts w:ascii="Arial" w:eastAsia="Calibri" w:hAnsi="Arial" w:cs="Arial"/>
                <w:lang w:val="it-IT"/>
              </w:rPr>
            </w:pPr>
            <w:r w:rsidRPr="008327F0">
              <w:rPr>
                <w:rFonts w:ascii="Arial" w:eastAsia="Calibri" w:hAnsi="Arial" w:cs="Arial"/>
                <w:lang w:val="it-IT"/>
              </w:rPr>
              <w:t>32482,09</w:t>
            </w:r>
          </w:p>
        </w:tc>
      </w:tr>
      <w:tr w:rsidR="008327F0" w:rsidRPr="008327F0" w:rsidTr="00B8293F">
        <w:trPr>
          <w:trHeight w:val="350"/>
          <w:jc w:val="center"/>
        </w:trPr>
        <w:tc>
          <w:tcPr>
            <w:tcW w:w="2468" w:type="dxa"/>
            <w:shd w:val="clear" w:color="auto" w:fill="auto"/>
            <w:vAlign w:val="center"/>
          </w:tcPr>
          <w:p w:rsidR="008327F0" w:rsidRPr="008327F0" w:rsidRDefault="008327F0" w:rsidP="008327F0">
            <w:pPr>
              <w:spacing w:after="0" w:line="240" w:lineRule="auto"/>
              <w:jc w:val="center"/>
              <w:rPr>
                <w:rFonts w:ascii="Arial" w:eastAsia="Calibri" w:hAnsi="Arial" w:cs="Arial"/>
                <w:b/>
                <w:lang w:val="it-IT"/>
              </w:rPr>
            </w:pPr>
            <w:r w:rsidRPr="008327F0">
              <w:rPr>
                <w:rFonts w:ascii="Arial" w:eastAsia="Calibri" w:hAnsi="Arial" w:cs="Arial"/>
                <w:b/>
              </w:rPr>
              <w:t>Detergenți sintetici</w:t>
            </w:r>
          </w:p>
        </w:tc>
        <w:tc>
          <w:tcPr>
            <w:tcW w:w="2937" w:type="dxa"/>
            <w:shd w:val="clear" w:color="auto" w:fill="auto"/>
            <w:vAlign w:val="center"/>
          </w:tcPr>
          <w:p w:rsidR="008327F0" w:rsidRPr="008327F0" w:rsidRDefault="008327F0" w:rsidP="008327F0">
            <w:pPr>
              <w:spacing w:after="0" w:line="240" w:lineRule="auto"/>
              <w:jc w:val="center"/>
              <w:rPr>
                <w:rFonts w:ascii="Arial" w:eastAsia="Calibri" w:hAnsi="Arial" w:cs="Arial"/>
                <w:lang w:val="it-IT"/>
              </w:rPr>
            </w:pPr>
            <w:r w:rsidRPr="008327F0">
              <w:rPr>
                <w:rFonts w:ascii="Arial" w:eastAsia="Calibri" w:hAnsi="Arial" w:cs="Arial"/>
                <w:lang w:val="it-IT"/>
              </w:rPr>
              <w:t>792,78</w:t>
            </w:r>
          </w:p>
        </w:tc>
      </w:tr>
      <w:tr w:rsidR="008327F0" w:rsidRPr="008327F0" w:rsidTr="00B8293F">
        <w:trPr>
          <w:trHeight w:val="359"/>
          <w:jc w:val="center"/>
        </w:trPr>
        <w:tc>
          <w:tcPr>
            <w:tcW w:w="2468" w:type="dxa"/>
            <w:shd w:val="clear" w:color="auto" w:fill="auto"/>
            <w:vAlign w:val="center"/>
          </w:tcPr>
          <w:p w:rsidR="008327F0" w:rsidRPr="008327F0" w:rsidRDefault="008327F0" w:rsidP="008327F0">
            <w:pPr>
              <w:spacing w:after="0" w:line="240" w:lineRule="auto"/>
              <w:jc w:val="center"/>
              <w:rPr>
                <w:rFonts w:ascii="Arial" w:eastAsia="Calibri" w:hAnsi="Arial" w:cs="Arial"/>
                <w:b/>
              </w:rPr>
            </w:pPr>
            <w:r w:rsidRPr="008327F0">
              <w:rPr>
                <w:rFonts w:ascii="Arial" w:eastAsia="Calibri" w:hAnsi="Arial" w:cs="Arial"/>
                <w:b/>
              </w:rPr>
              <w:t>Substanțe exractibile</w:t>
            </w:r>
          </w:p>
        </w:tc>
        <w:tc>
          <w:tcPr>
            <w:tcW w:w="2937" w:type="dxa"/>
            <w:shd w:val="clear" w:color="auto" w:fill="auto"/>
            <w:vAlign w:val="center"/>
          </w:tcPr>
          <w:p w:rsidR="008327F0" w:rsidRPr="008327F0" w:rsidRDefault="008327F0" w:rsidP="008327F0">
            <w:pPr>
              <w:spacing w:after="0" w:line="240" w:lineRule="auto"/>
              <w:jc w:val="center"/>
              <w:rPr>
                <w:rFonts w:ascii="Arial" w:eastAsia="Calibri" w:hAnsi="Arial" w:cs="Arial"/>
                <w:lang w:val="it-IT"/>
              </w:rPr>
            </w:pPr>
            <w:r w:rsidRPr="008327F0">
              <w:rPr>
                <w:rFonts w:ascii="Arial" w:eastAsia="Calibri" w:hAnsi="Arial" w:cs="Arial"/>
                <w:lang w:val="it-IT"/>
              </w:rPr>
              <w:t>3462,10</w:t>
            </w:r>
          </w:p>
        </w:tc>
      </w:tr>
    </w:tbl>
    <w:p w:rsidR="008327F0" w:rsidRPr="008327F0" w:rsidRDefault="008327F0" w:rsidP="008327F0">
      <w:pPr>
        <w:spacing w:before="120" w:after="120" w:line="240" w:lineRule="auto"/>
        <w:ind w:left="810" w:hanging="810"/>
        <w:jc w:val="both"/>
        <w:rPr>
          <w:rFonts w:ascii="Arial" w:eastAsia="Calibri" w:hAnsi="Arial" w:cs="Arial"/>
          <w:i/>
          <w:iCs/>
          <w:color w:val="000000"/>
          <w:sz w:val="24"/>
          <w:szCs w:val="24"/>
          <w:lang w:eastAsia="ro-RO"/>
        </w:rPr>
      </w:pPr>
      <w:r w:rsidRPr="008327F0">
        <w:rPr>
          <w:rFonts w:ascii="Arial" w:eastAsia="Calibri" w:hAnsi="Arial" w:cs="Arial"/>
          <w:i/>
          <w:iCs/>
          <w:color w:val="000000"/>
          <w:sz w:val="24"/>
          <w:szCs w:val="24"/>
          <w:lang w:eastAsia="ro-RO"/>
        </w:rPr>
        <w:t>(Sursa: Administraţia Naţională “Apele Române”, Sinteza calităţii apelor din România în anul 2021)</w:t>
      </w:r>
    </w:p>
    <w:p w:rsidR="008327F0" w:rsidRPr="008327F0" w:rsidRDefault="008327F0" w:rsidP="008327F0">
      <w:pPr>
        <w:spacing w:before="120" w:after="120" w:line="240" w:lineRule="auto"/>
        <w:rPr>
          <w:rFonts w:ascii="Calibri" w:eastAsia="Calibri" w:hAnsi="Calibri" w:cs="Times New Roman"/>
          <w:noProof/>
          <w:lang w:val="en-GB" w:eastAsia="en-GB"/>
        </w:rPr>
      </w:pPr>
    </w:p>
    <w:p w:rsidR="008327F0" w:rsidRPr="008327F0" w:rsidRDefault="008327F0" w:rsidP="008327F0">
      <w:pPr>
        <w:spacing w:after="0" w:line="240" w:lineRule="auto"/>
        <w:ind w:firstLine="567"/>
        <w:jc w:val="both"/>
        <w:rPr>
          <w:rFonts w:ascii="Arial" w:eastAsia="Calibri" w:hAnsi="Arial" w:cs="Arial"/>
          <w:b/>
          <w:bCs/>
          <w:sz w:val="24"/>
          <w:szCs w:val="24"/>
          <w:u w:val="single"/>
        </w:rPr>
      </w:pPr>
      <w:r w:rsidRPr="008327F0">
        <w:rPr>
          <w:rFonts w:ascii="Arial" w:eastAsia="Calibri" w:hAnsi="Arial" w:cs="Arial"/>
          <w:b/>
          <w:bCs/>
          <w:sz w:val="24"/>
          <w:szCs w:val="24"/>
          <w:u w:val="single"/>
        </w:rPr>
        <w:t xml:space="preserve">Nivelul de colectare și epurare a apelor uzate urbane </w:t>
      </w:r>
    </w:p>
    <w:p w:rsidR="008327F0" w:rsidRPr="008327F0" w:rsidRDefault="008327F0" w:rsidP="008327F0">
      <w:pPr>
        <w:spacing w:after="0" w:line="240" w:lineRule="auto"/>
        <w:ind w:firstLine="567"/>
        <w:jc w:val="both"/>
        <w:rPr>
          <w:rFonts w:ascii="Arial" w:eastAsia="Calibri" w:hAnsi="Arial" w:cs="Arial"/>
          <w:sz w:val="24"/>
          <w:szCs w:val="24"/>
          <w:lang w:val="it-IT"/>
        </w:rPr>
      </w:pPr>
    </w:p>
    <w:p w:rsidR="008327F0" w:rsidRPr="008327F0" w:rsidRDefault="008327F0" w:rsidP="008327F0">
      <w:pPr>
        <w:spacing w:after="0" w:line="240" w:lineRule="auto"/>
        <w:ind w:firstLine="567"/>
        <w:jc w:val="both"/>
        <w:rPr>
          <w:rFonts w:ascii="Arial" w:eastAsia="Calibri" w:hAnsi="Arial" w:cs="Arial"/>
          <w:sz w:val="24"/>
          <w:szCs w:val="24"/>
          <w:lang w:val="it-IT"/>
        </w:rPr>
      </w:pPr>
      <w:r w:rsidRPr="008327F0">
        <w:rPr>
          <w:rFonts w:ascii="Arial" w:eastAsia="Calibri" w:hAnsi="Arial" w:cs="Arial"/>
          <w:sz w:val="24"/>
          <w:szCs w:val="24"/>
          <w:lang w:val="it-IT"/>
        </w:rPr>
        <w:t xml:space="preserve">Apele uzate menajere şi industriale exercită o presiune semnificativă asupra mediului acvatic, datorită încărcărilor cu materii organice, nutrienţi şi substanţe periculoase. Având în vedere procentul mare al populaţiei care locuieşte în aglomerări urbane, o parte semnificativă a apelor uzate este colectată prin intermediul sistemelor de canalizare şi transportate la staţiile de epurare. Nivelul de epurare, înainte de evacuare, şi starea apelor receptoare determină intensitatea impactului asupra ecosistemelor acvatice. </w:t>
      </w:r>
    </w:p>
    <w:p w:rsidR="008327F0" w:rsidRPr="008327F0" w:rsidRDefault="008327F0" w:rsidP="008327F0">
      <w:pPr>
        <w:spacing w:before="120" w:after="120" w:line="240" w:lineRule="auto"/>
        <w:ind w:firstLine="567"/>
        <w:jc w:val="both"/>
        <w:rPr>
          <w:rFonts w:ascii="Arial" w:eastAsia="Calibri" w:hAnsi="Arial" w:cs="Arial"/>
          <w:sz w:val="24"/>
          <w:szCs w:val="24"/>
          <w:lang w:val="it-IT"/>
        </w:rPr>
      </w:pPr>
      <w:r w:rsidRPr="008327F0">
        <w:rPr>
          <w:rFonts w:ascii="Arial" w:eastAsia="Calibri" w:hAnsi="Arial" w:cs="Arial"/>
          <w:sz w:val="24"/>
          <w:szCs w:val="24"/>
          <w:lang w:val="it-IT"/>
        </w:rPr>
        <w:t xml:space="preserve">Respectarea prevederilor Directivei privind epurarea apelor uzate urbane (91/271/CEE), modificată şi completată de Directiva 98/15/EC în 27 februarie 1998, respectiv a tipurilor de  procese de epurare aplicate, sunt considerate indicatori reprezentativi pentru nivelul de îndepărtare a poluanților din apele uzate şi pentru îmbunătăţirea potenţială a mediului acvatic. </w:t>
      </w:r>
    </w:p>
    <w:p w:rsidR="008327F0" w:rsidRPr="008327F0" w:rsidRDefault="008327F0" w:rsidP="008327F0">
      <w:pPr>
        <w:spacing w:before="120" w:after="120" w:line="240" w:lineRule="auto"/>
        <w:ind w:firstLine="567"/>
        <w:jc w:val="both"/>
        <w:rPr>
          <w:rFonts w:ascii="Arial" w:eastAsia="Calibri" w:hAnsi="Arial" w:cs="Arial"/>
          <w:sz w:val="24"/>
          <w:szCs w:val="24"/>
          <w:lang w:val="it-IT"/>
        </w:rPr>
      </w:pPr>
      <w:r w:rsidRPr="008327F0">
        <w:rPr>
          <w:rFonts w:ascii="Arial" w:eastAsia="Calibri" w:hAnsi="Arial" w:cs="Arial"/>
          <w:sz w:val="24"/>
          <w:szCs w:val="24"/>
          <w:lang w:val="it-IT"/>
        </w:rPr>
        <w:lastRenderedPageBreak/>
        <w:t>Progresul politicilor aplicate pentru reducerea poluării mediului acvatic cauzată de evacuarea apelor uzate se poate evidenția prin tendinţele şi procentul de populaţie conectată la staţiile de epurare (primare, secundare şi terţiare) a apelor uzate orăşeneşti.</w:t>
      </w:r>
    </w:p>
    <w:p w:rsidR="008327F0" w:rsidRPr="008327F0" w:rsidRDefault="008327F0" w:rsidP="008327F0">
      <w:pPr>
        <w:autoSpaceDE w:val="0"/>
        <w:autoSpaceDN w:val="0"/>
        <w:adjustRightInd w:val="0"/>
        <w:spacing w:before="120" w:after="120" w:line="240" w:lineRule="auto"/>
        <w:ind w:firstLine="567"/>
        <w:jc w:val="both"/>
        <w:rPr>
          <w:rFonts w:ascii="Arial" w:eastAsia="Calibri" w:hAnsi="Arial" w:cs="Arial"/>
          <w:i/>
          <w:sz w:val="24"/>
          <w:szCs w:val="24"/>
        </w:rPr>
      </w:pPr>
      <w:r w:rsidRPr="008327F0">
        <w:rPr>
          <w:rFonts w:ascii="Arial" w:eastAsia="Calibri" w:hAnsi="Arial" w:cs="Arial"/>
          <w:sz w:val="24"/>
          <w:szCs w:val="24"/>
        </w:rPr>
        <w:t xml:space="preserve">Potrivit Institutului Național de Statistică, în anul 2021, un număr de 11.012.187 locuitori aveau locuinţele conectate la sistemele de canalizare, aceştia reprezentând cca. 57,4% din populaţia României. În ceea ce priveşte epurarea apelor uzate, populaţia cu locuinţele conectate la sistemele de canalizare prevăzute cu staţii de epurare a fost de 10.792.650 persoane, reprezentând cca. 56,2% din populaţia ţării. De asemenea, gradele de racordare al populaţiei la sistemele de colectare şi epurare a apelor uzate diferențiate pe nivele de epurare sunt prezentate în </w:t>
      </w:r>
      <w:r w:rsidRPr="008327F0">
        <w:rPr>
          <w:rFonts w:ascii="Arial" w:eastAsia="Calibri" w:hAnsi="Arial" w:cs="Arial"/>
          <w:i/>
          <w:sz w:val="24"/>
          <w:szCs w:val="24"/>
        </w:rPr>
        <w:t xml:space="preserve">Figura II.2.2.2.3.  </w:t>
      </w:r>
    </w:p>
    <w:p w:rsidR="008327F0" w:rsidRPr="008327F0" w:rsidRDefault="008327F0" w:rsidP="008327F0">
      <w:pPr>
        <w:autoSpaceDE w:val="0"/>
        <w:autoSpaceDN w:val="0"/>
        <w:adjustRightInd w:val="0"/>
        <w:spacing w:before="120" w:after="120" w:line="240" w:lineRule="auto"/>
        <w:ind w:firstLine="567"/>
        <w:jc w:val="both"/>
        <w:rPr>
          <w:rFonts w:ascii="Arial" w:eastAsia="Calibri" w:hAnsi="Arial" w:cs="Arial"/>
          <w:sz w:val="24"/>
          <w:szCs w:val="24"/>
          <w:lang w:val="it-IT"/>
        </w:rPr>
      </w:pPr>
      <w:r w:rsidRPr="008327F0">
        <w:rPr>
          <w:rFonts w:ascii="Arial" w:eastAsia="Calibri" w:hAnsi="Arial" w:cs="Arial"/>
          <w:sz w:val="24"/>
          <w:szCs w:val="24"/>
        </w:rPr>
        <w:t>Evoluţia gradului de racordare al populaţiei la sistemele de colectare şi epurare a apelor uzate în funcție de tipul procesului de epurare aplicat (</w:t>
      </w:r>
      <w:r w:rsidRPr="008327F0">
        <w:rPr>
          <w:rFonts w:ascii="Arial" w:eastAsia="Calibri" w:hAnsi="Arial" w:cs="Arial"/>
          <w:i/>
          <w:iCs/>
          <w:sz w:val="24"/>
          <w:szCs w:val="24"/>
        </w:rPr>
        <w:t xml:space="preserve">Figura </w:t>
      </w:r>
      <w:r w:rsidRPr="008327F0">
        <w:rPr>
          <w:rFonts w:ascii="Arial" w:eastAsia="Calibri" w:hAnsi="Arial" w:cs="Arial"/>
          <w:i/>
          <w:sz w:val="24"/>
          <w:szCs w:val="24"/>
        </w:rPr>
        <w:t>II.2.2.2.4</w:t>
      </w:r>
      <w:r w:rsidRPr="008327F0">
        <w:rPr>
          <w:rFonts w:ascii="Arial" w:eastAsia="Calibri" w:hAnsi="Arial" w:cs="Arial"/>
          <w:i/>
          <w:iCs/>
          <w:sz w:val="24"/>
          <w:szCs w:val="24"/>
        </w:rPr>
        <w:t>)</w:t>
      </w:r>
      <w:r w:rsidRPr="008327F0">
        <w:rPr>
          <w:rFonts w:ascii="Arial" w:eastAsia="Calibri" w:hAnsi="Arial" w:cs="Arial"/>
          <w:sz w:val="24"/>
          <w:szCs w:val="24"/>
        </w:rPr>
        <w:t xml:space="preserve"> indică o creștere constantă a numărului populației care beneficiază de servicii de apă uzată, consecință a extinderii și construirii infrastructurii aferente. Se observă că în ultima perioadă a crescut îndeosebi proporția de sisteme de colectare cu epurare terțiară. </w:t>
      </w:r>
      <w:r w:rsidRPr="008327F0">
        <w:rPr>
          <w:rFonts w:ascii="Arial" w:eastAsia="Calibri" w:hAnsi="Arial" w:cs="Arial"/>
          <w:sz w:val="24"/>
          <w:szCs w:val="24"/>
          <w:lang w:val="it-IT"/>
        </w:rPr>
        <w:t xml:space="preserve">Epurarea primară (mecanică) înlătură o parte a materiilor solide în suspensie (cca. 40-70%), în timp ce epurarea secundară (biologică) utilizează micro-organisme aerobe şi/sau anaerobe pentru a descompune o mare parte a substanţelor organice (cca. 50-80%), a îndepărta amoniul (cca. 75%) şi pentru a reţine o parte din nutrienţi (cca. 20-30%). Epurarea terţiară (avansată) înlătură eficient materiile organice, compuşii cu fosfor şi compuşii cu azot. </w:t>
      </w:r>
    </w:p>
    <w:p w:rsidR="008327F0" w:rsidRPr="008327F0" w:rsidRDefault="008327F0" w:rsidP="008327F0">
      <w:pPr>
        <w:spacing w:before="120" w:after="120" w:line="240" w:lineRule="auto"/>
        <w:ind w:firstLine="567"/>
        <w:jc w:val="both"/>
        <w:rPr>
          <w:rFonts w:ascii="Arial" w:eastAsia="Calibri" w:hAnsi="Arial" w:cs="Arial"/>
          <w:sz w:val="24"/>
          <w:szCs w:val="24"/>
          <w:lang w:val="it-IT"/>
        </w:rPr>
      </w:pPr>
      <w:r w:rsidRPr="008327F0">
        <w:rPr>
          <w:rFonts w:ascii="Arial" w:eastAsia="Calibri" w:hAnsi="Arial" w:cs="Arial"/>
          <w:sz w:val="24"/>
          <w:szCs w:val="24"/>
          <w:lang w:val="it-IT"/>
        </w:rPr>
        <w:t xml:space="preserve">De asemenea, eficienţa programelor naţionale privind epurarea apelor uzate, eficienţa politicilor existente de reducere a evacuărilor de nutrienţi şi substanţe organice se evaluează prin stadiul implementării cerinţelor Directivei 91/271/CEE privind epurarea apelor uzate, modificată prin Directiva  98/15/CE. Ţintele propuse pentru implementarea prevederilor Directivei 91/271/CEE , 98/15/CE şi 2000/60/CE sunt: </w:t>
      </w:r>
    </w:p>
    <w:p w:rsidR="008327F0" w:rsidRPr="008327F0" w:rsidRDefault="008327F0" w:rsidP="008327F0">
      <w:pPr>
        <w:numPr>
          <w:ilvl w:val="1"/>
          <w:numId w:val="30"/>
        </w:numPr>
        <w:spacing w:after="0" w:line="240" w:lineRule="auto"/>
        <w:ind w:left="284" w:hanging="284"/>
        <w:jc w:val="both"/>
        <w:rPr>
          <w:rFonts w:ascii="Arial" w:eastAsia="Calibri" w:hAnsi="Arial" w:cs="Arial"/>
          <w:sz w:val="24"/>
          <w:szCs w:val="24"/>
          <w:lang w:val="it-IT"/>
        </w:rPr>
      </w:pPr>
      <w:r w:rsidRPr="008327F0">
        <w:rPr>
          <w:rFonts w:ascii="Arial" w:eastAsia="Calibri" w:hAnsi="Arial" w:cs="Arial"/>
          <w:sz w:val="24"/>
          <w:szCs w:val="24"/>
          <w:lang w:val="it-IT"/>
        </w:rPr>
        <w:t xml:space="preserve">creşterea gradului de racordare al aglomerărilor umane cu mai mult de 2.000 l.e. la sistemele de canalizare prin extinderea reţelelor de canalizare (de la 69,1% din locuitorii echivalenţi racordaţi în 2013, până la 80,2% în 2015 şi 100% în 2018); </w:t>
      </w:r>
    </w:p>
    <w:p w:rsidR="008327F0" w:rsidRPr="008327F0" w:rsidRDefault="008327F0" w:rsidP="008327F0">
      <w:pPr>
        <w:numPr>
          <w:ilvl w:val="1"/>
          <w:numId w:val="30"/>
        </w:numPr>
        <w:spacing w:after="0" w:line="240" w:lineRule="auto"/>
        <w:ind w:left="284" w:hanging="284"/>
        <w:jc w:val="both"/>
        <w:rPr>
          <w:rFonts w:ascii="Arial" w:eastAsia="Calibri" w:hAnsi="Arial" w:cs="Arial"/>
          <w:sz w:val="24"/>
          <w:szCs w:val="24"/>
          <w:lang w:val="it-IT"/>
        </w:rPr>
      </w:pPr>
      <w:r w:rsidRPr="008327F0">
        <w:rPr>
          <w:rFonts w:ascii="Arial" w:eastAsia="Calibri" w:hAnsi="Arial" w:cs="Arial"/>
          <w:sz w:val="24"/>
          <w:szCs w:val="24"/>
          <w:lang w:val="it-IT"/>
        </w:rPr>
        <w:t>creşterea gradului de racordare al aglomerărilor umane cu mai mult de 2.000 l.e. la sistemele de epurare prin construirea de noi staţii de epurare a apelor uzate şi prin reabilitarea și modernizarea celor existente, pentru a realiza o acoperire de 60,6% l.e. în 2013, 76,7% l.e. în 2015 şi 100% l.e. în 2018.</w:t>
      </w:r>
    </w:p>
    <w:p w:rsidR="008327F0" w:rsidRPr="008327F0" w:rsidRDefault="008327F0" w:rsidP="008327F0">
      <w:pPr>
        <w:spacing w:after="0" w:line="240" w:lineRule="auto"/>
        <w:jc w:val="both"/>
        <w:rPr>
          <w:rFonts w:ascii="Arial" w:eastAsia="Calibri" w:hAnsi="Arial" w:cs="Arial"/>
          <w:sz w:val="24"/>
          <w:szCs w:val="24"/>
          <w:lang w:val="it-IT"/>
        </w:rPr>
      </w:pPr>
    </w:p>
    <w:p w:rsidR="008327F0" w:rsidRPr="008327F0" w:rsidRDefault="008327F0" w:rsidP="008327F0">
      <w:pPr>
        <w:spacing w:after="0" w:line="240" w:lineRule="auto"/>
        <w:jc w:val="both"/>
        <w:rPr>
          <w:rFonts w:ascii="Arial" w:eastAsia="Calibri" w:hAnsi="Arial" w:cs="Arial"/>
          <w:b/>
          <w:bCs/>
          <w:i/>
          <w:iCs/>
          <w:sz w:val="24"/>
          <w:szCs w:val="24"/>
        </w:rPr>
      </w:pPr>
      <w:r w:rsidRPr="008327F0">
        <w:rPr>
          <w:rFonts w:ascii="Arial" w:eastAsia="Calibri" w:hAnsi="Arial" w:cs="Arial"/>
          <w:sz w:val="24"/>
          <w:szCs w:val="24"/>
          <w:lang w:val="it-IT"/>
        </w:rPr>
        <w:t>Se precizeaz</w:t>
      </w:r>
      <w:r w:rsidRPr="008327F0">
        <w:rPr>
          <w:rFonts w:ascii="Arial" w:eastAsia="Calibri" w:hAnsi="Arial" w:cs="Arial"/>
          <w:sz w:val="24"/>
          <w:szCs w:val="24"/>
        </w:rPr>
        <w:t xml:space="preserve">ă faptul că </w:t>
      </w:r>
      <w:r w:rsidRPr="008327F0">
        <w:rPr>
          <w:rFonts w:ascii="Arial" w:eastAsia="Calibri" w:hAnsi="Arial" w:cs="Arial"/>
          <w:b/>
          <w:bCs/>
          <w:sz w:val="24"/>
          <w:szCs w:val="24"/>
        </w:rPr>
        <w:t>noțiunea de „locuitor-echivalent”</w:t>
      </w:r>
      <w:r w:rsidRPr="008327F0">
        <w:rPr>
          <w:rFonts w:ascii="Arial" w:eastAsia="Calibri" w:hAnsi="Arial" w:cs="Arial"/>
          <w:sz w:val="24"/>
          <w:szCs w:val="24"/>
        </w:rPr>
        <w:t xml:space="preserve"> este un termen specific al Directivei 91/271/CEE privind epurarea apelor uzate care reprezintă unitatea de măsura pentru poluarea biodegradabilă şi stabileşte dimensiunea poluării provenită de la o aglomerare umană, respectiv poluarea rezultată atât de populație, cât și de la activitățile industriale care evacuează ape uzate în rețeaua de canalizare a aglomerării. Astfel </w:t>
      </w:r>
      <w:r w:rsidRPr="008327F0">
        <w:rPr>
          <w:rFonts w:ascii="Arial" w:eastAsia="Calibri" w:hAnsi="Arial" w:cs="Arial"/>
          <w:b/>
          <w:bCs/>
          <w:i/>
          <w:iCs/>
          <w:sz w:val="24"/>
          <w:szCs w:val="24"/>
        </w:rPr>
        <w:t>„un locuitor echivalent (l.e.) înseamnă încărcarea organică biodegradabilă cu un  consum biochimic de oxigen în cinci zile (CBO</w:t>
      </w:r>
      <w:r w:rsidRPr="008327F0">
        <w:rPr>
          <w:rFonts w:ascii="Arial" w:eastAsia="Calibri" w:hAnsi="Arial" w:cs="Arial"/>
          <w:b/>
          <w:bCs/>
          <w:i/>
          <w:iCs/>
          <w:sz w:val="24"/>
          <w:szCs w:val="24"/>
          <w:vertAlign w:val="subscript"/>
        </w:rPr>
        <w:t>5</w:t>
      </w:r>
      <w:r w:rsidRPr="008327F0">
        <w:rPr>
          <w:rFonts w:ascii="Arial" w:eastAsia="Calibri" w:hAnsi="Arial" w:cs="Arial"/>
          <w:b/>
          <w:bCs/>
          <w:i/>
          <w:iCs/>
          <w:sz w:val="24"/>
          <w:szCs w:val="24"/>
        </w:rPr>
        <w:t xml:space="preserve">) de 60 de grame de oxigen pe zi; </w:t>
      </w:r>
    </w:p>
    <w:p w:rsidR="008327F0" w:rsidRPr="008327F0" w:rsidRDefault="008327F0" w:rsidP="008327F0">
      <w:pPr>
        <w:spacing w:after="0" w:line="240" w:lineRule="auto"/>
        <w:jc w:val="both"/>
        <w:rPr>
          <w:rFonts w:ascii="Arial" w:eastAsia="Calibri" w:hAnsi="Arial" w:cs="Arial"/>
          <w:b/>
          <w:bCs/>
          <w:i/>
          <w:iCs/>
          <w:sz w:val="24"/>
          <w:szCs w:val="24"/>
        </w:rPr>
      </w:pPr>
      <w:r w:rsidRPr="008327F0">
        <w:rPr>
          <w:rFonts w:ascii="Arial" w:eastAsia="Calibri" w:hAnsi="Arial" w:cs="Arial"/>
          <w:b/>
          <w:bCs/>
          <w:i/>
          <w:iCs/>
          <w:sz w:val="24"/>
          <w:szCs w:val="24"/>
        </w:rPr>
        <w:t>se exprimă ca media acelei poluări produsă de o persoană într-o zi.</w:t>
      </w:r>
    </w:p>
    <w:p w:rsidR="008327F0" w:rsidRPr="008327F0" w:rsidRDefault="008327F0" w:rsidP="008327F0">
      <w:pPr>
        <w:spacing w:after="0" w:line="240" w:lineRule="auto"/>
        <w:jc w:val="both"/>
        <w:rPr>
          <w:rFonts w:ascii="Arial" w:eastAsia="Times New Roman" w:hAnsi="Arial" w:cs="Arial"/>
          <w:b/>
          <w:bCs/>
          <w:sz w:val="24"/>
          <w:szCs w:val="24"/>
          <w:lang w:eastAsia="ro-RO"/>
        </w:rPr>
      </w:pPr>
    </w:p>
    <w:p w:rsidR="008327F0" w:rsidRPr="008327F0" w:rsidRDefault="008327F0" w:rsidP="008327F0">
      <w:pPr>
        <w:spacing w:after="0" w:line="240" w:lineRule="auto"/>
        <w:jc w:val="both"/>
        <w:rPr>
          <w:rFonts w:ascii="Arial" w:eastAsia="Times New Roman" w:hAnsi="Arial" w:cs="Arial"/>
          <w:b/>
          <w:bCs/>
          <w:sz w:val="24"/>
          <w:szCs w:val="24"/>
          <w:lang w:eastAsia="ro-RO"/>
        </w:rPr>
      </w:pPr>
    </w:p>
    <w:p w:rsidR="008327F0" w:rsidRPr="008327F0" w:rsidRDefault="008327F0" w:rsidP="008327F0">
      <w:pPr>
        <w:spacing w:after="0" w:line="240" w:lineRule="auto"/>
        <w:jc w:val="both"/>
        <w:rPr>
          <w:rFonts w:ascii="Arial" w:eastAsia="Times New Roman" w:hAnsi="Arial" w:cs="Arial"/>
          <w:b/>
          <w:bCs/>
          <w:sz w:val="24"/>
          <w:szCs w:val="24"/>
          <w:lang w:eastAsia="ro-RO"/>
        </w:rPr>
      </w:pPr>
    </w:p>
    <w:p w:rsidR="008327F0" w:rsidRPr="008327F0" w:rsidRDefault="008327F0" w:rsidP="008327F0">
      <w:pPr>
        <w:spacing w:after="0" w:line="240" w:lineRule="auto"/>
        <w:jc w:val="both"/>
        <w:rPr>
          <w:rFonts w:ascii="Arial" w:eastAsia="Times New Roman" w:hAnsi="Arial" w:cs="Arial"/>
          <w:b/>
          <w:bCs/>
          <w:sz w:val="24"/>
          <w:szCs w:val="24"/>
          <w:lang w:eastAsia="ro-RO"/>
        </w:rPr>
      </w:pPr>
    </w:p>
    <w:p w:rsidR="008327F0" w:rsidRPr="008327F0" w:rsidRDefault="008327F0" w:rsidP="008327F0">
      <w:pPr>
        <w:spacing w:after="0" w:line="240" w:lineRule="auto"/>
        <w:jc w:val="both"/>
        <w:rPr>
          <w:rFonts w:ascii="Arial" w:eastAsia="Times New Roman" w:hAnsi="Arial" w:cs="Arial"/>
          <w:b/>
          <w:bCs/>
          <w:sz w:val="24"/>
          <w:szCs w:val="24"/>
          <w:lang w:eastAsia="ro-RO"/>
        </w:rPr>
      </w:pPr>
    </w:p>
    <w:p w:rsidR="008327F0" w:rsidRPr="008327F0" w:rsidRDefault="008327F0" w:rsidP="008327F0">
      <w:pPr>
        <w:spacing w:after="0" w:line="240" w:lineRule="auto"/>
        <w:jc w:val="both"/>
        <w:rPr>
          <w:rFonts w:ascii="Arial" w:eastAsia="Times New Roman" w:hAnsi="Arial" w:cs="Arial"/>
          <w:b/>
          <w:bCs/>
          <w:sz w:val="24"/>
          <w:szCs w:val="24"/>
          <w:lang w:eastAsia="ro-RO"/>
        </w:rPr>
      </w:pPr>
    </w:p>
    <w:p w:rsidR="008327F0" w:rsidRDefault="008327F0" w:rsidP="008327F0">
      <w:pPr>
        <w:spacing w:after="0" w:line="240" w:lineRule="auto"/>
        <w:jc w:val="both"/>
        <w:rPr>
          <w:rFonts w:ascii="Arial" w:eastAsia="Times New Roman" w:hAnsi="Arial" w:cs="Arial"/>
          <w:b/>
          <w:bCs/>
          <w:sz w:val="24"/>
          <w:szCs w:val="24"/>
          <w:lang w:eastAsia="ro-RO"/>
        </w:rPr>
      </w:pPr>
    </w:p>
    <w:p w:rsidR="00822C3C" w:rsidRDefault="00822C3C" w:rsidP="008327F0">
      <w:pPr>
        <w:spacing w:after="0" w:line="240" w:lineRule="auto"/>
        <w:jc w:val="both"/>
        <w:rPr>
          <w:rFonts w:ascii="Arial" w:eastAsia="Times New Roman" w:hAnsi="Arial" w:cs="Arial"/>
          <w:b/>
          <w:bCs/>
          <w:sz w:val="24"/>
          <w:szCs w:val="24"/>
          <w:lang w:eastAsia="ro-RO"/>
        </w:rPr>
      </w:pPr>
    </w:p>
    <w:p w:rsidR="00822C3C" w:rsidRPr="008327F0" w:rsidRDefault="00822C3C" w:rsidP="008327F0">
      <w:pPr>
        <w:spacing w:after="0" w:line="240" w:lineRule="auto"/>
        <w:jc w:val="both"/>
        <w:rPr>
          <w:rFonts w:ascii="Arial" w:eastAsia="Times New Roman" w:hAnsi="Arial" w:cs="Arial"/>
          <w:b/>
          <w:bCs/>
          <w:sz w:val="24"/>
          <w:szCs w:val="24"/>
          <w:lang w:eastAsia="ro-RO"/>
        </w:rPr>
      </w:pPr>
    </w:p>
    <w:p w:rsidR="008327F0" w:rsidRPr="008327F0" w:rsidRDefault="008327F0" w:rsidP="008327F0">
      <w:pPr>
        <w:spacing w:after="0" w:line="240" w:lineRule="auto"/>
        <w:jc w:val="both"/>
        <w:rPr>
          <w:rFonts w:ascii="Arial" w:eastAsia="Calibri" w:hAnsi="Arial" w:cs="Arial"/>
          <w:b/>
          <w:bCs/>
          <w:i/>
          <w:iCs/>
          <w:sz w:val="24"/>
          <w:szCs w:val="24"/>
        </w:rPr>
      </w:pPr>
      <w:r w:rsidRPr="008327F0">
        <w:rPr>
          <w:rFonts w:ascii="Arial" w:eastAsia="Times New Roman" w:hAnsi="Arial" w:cs="Arial"/>
          <w:b/>
          <w:bCs/>
          <w:sz w:val="24"/>
          <w:szCs w:val="24"/>
          <w:lang w:eastAsia="ro-RO"/>
        </w:rPr>
        <w:lastRenderedPageBreak/>
        <w:t>Gradul de racordare al populației la sisteme de colectare și epurare a apelor uzate</w:t>
      </w:r>
      <w:r w:rsidRPr="008327F0">
        <w:rPr>
          <w:rFonts w:ascii="Arial" w:eastAsia="Times New Roman" w:hAnsi="Arial" w:cs="Arial"/>
          <w:b/>
          <w:bCs/>
          <w:sz w:val="24"/>
          <w:szCs w:val="24"/>
          <w:shd w:val="clear" w:color="auto" w:fill="FFFFFF"/>
          <w:lang w:eastAsia="ro-RO"/>
        </w:rPr>
        <w:t xml:space="preserve">, </w:t>
      </w:r>
      <w:r w:rsidRPr="008327F0">
        <w:rPr>
          <w:rFonts w:ascii="Arial" w:eastAsia="Times New Roman" w:hAnsi="Arial" w:cs="Arial"/>
          <w:b/>
          <w:bCs/>
          <w:sz w:val="24"/>
          <w:szCs w:val="24"/>
          <w:shd w:val="clear" w:color="auto" w:fill="FFFFFF"/>
          <w:lang w:val="en-US" w:eastAsia="ro-RO"/>
        </w:rPr>
        <w:t>în anul 2021</w:t>
      </w:r>
      <w:r w:rsidRPr="008327F0">
        <w:rPr>
          <w:rFonts w:ascii="Arial" w:eastAsia="Calibri" w:hAnsi="Arial" w:cs="Arial"/>
          <w:b/>
          <w:bCs/>
          <w:i/>
          <w:iCs/>
          <w:sz w:val="24"/>
          <w:szCs w:val="24"/>
        </w:rPr>
        <w:t xml:space="preserve"> </w:t>
      </w:r>
    </w:p>
    <w:p w:rsidR="008327F0" w:rsidRPr="008327F0" w:rsidRDefault="008327F0" w:rsidP="008327F0">
      <w:pPr>
        <w:spacing w:after="0" w:line="240" w:lineRule="auto"/>
        <w:jc w:val="both"/>
        <w:rPr>
          <w:rFonts w:ascii="Arial" w:eastAsia="Calibri" w:hAnsi="Arial" w:cs="Arial"/>
          <w:b/>
          <w:bCs/>
          <w:i/>
          <w:iCs/>
          <w:sz w:val="24"/>
          <w:szCs w:val="24"/>
        </w:rPr>
      </w:pPr>
    </w:p>
    <w:p w:rsidR="008327F0" w:rsidRPr="008327F0" w:rsidRDefault="008327F0" w:rsidP="008327F0">
      <w:pPr>
        <w:spacing w:after="0" w:line="240" w:lineRule="auto"/>
        <w:jc w:val="both"/>
        <w:rPr>
          <w:rFonts w:ascii="Arial" w:eastAsia="Calibri" w:hAnsi="Arial" w:cs="Arial"/>
          <w:b/>
          <w:bCs/>
          <w:i/>
          <w:iCs/>
          <w:sz w:val="24"/>
          <w:szCs w:val="24"/>
        </w:rPr>
      </w:pPr>
      <w:r w:rsidRPr="008327F0">
        <w:rPr>
          <w:rFonts w:ascii="Calibri" w:eastAsia="Calibri" w:hAnsi="Calibri" w:cs="Times New Roman"/>
          <w:noProof/>
          <w:lang w:eastAsia="ro-RO"/>
        </w:rPr>
        <w:drawing>
          <wp:inline distT="0" distB="0" distL="0" distR="0">
            <wp:extent cx="5528945" cy="354901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28945" cy="3549015"/>
                    </a:xfrm>
                    <a:prstGeom prst="rect">
                      <a:avLst/>
                    </a:prstGeom>
                    <a:noFill/>
                  </pic:spPr>
                </pic:pic>
              </a:graphicData>
            </a:graphic>
          </wp:inline>
        </w:drawing>
      </w:r>
    </w:p>
    <w:p w:rsidR="008327F0" w:rsidRPr="008327F0" w:rsidRDefault="008327F0" w:rsidP="008327F0">
      <w:pPr>
        <w:spacing w:after="0" w:line="240" w:lineRule="auto"/>
        <w:jc w:val="right"/>
        <w:rPr>
          <w:rFonts w:ascii="Arial" w:eastAsia="Calibri" w:hAnsi="Arial" w:cs="Arial"/>
          <w:b/>
          <w:bCs/>
          <w:i/>
          <w:iCs/>
          <w:sz w:val="24"/>
          <w:szCs w:val="24"/>
          <w:lang w:val="it-IT"/>
        </w:rPr>
      </w:pPr>
      <w:r w:rsidRPr="008327F0">
        <w:rPr>
          <w:rFonts w:ascii="Arial" w:eastAsia="Calibri" w:hAnsi="Arial" w:cs="Arial"/>
          <w:b/>
          <w:noProof/>
          <w:sz w:val="24"/>
          <w:szCs w:val="24"/>
          <w:lang w:eastAsia="ro-RO"/>
        </w:rPr>
        <w:t>Figura II. 2.2.2.3.</w:t>
      </w:r>
    </w:p>
    <w:p w:rsidR="008327F0" w:rsidRPr="008327F0" w:rsidRDefault="008327F0" w:rsidP="008327F0">
      <w:pPr>
        <w:spacing w:after="0" w:line="240" w:lineRule="auto"/>
        <w:rPr>
          <w:rFonts w:ascii="Arial" w:eastAsia="Calibri" w:hAnsi="Arial" w:cs="Arial"/>
          <w:i/>
          <w:noProof/>
          <w:sz w:val="18"/>
          <w:szCs w:val="18"/>
          <w:lang w:eastAsia="ro-RO"/>
        </w:rPr>
      </w:pPr>
      <w:r w:rsidRPr="008327F0">
        <w:rPr>
          <w:rFonts w:ascii="Arial" w:eastAsia="Calibri" w:hAnsi="Arial" w:cs="Arial"/>
          <w:i/>
          <w:noProof/>
          <w:sz w:val="18"/>
          <w:szCs w:val="18"/>
          <w:lang w:eastAsia="ro-RO"/>
        </w:rPr>
        <w:t>(Sursa</w:t>
      </w:r>
      <w:r w:rsidRPr="008327F0">
        <w:rPr>
          <w:rFonts w:ascii="Arial" w:eastAsia="Calibri" w:hAnsi="Arial" w:cs="Arial"/>
          <w:i/>
          <w:iCs/>
          <w:sz w:val="18"/>
          <w:szCs w:val="18"/>
          <w:lang w:eastAsia="ro-RO"/>
        </w:rPr>
        <w:t>:</w:t>
      </w:r>
      <w:r w:rsidRPr="008327F0">
        <w:rPr>
          <w:rFonts w:ascii="Arial" w:eastAsia="Calibri" w:hAnsi="Arial" w:cs="Arial"/>
          <w:i/>
          <w:noProof/>
          <w:sz w:val="18"/>
          <w:szCs w:val="18"/>
          <w:lang w:eastAsia="ro-RO"/>
        </w:rPr>
        <w:t xml:space="preserve"> Institutul Național de statistică, </w:t>
      </w:r>
      <w:hyperlink r:id="rId66" w:history="1">
        <w:r w:rsidRPr="008327F0">
          <w:rPr>
            <w:rFonts w:ascii="Arial" w:eastAsia="Calibri" w:hAnsi="Arial" w:cs="Arial"/>
            <w:i/>
            <w:noProof/>
            <w:sz w:val="18"/>
            <w:szCs w:val="18"/>
            <w:u w:val="single"/>
            <w:lang w:eastAsia="ro-RO"/>
          </w:rPr>
          <w:t>www.insse.ro</w:t>
        </w:r>
      </w:hyperlink>
      <w:r w:rsidRPr="008327F0">
        <w:rPr>
          <w:rFonts w:ascii="Arial" w:eastAsia="Calibri" w:hAnsi="Arial" w:cs="Arial"/>
          <w:i/>
          <w:noProof/>
          <w:sz w:val="18"/>
          <w:szCs w:val="18"/>
          <w:lang w:eastAsia="ro-RO"/>
        </w:rPr>
        <w:t>)</w:t>
      </w:r>
    </w:p>
    <w:p w:rsidR="008327F0" w:rsidRPr="008327F0" w:rsidRDefault="008327F0" w:rsidP="008327F0">
      <w:pPr>
        <w:spacing w:after="0" w:line="240" w:lineRule="auto"/>
        <w:rPr>
          <w:rFonts w:ascii="Arial" w:eastAsia="Calibri" w:hAnsi="Arial" w:cs="Arial"/>
          <w:i/>
          <w:noProof/>
          <w:sz w:val="18"/>
          <w:szCs w:val="18"/>
          <w:lang w:eastAsia="ro-RO"/>
        </w:rPr>
      </w:pPr>
    </w:p>
    <w:p w:rsidR="008327F0" w:rsidRPr="008327F0" w:rsidRDefault="008327F0" w:rsidP="008327F0">
      <w:pPr>
        <w:spacing w:after="0" w:line="240" w:lineRule="auto"/>
        <w:jc w:val="center"/>
        <w:rPr>
          <w:rFonts w:ascii="Arial" w:eastAsia="Calibri" w:hAnsi="Arial" w:cs="Arial"/>
          <w:b/>
          <w:noProof/>
          <w:sz w:val="24"/>
          <w:szCs w:val="24"/>
          <w:lang w:eastAsia="ro-RO"/>
        </w:rPr>
      </w:pPr>
    </w:p>
    <w:p w:rsidR="008327F0" w:rsidRPr="008327F0" w:rsidRDefault="008327F0" w:rsidP="008327F0">
      <w:pPr>
        <w:spacing w:after="0" w:line="240" w:lineRule="auto"/>
        <w:jc w:val="both"/>
        <w:rPr>
          <w:rFonts w:ascii="Arial" w:eastAsia="Calibri" w:hAnsi="Arial" w:cs="Arial"/>
          <w:b/>
          <w:bCs/>
          <w:i/>
          <w:iCs/>
          <w:sz w:val="24"/>
          <w:szCs w:val="24"/>
          <w:lang w:val="it-IT"/>
        </w:rPr>
      </w:pPr>
      <w:r w:rsidRPr="008327F0">
        <w:rPr>
          <w:rFonts w:ascii="Arial" w:eastAsia="Calibri" w:hAnsi="Arial" w:cs="Arial"/>
          <w:b/>
          <w:bCs/>
          <w:sz w:val="24"/>
          <w:szCs w:val="24"/>
        </w:rPr>
        <w:t>Evoluţia gradului de racordare al populaţiei la sistemele de colectare şi epurare a apelor uzate</w:t>
      </w:r>
    </w:p>
    <w:p w:rsidR="008327F0" w:rsidRPr="008327F0" w:rsidRDefault="008327F0" w:rsidP="008327F0">
      <w:pPr>
        <w:spacing w:after="0" w:line="240" w:lineRule="auto"/>
        <w:rPr>
          <w:rFonts w:ascii="Arial" w:eastAsia="Calibri" w:hAnsi="Arial" w:cs="Arial"/>
          <w:i/>
          <w:noProof/>
          <w:sz w:val="18"/>
          <w:szCs w:val="18"/>
          <w:lang w:eastAsia="ro-RO"/>
        </w:rPr>
      </w:pPr>
    </w:p>
    <w:p w:rsidR="008327F0" w:rsidRPr="008327F0" w:rsidRDefault="008327F0" w:rsidP="008327F0">
      <w:pPr>
        <w:spacing w:after="0" w:line="240" w:lineRule="auto"/>
        <w:jc w:val="both"/>
        <w:rPr>
          <w:rFonts w:ascii="Arial" w:eastAsia="Calibri" w:hAnsi="Arial" w:cs="Arial"/>
          <w:sz w:val="24"/>
          <w:szCs w:val="24"/>
        </w:rPr>
      </w:pPr>
      <w:r w:rsidRPr="008327F0">
        <w:rPr>
          <w:rFonts w:ascii="Arial" w:eastAsia="Calibri" w:hAnsi="Arial" w:cs="Arial"/>
          <w:noProof/>
          <w:sz w:val="24"/>
          <w:szCs w:val="24"/>
          <w:lang w:eastAsia="ro-RO"/>
        </w:rPr>
        <w:drawing>
          <wp:inline distT="0" distB="0" distL="0" distR="0">
            <wp:extent cx="5483860" cy="3311525"/>
            <wp:effectExtent l="0" t="0" r="2540" b="31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3860" cy="3311525"/>
                    </a:xfrm>
                    <a:prstGeom prst="rect">
                      <a:avLst/>
                    </a:prstGeom>
                    <a:noFill/>
                  </pic:spPr>
                </pic:pic>
              </a:graphicData>
            </a:graphic>
          </wp:inline>
        </w:drawing>
      </w:r>
    </w:p>
    <w:p w:rsidR="008327F0" w:rsidRPr="008327F0" w:rsidRDefault="008327F0" w:rsidP="008327F0">
      <w:pPr>
        <w:autoSpaceDE w:val="0"/>
        <w:autoSpaceDN w:val="0"/>
        <w:adjustRightInd w:val="0"/>
        <w:spacing w:after="0" w:line="240" w:lineRule="auto"/>
        <w:ind w:firstLine="567"/>
        <w:jc w:val="right"/>
        <w:rPr>
          <w:rFonts w:ascii="Arial" w:eastAsia="Calibri" w:hAnsi="Arial" w:cs="Arial"/>
          <w:sz w:val="24"/>
          <w:szCs w:val="24"/>
        </w:rPr>
      </w:pPr>
      <w:r w:rsidRPr="008327F0">
        <w:rPr>
          <w:rFonts w:ascii="Arial" w:eastAsia="Calibri" w:hAnsi="Arial" w:cs="Arial"/>
          <w:b/>
          <w:bCs/>
          <w:sz w:val="24"/>
          <w:szCs w:val="24"/>
        </w:rPr>
        <w:t>Figura II</w:t>
      </w:r>
      <w:r w:rsidRPr="008327F0">
        <w:rPr>
          <w:rFonts w:ascii="Arial" w:eastAsia="Calibri" w:hAnsi="Arial" w:cs="Arial"/>
          <w:b/>
          <w:bCs/>
          <w:sz w:val="24"/>
          <w:szCs w:val="24"/>
          <w:lang w:val="en-US"/>
        </w:rPr>
        <w:t xml:space="preserve">.2.2.2.4. </w:t>
      </w:r>
    </w:p>
    <w:p w:rsidR="008327F0" w:rsidRPr="008327F0" w:rsidRDefault="008327F0" w:rsidP="008327F0">
      <w:pPr>
        <w:spacing w:after="0" w:line="240" w:lineRule="auto"/>
        <w:rPr>
          <w:rFonts w:ascii="Arial" w:eastAsia="Times New Roman" w:hAnsi="Arial" w:cs="Arial"/>
          <w:b/>
          <w:bCs/>
          <w:sz w:val="18"/>
          <w:szCs w:val="18"/>
          <w:shd w:val="clear" w:color="auto" w:fill="FFFFFF"/>
          <w:lang w:val="en-US" w:eastAsia="ro-RO"/>
        </w:rPr>
      </w:pPr>
      <w:r w:rsidRPr="008327F0">
        <w:rPr>
          <w:rFonts w:ascii="Arial" w:eastAsia="Calibri" w:hAnsi="Arial" w:cs="Arial"/>
          <w:i/>
          <w:noProof/>
          <w:sz w:val="18"/>
          <w:szCs w:val="18"/>
          <w:lang w:eastAsia="ro-RO"/>
        </w:rPr>
        <w:t>(Sursa</w:t>
      </w:r>
      <w:r w:rsidRPr="008327F0">
        <w:rPr>
          <w:rFonts w:ascii="Arial" w:eastAsia="Calibri" w:hAnsi="Arial" w:cs="Arial"/>
          <w:i/>
          <w:iCs/>
          <w:sz w:val="18"/>
          <w:szCs w:val="18"/>
          <w:lang w:eastAsia="ro-RO"/>
        </w:rPr>
        <w:t>:</w:t>
      </w:r>
      <w:r w:rsidRPr="008327F0">
        <w:rPr>
          <w:rFonts w:ascii="Arial" w:eastAsia="Calibri" w:hAnsi="Arial" w:cs="Arial"/>
          <w:i/>
          <w:noProof/>
          <w:sz w:val="18"/>
          <w:szCs w:val="18"/>
          <w:lang w:eastAsia="ro-RO"/>
        </w:rPr>
        <w:t xml:space="preserve"> Institutul Național de statistică, www.insse.ro)</w:t>
      </w:r>
    </w:p>
    <w:p w:rsidR="008327F0" w:rsidRPr="008327F0" w:rsidRDefault="008327F0" w:rsidP="008327F0">
      <w:pPr>
        <w:autoSpaceDE w:val="0"/>
        <w:autoSpaceDN w:val="0"/>
        <w:adjustRightInd w:val="0"/>
        <w:spacing w:after="0" w:line="240" w:lineRule="auto"/>
        <w:rPr>
          <w:rFonts w:ascii="Arial" w:eastAsia="Calibri" w:hAnsi="Arial" w:cs="Arial"/>
          <w:sz w:val="24"/>
          <w:szCs w:val="24"/>
          <w:lang w:val="it-IT"/>
        </w:rPr>
      </w:pPr>
    </w:p>
    <w:p w:rsidR="008327F0" w:rsidRPr="008327F0" w:rsidRDefault="008327F0" w:rsidP="008327F0">
      <w:pPr>
        <w:spacing w:before="120" w:after="120" w:line="240" w:lineRule="auto"/>
        <w:ind w:firstLine="567"/>
        <w:jc w:val="both"/>
        <w:rPr>
          <w:rFonts w:ascii="Arial" w:eastAsia="Calibri" w:hAnsi="Arial" w:cs="Arial"/>
          <w:sz w:val="24"/>
          <w:szCs w:val="24"/>
          <w:lang w:val="it-IT"/>
        </w:rPr>
      </w:pPr>
      <w:r w:rsidRPr="008327F0">
        <w:rPr>
          <w:rFonts w:ascii="Arial" w:eastAsia="Calibri" w:hAnsi="Arial" w:cs="Arial"/>
          <w:sz w:val="24"/>
          <w:szCs w:val="24"/>
          <w:lang w:val="it-IT"/>
        </w:rPr>
        <w:lastRenderedPageBreak/>
        <w:t>În calitate de ţară membră a Uniunii Europene, România este obligată să îşi îmbunătăţească calitatea factorilor de mediu şi să îndeplinească cerinţele Acquis-ului european. În acest scop, România a adoptat o serie de Planuri şi Programe de acţiune atât la nivel naţional cât şi local, toate în concordanţă cu Documentul de Poziţie al României din Tratatul de Aderare, cap. 22, cele mai importante fiind: Programul Naţional de Reformă 2017, Planul de Dezvoltare Naţională, Planul de Dezvoltare Regională, Cadrul Strategic Naţional de referinţă pentru perioada de programare 2007-2013, Planul Național de implementare al Directivei 91/271/CEE privind epurarea apelor uzate orășenești, modificată prin Directiva 98/15/CE, Programul Național de Dezvoltare Rurală 2007-2013 și 2014-2020, Programul Operaţional Sectorial de Mediu 2007-2013,</w:t>
      </w:r>
      <w:r w:rsidRPr="008327F0">
        <w:rPr>
          <w:rFonts w:ascii="Helvetica" w:eastAsia="Calibri" w:hAnsi="Helvetica" w:cs="Helvetica"/>
          <w:sz w:val="21"/>
          <w:szCs w:val="21"/>
        </w:rPr>
        <w:t xml:space="preserve"> </w:t>
      </w:r>
      <w:r w:rsidRPr="008327F0">
        <w:rPr>
          <w:rFonts w:ascii="Arial" w:eastAsia="Calibri" w:hAnsi="Arial" w:cs="Arial"/>
          <w:sz w:val="24"/>
          <w:szCs w:val="24"/>
        </w:rPr>
        <w:t>Programul Operațional Infrastructura Mare 2014-2020 (POIM)</w:t>
      </w:r>
      <w:r w:rsidRPr="008327F0">
        <w:rPr>
          <w:rFonts w:ascii="Arial" w:eastAsia="Calibri" w:hAnsi="Arial" w:cs="Arial"/>
          <w:sz w:val="24"/>
          <w:szCs w:val="24"/>
          <w:lang w:val="it-IT"/>
        </w:rPr>
        <w:t>. De asemenea, la nivel regional au fost elaborate Planuri pentru Protecţia Mediului, iar la nivel local toţi agenţii economici au fost obligaţi să elaboreze şi să implementeze planuri de conformare.</w:t>
      </w:r>
    </w:p>
    <w:p w:rsidR="008327F0" w:rsidRPr="008327F0" w:rsidRDefault="008327F0" w:rsidP="008327F0">
      <w:pPr>
        <w:spacing w:before="120" w:after="120" w:line="240" w:lineRule="auto"/>
        <w:ind w:firstLine="567"/>
        <w:jc w:val="both"/>
        <w:rPr>
          <w:rFonts w:ascii="Arial" w:eastAsia="Calibri" w:hAnsi="Arial" w:cs="Arial"/>
          <w:sz w:val="24"/>
          <w:szCs w:val="24"/>
          <w:lang w:val="it-IT"/>
        </w:rPr>
      </w:pPr>
      <w:r w:rsidRPr="008327F0">
        <w:rPr>
          <w:rFonts w:ascii="Arial" w:eastAsia="Calibri" w:hAnsi="Arial" w:cs="Arial"/>
          <w:sz w:val="24"/>
          <w:szCs w:val="24"/>
          <w:lang w:val="it-IT"/>
        </w:rPr>
        <w:t>Directiva privind epurarea apelor uzate (91/271/CEE şi 98/15/CE) are ca scop protejarea mediului împotriva efectelor adverse ale evacuărilor de ape uzate urbane şi prevăd standarde/niveluri de epurare care trebuie atinse înainte de evacuarea acestor ape în receptori. În acest sens, directivele solicită statelor membre să asigure:</w:t>
      </w:r>
    </w:p>
    <w:p w:rsidR="008327F0" w:rsidRPr="008327F0" w:rsidRDefault="008327F0" w:rsidP="008327F0">
      <w:pPr>
        <w:spacing w:before="120" w:after="120" w:line="240" w:lineRule="auto"/>
        <w:ind w:left="284" w:hanging="284"/>
        <w:jc w:val="both"/>
        <w:rPr>
          <w:rFonts w:ascii="Arial" w:eastAsia="Calibri" w:hAnsi="Arial" w:cs="Arial"/>
          <w:sz w:val="24"/>
          <w:szCs w:val="24"/>
          <w:lang w:val="it-IT"/>
        </w:rPr>
      </w:pPr>
      <w:r w:rsidRPr="008327F0">
        <w:rPr>
          <w:rFonts w:ascii="Arial" w:eastAsia="Calibri" w:hAnsi="Arial" w:cs="Arial"/>
          <w:sz w:val="24"/>
          <w:szCs w:val="24"/>
          <w:lang w:val="it-IT"/>
        </w:rPr>
        <w:t>•</w:t>
      </w:r>
      <w:r w:rsidRPr="008327F0">
        <w:rPr>
          <w:rFonts w:ascii="Arial" w:eastAsia="Calibri" w:hAnsi="Arial" w:cs="Arial"/>
          <w:sz w:val="24"/>
          <w:szCs w:val="24"/>
          <w:lang w:val="it-IT"/>
        </w:rPr>
        <w:tab/>
        <w:t>sisteme de colectare şi epurare secundară pentru toate aglomerările cu peste 2.000 de locuitori echivalenţi (l.e.) care au evacuare directă în resursele de apă;</w:t>
      </w:r>
    </w:p>
    <w:p w:rsidR="008327F0" w:rsidRPr="008327F0" w:rsidRDefault="008327F0" w:rsidP="008327F0">
      <w:pPr>
        <w:spacing w:before="120" w:after="120" w:line="240" w:lineRule="auto"/>
        <w:ind w:left="284" w:hanging="284"/>
        <w:jc w:val="both"/>
        <w:rPr>
          <w:rFonts w:ascii="Arial" w:eastAsia="Calibri" w:hAnsi="Arial" w:cs="Arial"/>
          <w:sz w:val="24"/>
          <w:szCs w:val="24"/>
          <w:lang w:val="it-IT"/>
        </w:rPr>
      </w:pPr>
      <w:r w:rsidRPr="008327F0">
        <w:rPr>
          <w:rFonts w:ascii="Arial" w:eastAsia="Calibri" w:hAnsi="Arial" w:cs="Arial"/>
          <w:sz w:val="24"/>
          <w:szCs w:val="24"/>
          <w:lang w:val="it-IT"/>
        </w:rPr>
        <w:t>•</w:t>
      </w:r>
      <w:r w:rsidRPr="008327F0">
        <w:rPr>
          <w:rFonts w:ascii="Arial" w:eastAsia="Calibri" w:hAnsi="Arial" w:cs="Arial"/>
          <w:sz w:val="24"/>
          <w:szCs w:val="24"/>
          <w:lang w:val="it-IT"/>
        </w:rPr>
        <w:tab/>
        <w:t>sisteme de colectare şi epurare terţiară pentru toate aglomerările cu peste 10.000 l.e. care au evacuare în resursele de apă considerate zone sensibile.</w:t>
      </w:r>
    </w:p>
    <w:p w:rsidR="008327F0" w:rsidRPr="008327F0" w:rsidRDefault="008327F0" w:rsidP="008327F0">
      <w:pPr>
        <w:spacing w:before="120" w:after="120" w:line="240" w:lineRule="auto"/>
        <w:ind w:firstLine="567"/>
        <w:jc w:val="both"/>
        <w:rPr>
          <w:rFonts w:ascii="Arial" w:eastAsia="Calibri" w:hAnsi="Arial" w:cs="Arial"/>
          <w:sz w:val="24"/>
          <w:szCs w:val="24"/>
          <w:lang w:val="it-IT"/>
        </w:rPr>
      </w:pPr>
      <w:r w:rsidRPr="008327F0">
        <w:rPr>
          <w:rFonts w:ascii="Arial" w:eastAsia="Calibri" w:hAnsi="Arial" w:cs="Arial"/>
          <w:sz w:val="24"/>
          <w:szCs w:val="24"/>
          <w:lang w:val="it-IT"/>
        </w:rPr>
        <w:t>Având în vedere atât poziţionarea României în bazinul hidrografic al fluviului Dunărea şi bazinul Mării Negre, cât şi necesitatea protecţiei mediului în aceste zone, România a declarat întregul său teritoriu ca zonă sensibilă. Această decizie se concretizează în faptul că toate aglomerările cu mai mult de 10.000 locuitori echivalenţi trebuie să asigure o infrastructură pentru epurarea apelor uzate urbane care să permită epurarea avansată, mai ales în ceea ce priveşte nutrienţii (azot total şi fosfor total). În ceea ce priveşte epurarea secundară (treaptă biologică), aplicarea acesteia este o regulă generală pentru aglomerările mai mici de 10.000 locuitori echivalenţi.</w:t>
      </w:r>
    </w:p>
    <w:p w:rsidR="008327F0" w:rsidRPr="008327F0" w:rsidRDefault="008327F0" w:rsidP="008327F0">
      <w:pPr>
        <w:spacing w:before="120" w:after="120" w:line="240" w:lineRule="auto"/>
        <w:ind w:firstLine="567"/>
        <w:jc w:val="both"/>
        <w:rPr>
          <w:rFonts w:ascii="Arial" w:eastAsia="Calibri" w:hAnsi="Arial" w:cs="Arial"/>
          <w:sz w:val="24"/>
          <w:szCs w:val="24"/>
          <w:lang w:val="it-IT"/>
        </w:rPr>
      </w:pPr>
      <w:r w:rsidRPr="008327F0">
        <w:rPr>
          <w:rFonts w:ascii="Arial" w:eastAsia="Calibri" w:hAnsi="Arial" w:cs="Arial"/>
          <w:sz w:val="24"/>
          <w:szCs w:val="24"/>
          <w:lang w:val="it-IT"/>
        </w:rPr>
        <w:t>Diminuarea poluării generate de diverse surse punctiforme şi difuze (în principal urbane, industriale şi agricole) realizată ca urmare a implementării Directivelor privind epurarea apelor uzate urbane şi a Directivei IPPC/IED trebuie considerate parte integrantă a programelor de măsuri pentru atingerea obiectivelor de mediu prevăzute în Directiva Cadru a Apei (2000/60/CE), care are ca scop atingerea până în 2015 a stării chimice şi ecologice bune pentru toate corpurile de apă.</w:t>
      </w:r>
    </w:p>
    <w:p w:rsidR="008327F0" w:rsidRPr="008327F0" w:rsidRDefault="008327F0" w:rsidP="008327F0">
      <w:pPr>
        <w:spacing w:before="120" w:after="120" w:line="240" w:lineRule="auto"/>
        <w:ind w:firstLine="567"/>
        <w:jc w:val="both"/>
        <w:rPr>
          <w:rFonts w:ascii="Arial" w:eastAsia="Calibri" w:hAnsi="Arial" w:cs="Arial"/>
          <w:sz w:val="24"/>
          <w:szCs w:val="24"/>
          <w:lang w:val="it-IT"/>
        </w:rPr>
      </w:pPr>
      <w:r w:rsidRPr="008327F0">
        <w:rPr>
          <w:rFonts w:ascii="Arial" w:eastAsia="Calibri" w:hAnsi="Arial" w:cs="Arial"/>
          <w:sz w:val="24"/>
          <w:szCs w:val="24"/>
          <w:lang w:val="it-IT"/>
        </w:rPr>
        <w:t xml:space="preserve">Directiva privind epurarea apelor uzate a fost transpusă integral în legislaţia românească prin HG nr. 352/2005 privind modificarea şi completarea HG nr. 188/2002 pentru aprobarea unor norme privind condiţiile de descărcare în mediul acvatic a apelor uzate. Astfel, au fost introduse în legislaţia românească inclusiv cerinţele privind conformarea cu termenele de tranziţie negociate pentru sistemele de colectare şi epurare (asumate de România prin Tratatul de Aderare, Cap. 22 - Mediu, Calitatea apei), precum şi statutul de zonă sensibilă pentru întregul teritoriu al României. HG nr. 352/2005 include trei normative tehnice privind: colectarea, epurarea şi evacuarea apelor uzate orăşeneşti (NTPA 011), condiţiile de evacuare a apelor uzate în reţelele de canalizare ale localităţilor şi direct în staţiile de epurare (NTPA 002) şi limitele de încărcare cu poluanţi a apelor uzate industriale şi orăşeneşti la evacuarea în receptorii naturali (NTPA 001). </w:t>
      </w:r>
    </w:p>
    <w:p w:rsidR="008327F0" w:rsidRPr="008327F0" w:rsidRDefault="008327F0" w:rsidP="008327F0">
      <w:pPr>
        <w:spacing w:before="120" w:after="120" w:line="240" w:lineRule="auto"/>
        <w:ind w:firstLine="567"/>
        <w:jc w:val="both"/>
        <w:rPr>
          <w:rFonts w:ascii="Arial" w:eastAsia="Calibri" w:hAnsi="Arial" w:cs="Arial"/>
          <w:sz w:val="24"/>
          <w:szCs w:val="24"/>
          <w:lang w:val="it-IT"/>
        </w:rPr>
      </w:pPr>
      <w:r w:rsidRPr="008327F0">
        <w:rPr>
          <w:rFonts w:ascii="Arial" w:eastAsia="Calibri" w:hAnsi="Arial" w:cs="Arial"/>
          <w:sz w:val="24"/>
          <w:szCs w:val="24"/>
          <w:lang w:val="it-IT"/>
        </w:rPr>
        <w:t xml:space="preserve">Din datele Administrației Naționale “Apele Române”, referitoare la lucrările privind infrastructura de apă/apă uzată, la nivel naţional, nivelele de colectare şi epurare a încărcării organice biodegradabile (exprimat în %) din aglomerările umane cu mai mult </w:t>
      </w:r>
      <w:r w:rsidRPr="008327F0">
        <w:rPr>
          <w:rFonts w:ascii="Arial" w:eastAsia="Calibri" w:hAnsi="Arial" w:cs="Arial"/>
          <w:sz w:val="24"/>
          <w:szCs w:val="24"/>
          <w:lang w:val="it-IT"/>
        </w:rPr>
        <w:lastRenderedPageBreak/>
        <w:t xml:space="preserve">de 2.000 l.e. a crescut în ultimii ani. În anul 2020, valorile nivelelor de colectare şi epurare a încărcării organice biodegradabile au fost de 66.2% pentru colectarea apelor uzate, respectiv 63,6% pentru epurarea apelor uzate. </w:t>
      </w:r>
    </w:p>
    <w:p w:rsidR="008327F0" w:rsidRPr="008327F0" w:rsidRDefault="008327F0" w:rsidP="008327F0">
      <w:pPr>
        <w:autoSpaceDE w:val="0"/>
        <w:autoSpaceDN w:val="0"/>
        <w:adjustRightInd w:val="0"/>
        <w:spacing w:after="0" w:line="240" w:lineRule="auto"/>
        <w:ind w:firstLine="567"/>
        <w:jc w:val="both"/>
        <w:rPr>
          <w:rFonts w:ascii="Arial" w:eastAsia="Calibri" w:hAnsi="Arial" w:cs="Arial"/>
          <w:sz w:val="24"/>
          <w:szCs w:val="24"/>
          <w:lang w:eastAsia="ro-RO"/>
        </w:rPr>
      </w:pPr>
      <w:r w:rsidRPr="008327F0">
        <w:rPr>
          <w:rFonts w:ascii="Arial" w:eastAsia="Calibri" w:hAnsi="Arial" w:cs="Arial"/>
          <w:sz w:val="24"/>
          <w:szCs w:val="24"/>
          <w:lang w:eastAsia="ro-RO"/>
        </w:rPr>
        <w:t xml:space="preserve">Conform raportului realizat de Administraţia Naţională “Apele Române”, în aglomerările umane mai mari de 2000 l.e., gradul de racordare la sistemul de colectare a apelor uzate a înregistrat o creştere de cca. 26% la sfârşitul anului 2021 față de anul 2007 </w:t>
      </w:r>
      <w:r w:rsidRPr="008327F0">
        <w:rPr>
          <w:rFonts w:ascii="Arial" w:eastAsia="Calibri" w:hAnsi="Arial" w:cs="Arial"/>
          <w:i/>
          <w:sz w:val="24"/>
          <w:szCs w:val="24"/>
          <w:lang w:eastAsia="ro-RO"/>
        </w:rPr>
        <w:t>(Figura II.2.2.2.5).</w:t>
      </w:r>
      <w:r w:rsidRPr="008327F0">
        <w:rPr>
          <w:rFonts w:ascii="Arial" w:eastAsia="Calibri" w:hAnsi="Arial" w:cs="Arial"/>
          <w:sz w:val="24"/>
          <w:szCs w:val="24"/>
          <w:lang w:eastAsia="ro-RO"/>
        </w:rPr>
        <w:t xml:space="preserve"> În ceea ce privește gradul de conectare la staţiile de epurare urbane, acesta a crescut cu cca. 35% în perioada 2007- 2021.</w:t>
      </w:r>
    </w:p>
    <w:p w:rsidR="008327F0" w:rsidRPr="008327F0" w:rsidRDefault="008327F0" w:rsidP="008327F0">
      <w:pPr>
        <w:autoSpaceDE w:val="0"/>
        <w:autoSpaceDN w:val="0"/>
        <w:adjustRightInd w:val="0"/>
        <w:spacing w:after="0" w:line="240" w:lineRule="auto"/>
        <w:jc w:val="both"/>
        <w:rPr>
          <w:rFonts w:ascii="Arial" w:eastAsia="Calibri" w:hAnsi="Arial" w:cs="Arial"/>
          <w:sz w:val="24"/>
          <w:szCs w:val="24"/>
          <w:lang w:eastAsia="ro-RO"/>
        </w:rPr>
      </w:pPr>
    </w:p>
    <w:p w:rsidR="008327F0" w:rsidRPr="008327F0" w:rsidRDefault="008327F0" w:rsidP="008327F0">
      <w:pPr>
        <w:autoSpaceDE w:val="0"/>
        <w:autoSpaceDN w:val="0"/>
        <w:adjustRightInd w:val="0"/>
        <w:spacing w:after="0" w:line="240" w:lineRule="auto"/>
        <w:jc w:val="both"/>
        <w:rPr>
          <w:rFonts w:ascii="Arial" w:eastAsia="Calibri" w:hAnsi="Arial" w:cs="Arial"/>
          <w:b/>
          <w:sz w:val="24"/>
          <w:szCs w:val="24"/>
          <w:lang w:eastAsia="ro-RO"/>
        </w:rPr>
      </w:pPr>
      <w:r w:rsidRPr="008327F0">
        <w:rPr>
          <w:rFonts w:ascii="Arial" w:eastAsia="Calibri" w:hAnsi="Arial" w:cs="Arial"/>
          <w:b/>
          <w:sz w:val="24"/>
          <w:szCs w:val="24"/>
          <w:lang w:eastAsia="ro-RO"/>
        </w:rPr>
        <w:t>Evoluția nivelelor de colectare și epurare (%) a încărcărilor organice biodegradabile (l.e.) a apelor uzate  la nivel național în perioda  2007-2021</w:t>
      </w:r>
    </w:p>
    <w:p w:rsidR="008327F0" w:rsidRPr="008327F0" w:rsidRDefault="008327F0" w:rsidP="008327F0">
      <w:pPr>
        <w:autoSpaceDE w:val="0"/>
        <w:autoSpaceDN w:val="0"/>
        <w:adjustRightInd w:val="0"/>
        <w:spacing w:after="0" w:line="240" w:lineRule="auto"/>
        <w:jc w:val="both"/>
        <w:rPr>
          <w:rFonts w:ascii="Arial" w:eastAsia="Calibri" w:hAnsi="Arial" w:cs="Arial"/>
          <w:sz w:val="24"/>
          <w:szCs w:val="24"/>
          <w:lang w:eastAsia="ro-RO"/>
        </w:rPr>
      </w:pPr>
    </w:p>
    <w:p w:rsidR="008327F0" w:rsidRPr="008327F0" w:rsidRDefault="008327F0" w:rsidP="008327F0">
      <w:pPr>
        <w:autoSpaceDE w:val="0"/>
        <w:autoSpaceDN w:val="0"/>
        <w:adjustRightInd w:val="0"/>
        <w:spacing w:after="0" w:line="240" w:lineRule="auto"/>
        <w:jc w:val="center"/>
        <w:rPr>
          <w:rFonts w:ascii="Arial" w:eastAsia="Calibri" w:hAnsi="Arial" w:cs="Arial"/>
          <w:b/>
          <w:sz w:val="24"/>
          <w:szCs w:val="24"/>
          <w:lang w:eastAsia="ro-RO"/>
        </w:rPr>
      </w:pPr>
      <w:r w:rsidRPr="008327F0">
        <w:rPr>
          <w:rFonts w:ascii="Arial" w:eastAsia="Calibri" w:hAnsi="Arial" w:cs="Arial"/>
          <w:b/>
          <w:noProof/>
          <w:sz w:val="24"/>
          <w:szCs w:val="24"/>
          <w:lang w:eastAsia="ro-RO"/>
        </w:rPr>
        <w:drawing>
          <wp:inline distT="0" distB="0" distL="0" distR="0">
            <wp:extent cx="5776595" cy="314388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76595" cy="3143885"/>
                    </a:xfrm>
                    <a:prstGeom prst="rect">
                      <a:avLst/>
                    </a:prstGeom>
                    <a:noFill/>
                  </pic:spPr>
                </pic:pic>
              </a:graphicData>
            </a:graphic>
          </wp:inline>
        </w:drawing>
      </w:r>
    </w:p>
    <w:p w:rsidR="008327F0" w:rsidRPr="008327F0" w:rsidRDefault="008327F0" w:rsidP="008327F0">
      <w:pPr>
        <w:autoSpaceDE w:val="0"/>
        <w:autoSpaceDN w:val="0"/>
        <w:adjustRightInd w:val="0"/>
        <w:spacing w:after="0" w:line="240" w:lineRule="auto"/>
        <w:jc w:val="right"/>
        <w:rPr>
          <w:rFonts w:ascii="Arial" w:eastAsia="Calibri" w:hAnsi="Arial" w:cs="Arial"/>
          <w:b/>
          <w:sz w:val="20"/>
          <w:szCs w:val="20"/>
          <w:lang w:eastAsia="ro-RO"/>
        </w:rPr>
      </w:pPr>
      <w:r w:rsidRPr="008327F0">
        <w:rPr>
          <w:rFonts w:ascii="Arial" w:eastAsia="Calibri" w:hAnsi="Arial" w:cs="Arial"/>
          <w:b/>
          <w:sz w:val="24"/>
          <w:szCs w:val="24"/>
          <w:lang w:eastAsia="ro-RO"/>
        </w:rPr>
        <w:t xml:space="preserve">Figura II.2.2.2.5. </w:t>
      </w:r>
    </w:p>
    <w:p w:rsidR="008327F0" w:rsidRPr="008327F0" w:rsidRDefault="008327F0" w:rsidP="008327F0">
      <w:pPr>
        <w:spacing w:after="0" w:line="240" w:lineRule="auto"/>
        <w:jc w:val="both"/>
        <w:rPr>
          <w:rFonts w:ascii="Arial" w:eastAsia="Calibri" w:hAnsi="Arial" w:cs="Arial"/>
          <w:i/>
          <w:iCs/>
          <w:sz w:val="20"/>
          <w:szCs w:val="20"/>
          <w:lang w:eastAsia="ro-RO"/>
        </w:rPr>
      </w:pPr>
      <w:r w:rsidRPr="008327F0">
        <w:rPr>
          <w:rFonts w:ascii="Arial" w:eastAsia="Calibri" w:hAnsi="Arial" w:cs="Arial"/>
          <w:i/>
          <w:iCs/>
          <w:sz w:val="20"/>
          <w:szCs w:val="20"/>
          <w:lang w:eastAsia="ro-RO"/>
        </w:rPr>
        <w:t>(Sursa: Administraţia Naţională “Apele Române”, raport „Stadiul realizării lucrărilor pentru epurarea apelor uzate urbane şi a capacităţilor în execuţie şi puse în funcţiune pentru aglomerări umane”)</w:t>
      </w:r>
    </w:p>
    <w:p w:rsidR="008327F0" w:rsidRPr="008327F0" w:rsidRDefault="008327F0" w:rsidP="008327F0">
      <w:pPr>
        <w:spacing w:after="0" w:line="240" w:lineRule="auto"/>
        <w:jc w:val="both"/>
        <w:rPr>
          <w:rFonts w:ascii="Arial" w:eastAsia="Calibri" w:hAnsi="Arial" w:cs="Arial"/>
          <w:i/>
          <w:iCs/>
          <w:sz w:val="20"/>
          <w:szCs w:val="20"/>
          <w:lang w:eastAsia="ro-RO"/>
        </w:rPr>
      </w:pPr>
    </w:p>
    <w:p w:rsidR="008327F0" w:rsidRPr="008327F0" w:rsidRDefault="008327F0" w:rsidP="008327F0">
      <w:pPr>
        <w:spacing w:after="0" w:line="240" w:lineRule="auto"/>
        <w:jc w:val="both"/>
        <w:rPr>
          <w:rFonts w:ascii="Arial" w:eastAsia="Calibri" w:hAnsi="Arial" w:cs="Arial"/>
          <w:sz w:val="24"/>
          <w:szCs w:val="24"/>
          <w:lang w:val="it-IT"/>
        </w:rPr>
      </w:pPr>
    </w:p>
    <w:p w:rsidR="008327F0" w:rsidRPr="008327F0" w:rsidRDefault="008327F0" w:rsidP="008327F0">
      <w:pPr>
        <w:spacing w:after="0" w:line="240" w:lineRule="auto"/>
        <w:jc w:val="both"/>
        <w:rPr>
          <w:rFonts w:ascii="Arial" w:eastAsia="Calibri" w:hAnsi="Arial" w:cs="Arial"/>
          <w:sz w:val="24"/>
          <w:szCs w:val="24"/>
          <w:lang w:val="it-IT"/>
        </w:rPr>
      </w:pPr>
      <w:r w:rsidRPr="008327F0">
        <w:rPr>
          <w:rFonts w:ascii="Arial" w:eastAsia="Calibri" w:hAnsi="Arial" w:cs="Arial"/>
          <w:sz w:val="24"/>
          <w:szCs w:val="24"/>
          <w:lang w:val="it-IT"/>
        </w:rPr>
        <w:t xml:space="preserve">Se observă o creștere a nivelelor naționale de colectare și epurare față de anul 2020 care are ca principală cauză redelimitarea aglomerărilor umane în baza unei noi metodologii elaborată în cadrul unui proiect național finanțat din fonduri europene („Îmbunătățirea capacității autorității publice centrale în domeniul managementului apelor în ceea ce privește planificarea, implementarea și raportarea cerințelor europene din domeniul apelor”, finanțat prin Programul Operațional Capacitate Administrativă 2014-20 (SIPOCA 588).  Rezultatele proiectului au avut în vedere, în primul rând, rezolvarea situației de infringement, acțiune declanșată de Comisia Europeana în constatarea neîndeplinirii obligațiilor ce revin României, ca stat membru UE, în temeiul articolelor 3, 4, 5, 10, 15 și secțiunilor A, B și D din anexa I la Directiva 91/271/CEE privind epurarea apelor uzate urbane. Aceasta acțiune este legată atât de implementarea prevederilor Directivei 91/271/EEC precum și de îmbunătățirea calității resurselor de apă prin reducerea poluării datorate descărcărilor de ape uzate neepurate provenite din aglomerările umane. De asemenea, aceste rezultate iau în considerare interdependența funcțională dintre alimentarea cu apa potabila și canalizarea, epurarea apelor uzate urbane si necesitatea unei planificări corelate a sistemelor de apă - canal. De asemenea, o altă cauză este modificarea numărului și dimensiunilor aglomerărilor, urmare a elaborării studiilor de </w:t>
      </w:r>
      <w:r w:rsidRPr="008327F0">
        <w:rPr>
          <w:rFonts w:ascii="Arial" w:eastAsia="Calibri" w:hAnsi="Arial" w:cs="Arial"/>
          <w:sz w:val="24"/>
          <w:szCs w:val="24"/>
          <w:lang w:val="it-IT"/>
        </w:rPr>
        <w:lastRenderedPageBreak/>
        <w:t>fezabilitate pentru finanțare europeană în perioada 2014-2020. Astfel, modificarea nivelelor naționale de colectare și epurare are mai multe cauze, dintre care se menționează în principal:</w:t>
      </w:r>
    </w:p>
    <w:p w:rsidR="008327F0" w:rsidRPr="00822C3C" w:rsidRDefault="008327F0" w:rsidP="008327F0">
      <w:pPr>
        <w:numPr>
          <w:ilvl w:val="0"/>
          <w:numId w:val="34"/>
        </w:numPr>
        <w:tabs>
          <w:tab w:val="left" w:pos="270"/>
        </w:tabs>
        <w:spacing w:before="120" w:after="120" w:line="240" w:lineRule="auto"/>
        <w:ind w:left="270" w:hanging="270"/>
        <w:jc w:val="both"/>
        <w:rPr>
          <w:rFonts w:ascii="Arial" w:eastAsia="Calibri" w:hAnsi="Arial" w:cs="Arial"/>
          <w:sz w:val="24"/>
          <w:szCs w:val="24"/>
          <w:lang w:val="it-IT" w:eastAsia="ja-JP"/>
        </w:rPr>
      </w:pPr>
      <w:r w:rsidRPr="00822C3C">
        <w:rPr>
          <w:rFonts w:ascii="Arial" w:eastAsia="Calibri" w:hAnsi="Arial" w:cs="Arial"/>
          <w:b/>
          <w:sz w:val="24"/>
          <w:szCs w:val="24"/>
          <w:lang w:val="it-IT" w:eastAsia="ja-JP"/>
        </w:rPr>
        <w:t>modificarea numărului și dimensiunilor aglomerărilor</w:t>
      </w:r>
      <w:r w:rsidRPr="00822C3C">
        <w:rPr>
          <w:rFonts w:ascii="Arial" w:eastAsia="Calibri" w:hAnsi="Arial" w:cs="Arial"/>
          <w:sz w:val="24"/>
          <w:szCs w:val="24"/>
          <w:lang w:val="it-IT" w:eastAsia="ja-JP"/>
        </w:rPr>
        <w:t xml:space="preserve"> – se observă că numărul aglomerărilor mai mari de 2.000 l.e. a scăzut (de la 1815 în anul 2020 la 1136 în anul 2021), urmare a redelimitării aglomerărilor, pe baza reactualizării documentelor de planificare, respectiv: reactualizarea Planului național de implementare al Directivei 91/271/CEE privind epurarea apelor uzate urbane în urma căruia se va realiza o planificare a necesarului de infrastructură de apă uzată în vederea prioritizării finanțării lucrărilor, Master Planurile Județene și aplicațiilor de finanțare pentru realizarea lucrărilor necesare pentru realizarea sistemelor de colectare și epurare a apelor uzate din aglomerări umane; de asemenea, la actualizarea dimensiunii aglomer</w:t>
      </w:r>
      <w:r w:rsidRPr="00822C3C">
        <w:rPr>
          <w:rFonts w:ascii="Arial" w:eastAsia="Calibri" w:hAnsi="Arial" w:cs="Arial"/>
          <w:sz w:val="24"/>
          <w:szCs w:val="24"/>
          <w:lang w:eastAsia="ja-JP"/>
        </w:rPr>
        <w:t>ă</w:t>
      </w:r>
      <w:r w:rsidRPr="00822C3C">
        <w:rPr>
          <w:rFonts w:ascii="Arial" w:eastAsia="Calibri" w:hAnsi="Arial" w:cs="Arial"/>
          <w:sz w:val="24"/>
          <w:szCs w:val="24"/>
          <w:lang w:val="it-IT" w:eastAsia="ja-JP"/>
        </w:rPr>
        <w:t xml:space="preserve">rilor contribuie și scăderea numărului populației și a activităților economice, care a condus la modificarea încadrării aglomerărilor pe categorii de dimensiuni și implicit la modificarea numărului și dimensiunii acestora; </w:t>
      </w:r>
    </w:p>
    <w:p w:rsidR="008327F0" w:rsidRPr="00822C3C" w:rsidRDefault="008327F0" w:rsidP="008327F0">
      <w:pPr>
        <w:numPr>
          <w:ilvl w:val="0"/>
          <w:numId w:val="34"/>
        </w:numPr>
        <w:spacing w:before="120" w:after="120" w:line="240" w:lineRule="auto"/>
        <w:ind w:left="270" w:hanging="270"/>
        <w:jc w:val="both"/>
        <w:rPr>
          <w:rFonts w:ascii="Arial" w:eastAsia="Calibri" w:hAnsi="Arial" w:cs="Arial"/>
          <w:sz w:val="24"/>
          <w:szCs w:val="24"/>
          <w:lang w:val="it-IT" w:eastAsia="ja-JP"/>
        </w:rPr>
      </w:pPr>
      <w:r w:rsidRPr="00822C3C">
        <w:rPr>
          <w:rFonts w:ascii="Arial" w:eastAsia="Calibri" w:hAnsi="Arial" w:cs="Arial"/>
          <w:b/>
          <w:sz w:val="24"/>
          <w:szCs w:val="24"/>
          <w:lang w:val="it-IT" w:eastAsia="ja-JP"/>
        </w:rPr>
        <w:t>nivelul de încredere sc</w:t>
      </w:r>
      <w:r w:rsidRPr="00822C3C">
        <w:rPr>
          <w:rFonts w:ascii="Arial" w:eastAsia="Calibri" w:hAnsi="Arial" w:cs="Arial"/>
          <w:b/>
          <w:sz w:val="24"/>
          <w:szCs w:val="24"/>
          <w:lang w:eastAsia="ja-JP"/>
        </w:rPr>
        <w:t>ă</w:t>
      </w:r>
      <w:r w:rsidRPr="00822C3C">
        <w:rPr>
          <w:rFonts w:ascii="Arial" w:eastAsia="Calibri" w:hAnsi="Arial" w:cs="Arial"/>
          <w:b/>
          <w:sz w:val="24"/>
          <w:szCs w:val="24"/>
          <w:lang w:val="it-IT" w:eastAsia="ja-JP"/>
        </w:rPr>
        <w:t>zut al datelor și informațiilor transmise</w:t>
      </w:r>
      <w:r w:rsidRPr="00822C3C">
        <w:rPr>
          <w:rFonts w:ascii="Arial" w:eastAsia="Calibri" w:hAnsi="Arial" w:cs="Arial"/>
          <w:sz w:val="24"/>
          <w:szCs w:val="24"/>
          <w:lang w:val="it-IT" w:eastAsia="ja-JP"/>
        </w:rPr>
        <w:t>, datorat atât unor interpretări eronate ale cerințelor Directivei și a datelor solicitate pentru raportare, dar și a inconsecvenței informațiilor furnizate de către operatorii de servicii de apă și autoritățile locale; astfel, au fost identificate probleme serioase în interpretarea noțiunilor de aglomerare versus cluster, delimitarea și dimensiunea în locuitori echivalenți a aglomerărilor (confuzie între aglomerare și unitate administrativ teritorială), calculul gradului de conectare al locuitorilor echivalenți la sistemele centralizate de colectare și epurare (la calcularea gradului de conectare trebuie sa se ia în calcul nr. l.e. conectați efectiv la sistemul de canalizare și nu se ia in calcul rețeaua de canalizare realizată, și gradul se raportează la întreaga dimensiune a aglomerării). Aceste probleme au necesitat refacerea chestionarelor de colectarea datelor pentru raportare, în special a celor referitoare la aglomerările mai mari de 10.000 l.e., cu corecții conform recomandărilor reprezentanților Administrațiilor Bazinale de Apă. În condițiile în care la nivelul consultanților care fundamentează aplicațiile de finanțare nu este abordat corect modul de determinare a locuitorilor echivalenți, există o dinamică greu de înțeles în privința modificării localităților componente ale aglomerărilor. Acest lucru va avea implicații în permanență în evaluarea gradelor de colectare și epurare care va fi de regulă mai mic decât la raportările anterioare. În acest context, o metodologie aprobată pentru calculul locuitorilor echivalenți și pentru criterii de verificare a conformității privind colectarea epurarea și validarea datelor, ar fi utilă în surmontarea acestor probleme. În cadrul proiectului național menționat se dezvoltă o aplicație/platformă IT care va îmbunătăți procesul de colectare a datelor, precum și de procesarea și validarea informațiilor pentru raportările către Comisia Europeană și factorii de decizie naționali privind conformarea cu Directiva 91/271/CEE privind epurarea apelor uzate urbane</w:t>
      </w:r>
    </w:p>
    <w:p w:rsidR="008327F0" w:rsidRPr="00822C3C" w:rsidRDefault="008327F0" w:rsidP="008327F0">
      <w:pPr>
        <w:spacing w:after="0" w:line="240" w:lineRule="auto"/>
        <w:ind w:firstLine="720"/>
        <w:jc w:val="both"/>
        <w:rPr>
          <w:rFonts w:ascii="Arial" w:eastAsia="Calibri" w:hAnsi="Arial" w:cs="Arial"/>
          <w:sz w:val="24"/>
          <w:szCs w:val="24"/>
          <w:lang w:val="it-IT"/>
        </w:rPr>
      </w:pPr>
    </w:p>
    <w:p w:rsidR="008327F0" w:rsidRPr="00822C3C" w:rsidRDefault="008327F0" w:rsidP="008327F0">
      <w:pPr>
        <w:spacing w:after="0" w:line="240" w:lineRule="auto"/>
        <w:ind w:firstLine="720"/>
        <w:jc w:val="both"/>
        <w:rPr>
          <w:rFonts w:ascii="Arial" w:eastAsia="Calibri" w:hAnsi="Arial" w:cs="Arial"/>
          <w:bCs/>
          <w:sz w:val="24"/>
          <w:szCs w:val="24"/>
          <w:lang w:eastAsia="ro-RO"/>
        </w:rPr>
      </w:pPr>
      <w:r w:rsidRPr="00822C3C">
        <w:rPr>
          <w:rFonts w:ascii="Arial" w:eastAsia="Calibri" w:hAnsi="Arial" w:cs="Arial"/>
          <w:bCs/>
          <w:sz w:val="24"/>
          <w:szCs w:val="24"/>
          <w:lang w:eastAsia="ro-RO"/>
        </w:rPr>
        <w:t xml:space="preserve">În ceea ce privește profilul de activitate, majoritatea unităţilor agro-industriale se încadrează în domeniile de industrializare a cărnii şi laptelui, fabricarea băuturilor alcoolice, fabricarea produselor pe bază de legume şi fructe şi fabricarea şi îmbutelierea băuturilor nealcoolice </w:t>
      </w:r>
      <w:r w:rsidRPr="00822C3C">
        <w:rPr>
          <w:rFonts w:ascii="Arial" w:eastAsia="Calibri" w:hAnsi="Arial" w:cs="Arial"/>
          <w:bCs/>
          <w:i/>
          <w:sz w:val="24"/>
          <w:szCs w:val="24"/>
          <w:lang w:eastAsia="ro-RO"/>
        </w:rPr>
        <w:t xml:space="preserve">(Figura II.2.2.2.6). </w:t>
      </w:r>
      <w:r w:rsidRPr="00822C3C">
        <w:rPr>
          <w:rFonts w:ascii="Arial" w:eastAsia="Calibri" w:hAnsi="Arial" w:cs="Arial"/>
          <w:bCs/>
          <w:sz w:val="24"/>
          <w:szCs w:val="24"/>
          <w:lang w:eastAsia="ro-RO"/>
        </w:rPr>
        <w:t>Cea mai mare pondere procentuală a încărcării biodegradabile produsă de unităţile industriale agro-alimentare cu mai mult de 4000 l.e. la evacuare în resursele de apă a fost identificată pentru industria cărnii (cca.  52%) și industriei de prelucrarea laptelui (42%), iar unitățile din domeniul fabricării berii și îmbutelierea băuturilor nealcoolice fie sunt închise, fie şi-au redus foarte mult producţia (&lt;4.000 l.e.) sau și-au sistat activitatea.</w:t>
      </w:r>
    </w:p>
    <w:p w:rsidR="008327F0" w:rsidRPr="00822C3C" w:rsidRDefault="008327F0" w:rsidP="008327F0">
      <w:pPr>
        <w:autoSpaceDE w:val="0"/>
        <w:autoSpaceDN w:val="0"/>
        <w:adjustRightInd w:val="0"/>
        <w:spacing w:after="0" w:line="240" w:lineRule="auto"/>
        <w:ind w:firstLine="567"/>
        <w:jc w:val="both"/>
        <w:rPr>
          <w:rFonts w:ascii="Arial" w:eastAsia="Calibri" w:hAnsi="Arial" w:cs="Arial"/>
          <w:bCs/>
          <w:i/>
          <w:sz w:val="24"/>
          <w:szCs w:val="24"/>
          <w:lang w:eastAsia="ro-RO"/>
        </w:rPr>
      </w:pPr>
    </w:p>
    <w:p w:rsidR="008327F0" w:rsidRPr="00822C3C" w:rsidRDefault="008327F0" w:rsidP="008327F0">
      <w:pPr>
        <w:autoSpaceDE w:val="0"/>
        <w:autoSpaceDN w:val="0"/>
        <w:adjustRightInd w:val="0"/>
        <w:spacing w:after="0" w:line="240" w:lineRule="auto"/>
        <w:jc w:val="both"/>
        <w:rPr>
          <w:rFonts w:ascii="Arial" w:eastAsia="Calibri" w:hAnsi="Arial" w:cs="Arial"/>
          <w:b/>
          <w:sz w:val="24"/>
          <w:szCs w:val="24"/>
        </w:rPr>
      </w:pPr>
    </w:p>
    <w:p w:rsidR="008327F0" w:rsidRPr="00822C3C" w:rsidRDefault="008327F0" w:rsidP="008327F0">
      <w:pPr>
        <w:autoSpaceDE w:val="0"/>
        <w:autoSpaceDN w:val="0"/>
        <w:adjustRightInd w:val="0"/>
        <w:spacing w:after="0" w:line="240" w:lineRule="auto"/>
        <w:jc w:val="both"/>
        <w:rPr>
          <w:rFonts w:ascii="Arial" w:eastAsia="Calibri" w:hAnsi="Arial" w:cs="Arial"/>
          <w:b/>
          <w:sz w:val="24"/>
          <w:szCs w:val="24"/>
        </w:rPr>
      </w:pPr>
    </w:p>
    <w:p w:rsidR="008327F0" w:rsidRPr="00822C3C" w:rsidRDefault="008327F0" w:rsidP="008327F0">
      <w:pPr>
        <w:autoSpaceDE w:val="0"/>
        <w:autoSpaceDN w:val="0"/>
        <w:adjustRightInd w:val="0"/>
        <w:spacing w:after="0" w:line="240" w:lineRule="auto"/>
        <w:jc w:val="both"/>
        <w:rPr>
          <w:rFonts w:ascii="Arial" w:eastAsia="Calibri" w:hAnsi="Arial" w:cs="Arial"/>
          <w:b/>
          <w:sz w:val="24"/>
          <w:szCs w:val="24"/>
        </w:rPr>
      </w:pPr>
    </w:p>
    <w:p w:rsidR="008327F0" w:rsidRPr="00822C3C" w:rsidRDefault="008327F0" w:rsidP="008327F0">
      <w:pPr>
        <w:autoSpaceDE w:val="0"/>
        <w:autoSpaceDN w:val="0"/>
        <w:adjustRightInd w:val="0"/>
        <w:spacing w:after="0" w:line="240" w:lineRule="auto"/>
        <w:jc w:val="both"/>
        <w:rPr>
          <w:rFonts w:ascii="Arial" w:eastAsia="Calibri" w:hAnsi="Arial" w:cs="Arial"/>
          <w:b/>
          <w:sz w:val="24"/>
          <w:szCs w:val="24"/>
          <w:lang w:eastAsia="ro-RO"/>
        </w:rPr>
      </w:pPr>
      <w:r w:rsidRPr="00822C3C">
        <w:rPr>
          <w:rFonts w:ascii="Arial" w:eastAsia="Calibri" w:hAnsi="Arial" w:cs="Arial"/>
          <w:b/>
          <w:sz w:val="24"/>
          <w:szCs w:val="24"/>
        </w:rPr>
        <w:t xml:space="preserve">Ponderea </w:t>
      </w:r>
      <w:r w:rsidRPr="00822C3C">
        <w:rPr>
          <w:rFonts w:ascii="Arial" w:eastAsia="Calibri" w:hAnsi="Arial" w:cs="Arial"/>
          <w:b/>
          <w:sz w:val="24"/>
          <w:szCs w:val="24"/>
          <w:lang w:eastAsia="ro-RO"/>
        </w:rPr>
        <w:t>încărcării biodegradabile produsă de unităţile industriale agro-alimentare cu mai mult de 4000 l.e. la evacuare în resursele de apă</w:t>
      </w:r>
    </w:p>
    <w:p w:rsidR="008327F0" w:rsidRPr="00822C3C" w:rsidRDefault="008327F0" w:rsidP="008327F0">
      <w:pPr>
        <w:autoSpaceDE w:val="0"/>
        <w:autoSpaceDN w:val="0"/>
        <w:adjustRightInd w:val="0"/>
        <w:spacing w:after="0" w:line="240" w:lineRule="auto"/>
        <w:jc w:val="both"/>
        <w:rPr>
          <w:rFonts w:ascii="Arial" w:eastAsia="Calibri" w:hAnsi="Arial" w:cs="Arial"/>
          <w:bCs/>
          <w:i/>
          <w:sz w:val="24"/>
          <w:szCs w:val="24"/>
          <w:lang w:eastAsia="ro-RO"/>
        </w:rPr>
      </w:pPr>
    </w:p>
    <w:p w:rsidR="008327F0" w:rsidRPr="008327F0" w:rsidRDefault="008327F0" w:rsidP="008327F0">
      <w:pPr>
        <w:spacing w:after="0" w:line="240" w:lineRule="auto"/>
        <w:jc w:val="right"/>
        <w:rPr>
          <w:rFonts w:ascii="Calibri" w:eastAsia="Calibri" w:hAnsi="Calibri" w:cs="Times New Roman"/>
        </w:rPr>
      </w:pPr>
      <w:r w:rsidRPr="008327F0">
        <w:rPr>
          <w:rFonts w:ascii="Calibri" w:eastAsia="Calibri" w:hAnsi="Calibri" w:cs="Times New Roman"/>
          <w:noProof/>
          <w:lang w:eastAsia="ro-RO"/>
        </w:rPr>
        <w:drawing>
          <wp:inline distT="0" distB="0" distL="0" distR="0">
            <wp:extent cx="5334635" cy="3082925"/>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34635" cy="3082925"/>
                    </a:xfrm>
                    <a:prstGeom prst="rect">
                      <a:avLst/>
                    </a:prstGeom>
                    <a:noFill/>
                  </pic:spPr>
                </pic:pic>
              </a:graphicData>
            </a:graphic>
          </wp:inline>
        </w:drawing>
      </w:r>
    </w:p>
    <w:p w:rsidR="008327F0" w:rsidRPr="008327F0" w:rsidRDefault="008327F0" w:rsidP="008327F0">
      <w:pPr>
        <w:spacing w:after="0" w:line="240" w:lineRule="auto"/>
        <w:jc w:val="right"/>
        <w:rPr>
          <w:rFonts w:ascii="Arial" w:eastAsia="Calibri" w:hAnsi="Arial" w:cs="Arial"/>
          <w:i/>
          <w:iCs/>
          <w:sz w:val="24"/>
          <w:szCs w:val="24"/>
          <w:lang w:eastAsia="ro-RO"/>
        </w:rPr>
      </w:pPr>
      <w:r w:rsidRPr="008327F0">
        <w:rPr>
          <w:rFonts w:ascii="Arial" w:eastAsia="Calibri" w:hAnsi="Arial" w:cs="Arial"/>
          <w:b/>
          <w:sz w:val="24"/>
          <w:szCs w:val="24"/>
        </w:rPr>
        <w:t>Figura II.2.2.2.6.</w:t>
      </w:r>
    </w:p>
    <w:p w:rsidR="008327F0" w:rsidRPr="008327F0" w:rsidRDefault="008327F0" w:rsidP="008327F0">
      <w:pPr>
        <w:spacing w:after="0" w:line="240" w:lineRule="auto"/>
        <w:jc w:val="both"/>
        <w:rPr>
          <w:rFonts w:ascii="Arial" w:eastAsia="Calibri" w:hAnsi="Arial" w:cs="Arial"/>
          <w:i/>
          <w:iCs/>
          <w:sz w:val="24"/>
          <w:szCs w:val="24"/>
          <w:lang w:eastAsia="ro-RO"/>
        </w:rPr>
      </w:pPr>
      <w:r w:rsidRPr="008327F0">
        <w:rPr>
          <w:rFonts w:ascii="Arial" w:eastAsia="Calibri" w:hAnsi="Arial" w:cs="Arial"/>
          <w:i/>
          <w:iCs/>
          <w:sz w:val="24"/>
          <w:szCs w:val="24"/>
          <w:lang w:eastAsia="ro-RO"/>
        </w:rPr>
        <w:t>(</w:t>
      </w:r>
      <w:r w:rsidRPr="008327F0">
        <w:rPr>
          <w:rFonts w:ascii="Arial" w:eastAsia="Calibri" w:hAnsi="Arial" w:cs="Arial"/>
          <w:i/>
          <w:iCs/>
          <w:sz w:val="20"/>
          <w:szCs w:val="20"/>
          <w:lang w:eastAsia="ro-RO"/>
        </w:rPr>
        <w:t>Sursa: Administraţia Naţională “Apele Române”, raport „Stadiul realizării lucrărilor pentru epurarea apelor uzate urbane şi a capacităţilor în execuţie şi puse în funcţiune pentru aglomerări umane” în anul 2020</w:t>
      </w:r>
      <w:r w:rsidRPr="008327F0">
        <w:rPr>
          <w:rFonts w:ascii="Arial" w:eastAsia="Calibri" w:hAnsi="Arial" w:cs="Arial"/>
          <w:i/>
          <w:iCs/>
          <w:sz w:val="24"/>
          <w:szCs w:val="24"/>
          <w:lang w:eastAsia="ro-RO"/>
        </w:rPr>
        <w:t>)</w:t>
      </w:r>
    </w:p>
    <w:p w:rsidR="008327F0" w:rsidRPr="008327F0" w:rsidRDefault="008327F0" w:rsidP="008327F0">
      <w:pPr>
        <w:autoSpaceDE w:val="0"/>
        <w:autoSpaceDN w:val="0"/>
        <w:adjustRightInd w:val="0"/>
        <w:spacing w:after="0" w:line="240" w:lineRule="auto"/>
        <w:jc w:val="both"/>
        <w:rPr>
          <w:rFonts w:ascii="Arial" w:eastAsia="Calibri" w:hAnsi="Arial" w:cs="Arial"/>
          <w:sz w:val="24"/>
          <w:szCs w:val="24"/>
          <w:lang w:eastAsia="ro-RO"/>
        </w:rPr>
      </w:pPr>
      <w:r w:rsidRPr="008327F0">
        <w:rPr>
          <w:rFonts w:ascii="Arial" w:eastAsia="Calibri" w:hAnsi="Arial" w:cs="Arial"/>
          <w:b/>
          <w:sz w:val="24"/>
          <w:szCs w:val="24"/>
        </w:rPr>
        <w:t xml:space="preserve">   </w:t>
      </w:r>
    </w:p>
    <w:p w:rsidR="008327F0" w:rsidRPr="008327F0" w:rsidRDefault="008327F0" w:rsidP="008327F0">
      <w:pPr>
        <w:autoSpaceDE w:val="0"/>
        <w:autoSpaceDN w:val="0"/>
        <w:adjustRightInd w:val="0"/>
        <w:spacing w:after="0" w:line="240" w:lineRule="auto"/>
        <w:ind w:firstLine="567"/>
        <w:jc w:val="both"/>
        <w:rPr>
          <w:rFonts w:ascii="Arial" w:eastAsia="Calibri" w:hAnsi="Arial" w:cs="Arial"/>
          <w:sz w:val="24"/>
          <w:szCs w:val="24"/>
          <w:lang w:eastAsia="ro-RO"/>
        </w:rPr>
      </w:pPr>
      <w:r w:rsidRPr="008327F0">
        <w:rPr>
          <w:rFonts w:ascii="Arial" w:eastAsia="Calibri" w:hAnsi="Arial" w:cs="Arial"/>
          <w:sz w:val="24"/>
          <w:szCs w:val="24"/>
          <w:lang w:eastAsia="ro-RO"/>
        </w:rPr>
        <w:t>Implementarea cerinţelor Directivei 91/271/CEE privind epurarea apelor uzate urbane va conduce implicit şi la creşterea semnificativă a volumului de nămol rezultat de la staţiile de epurare a apelor uzate urbane. Din situația furnizată de Institutul Național de Statistică privind gestionarea nămolurilor din stațiile de epurare ubane la nivelul anului 2019  (</w:t>
      </w:r>
      <w:r w:rsidRPr="008327F0">
        <w:rPr>
          <w:rFonts w:ascii="Arial" w:eastAsia="Calibri" w:hAnsi="Arial" w:cs="Arial"/>
          <w:i/>
          <w:sz w:val="24"/>
          <w:szCs w:val="24"/>
          <w:lang w:eastAsia="ro-RO"/>
        </w:rPr>
        <w:t>Tabel II.2.2.2.5</w:t>
      </w:r>
      <w:r w:rsidRPr="008327F0">
        <w:rPr>
          <w:rFonts w:ascii="Arial" w:eastAsia="Calibri" w:hAnsi="Arial" w:cs="Arial"/>
          <w:sz w:val="24"/>
          <w:szCs w:val="24"/>
          <w:lang w:eastAsia="ro-RO"/>
        </w:rPr>
        <w:t>) se observă că, din cantitatea totală de nămol generată în stațiile de epurare cca. 18,89% a fost utilizată în agricultură.</w:t>
      </w:r>
    </w:p>
    <w:p w:rsidR="008327F0" w:rsidRPr="008327F0" w:rsidRDefault="008327F0" w:rsidP="008327F0">
      <w:pPr>
        <w:spacing w:after="0" w:line="240" w:lineRule="auto"/>
        <w:jc w:val="center"/>
        <w:rPr>
          <w:rFonts w:ascii="Arial" w:eastAsia="MS Mincho" w:hAnsi="Arial" w:cs="Arial"/>
          <w:b/>
          <w:sz w:val="24"/>
          <w:szCs w:val="24"/>
          <w:lang w:eastAsia="ja-JP"/>
        </w:rPr>
      </w:pPr>
    </w:p>
    <w:p w:rsidR="008327F0" w:rsidRPr="008327F0" w:rsidRDefault="008327F0" w:rsidP="008327F0">
      <w:pPr>
        <w:spacing w:after="0" w:line="240" w:lineRule="auto"/>
        <w:jc w:val="center"/>
        <w:rPr>
          <w:rFonts w:ascii="Arial" w:eastAsia="MS Mincho" w:hAnsi="Arial" w:cs="Arial"/>
          <w:b/>
          <w:sz w:val="24"/>
          <w:szCs w:val="24"/>
          <w:lang w:eastAsia="ja-JP"/>
        </w:rPr>
      </w:pPr>
      <w:r w:rsidRPr="008327F0">
        <w:rPr>
          <w:rFonts w:ascii="Arial" w:eastAsia="MS Mincho" w:hAnsi="Arial" w:cs="Arial"/>
          <w:b/>
          <w:sz w:val="24"/>
          <w:szCs w:val="24"/>
          <w:lang w:eastAsia="ja-JP"/>
        </w:rPr>
        <w:t xml:space="preserve">Utilizarea la nivel național a nămolului de la staţiile de epurare urbane </w:t>
      </w:r>
    </w:p>
    <w:p w:rsidR="008327F0" w:rsidRPr="008327F0" w:rsidRDefault="008327F0" w:rsidP="008327F0">
      <w:pPr>
        <w:spacing w:after="0" w:line="240" w:lineRule="auto"/>
        <w:jc w:val="center"/>
        <w:rPr>
          <w:rFonts w:ascii="Arial" w:eastAsia="MS Mincho" w:hAnsi="Arial" w:cs="Arial"/>
          <w:b/>
          <w:sz w:val="24"/>
          <w:szCs w:val="24"/>
          <w:lang w:eastAsia="ja-JP"/>
        </w:rPr>
      </w:pPr>
      <w:r w:rsidRPr="008327F0">
        <w:rPr>
          <w:rFonts w:ascii="Arial" w:eastAsia="MS Mincho" w:hAnsi="Arial" w:cs="Arial"/>
          <w:b/>
          <w:sz w:val="24"/>
          <w:szCs w:val="24"/>
          <w:lang w:eastAsia="ja-JP"/>
        </w:rPr>
        <w:t>în anul 2020</w:t>
      </w:r>
    </w:p>
    <w:tbl>
      <w:tblPr>
        <w:tblW w:w="3459" w:type="pct"/>
        <w:jc w:val="center"/>
        <w:tblLook w:val="04A0" w:firstRow="1" w:lastRow="0" w:firstColumn="1" w:lastColumn="0" w:noHBand="0" w:noVBand="1"/>
      </w:tblPr>
      <w:tblGrid>
        <w:gridCol w:w="4010"/>
        <w:gridCol w:w="2447"/>
      </w:tblGrid>
      <w:tr w:rsidR="008327F0" w:rsidRPr="008327F0" w:rsidTr="00B8293F">
        <w:trPr>
          <w:trHeight w:val="315"/>
          <w:jc w:val="center"/>
        </w:trPr>
        <w:tc>
          <w:tcPr>
            <w:tcW w:w="3105" w:type="pct"/>
            <w:tcBorders>
              <w:top w:val="single" w:sz="8" w:space="0" w:color="auto"/>
              <w:left w:val="single" w:sz="8" w:space="0" w:color="auto"/>
              <w:bottom w:val="single" w:sz="4" w:space="0" w:color="auto"/>
              <w:right w:val="single" w:sz="4" w:space="0" w:color="auto"/>
            </w:tcBorders>
            <w:shd w:val="clear" w:color="auto" w:fill="B6DDE8"/>
            <w:noWrap/>
            <w:vAlign w:val="center"/>
            <w:hideMark/>
          </w:tcPr>
          <w:p w:rsidR="008327F0" w:rsidRPr="008327F0" w:rsidRDefault="008327F0" w:rsidP="008327F0">
            <w:pPr>
              <w:autoSpaceDE w:val="0"/>
              <w:autoSpaceDN w:val="0"/>
              <w:adjustRightInd w:val="0"/>
              <w:spacing w:before="60" w:after="60" w:line="276" w:lineRule="auto"/>
              <w:jc w:val="center"/>
              <w:rPr>
                <w:rFonts w:ascii="Arial" w:eastAsia="Calibri" w:hAnsi="Arial" w:cs="Arial"/>
                <w:b/>
                <w:sz w:val="24"/>
                <w:szCs w:val="24"/>
                <w:lang w:eastAsia="ja-JP"/>
              </w:rPr>
            </w:pPr>
            <w:r w:rsidRPr="008327F0">
              <w:rPr>
                <w:rFonts w:ascii="Arial" w:eastAsia="Calibri" w:hAnsi="Arial" w:cs="Arial"/>
                <w:b/>
                <w:sz w:val="24"/>
                <w:szCs w:val="24"/>
                <w:lang w:eastAsia="ja-JP"/>
              </w:rPr>
              <w:t>Utilizări ale nămolului</w:t>
            </w:r>
          </w:p>
        </w:tc>
        <w:tc>
          <w:tcPr>
            <w:tcW w:w="1895" w:type="pct"/>
            <w:tcBorders>
              <w:top w:val="single" w:sz="8" w:space="0" w:color="auto"/>
              <w:left w:val="single" w:sz="4" w:space="0" w:color="auto"/>
              <w:bottom w:val="single" w:sz="4" w:space="0" w:color="auto"/>
              <w:right w:val="single" w:sz="8" w:space="0" w:color="auto"/>
            </w:tcBorders>
            <w:shd w:val="clear" w:color="auto" w:fill="B6DDE8"/>
            <w:vAlign w:val="center"/>
            <w:hideMark/>
          </w:tcPr>
          <w:p w:rsidR="008327F0" w:rsidRPr="008327F0" w:rsidRDefault="008327F0" w:rsidP="008327F0">
            <w:pPr>
              <w:spacing w:before="60" w:after="60" w:line="276" w:lineRule="auto"/>
              <w:jc w:val="center"/>
              <w:rPr>
                <w:rFonts w:ascii="Arial" w:eastAsia="Calibri" w:hAnsi="Arial" w:cs="Arial"/>
                <w:b/>
                <w:bCs/>
                <w:sz w:val="24"/>
                <w:szCs w:val="24"/>
              </w:rPr>
            </w:pPr>
            <w:r w:rsidRPr="008327F0">
              <w:rPr>
                <w:rFonts w:ascii="Arial" w:eastAsia="Calibri" w:hAnsi="Arial" w:cs="Arial"/>
                <w:b/>
                <w:bCs/>
                <w:sz w:val="24"/>
                <w:szCs w:val="24"/>
              </w:rPr>
              <w:t>Cantitate nămol (mii tone s.u./an)</w:t>
            </w:r>
          </w:p>
        </w:tc>
      </w:tr>
      <w:tr w:rsidR="008327F0" w:rsidRPr="008327F0" w:rsidTr="00B8293F">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327F0" w:rsidRPr="008327F0" w:rsidRDefault="008327F0" w:rsidP="008327F0">
            <w:pPr>
              <w:spacing w:before="60" w:after="60" w:line="276" w:lineRule="auto"/>
              <w:rPr>
                <w:rFonts w:ascii="Arial" w:eastAsia="Calibri" w:hAnsi="Arial" w:cs="Arial"/>
                <w:b/>
                <w:bCs/>
                <w:sz w:val="24"/>
                <w:szCs w:val="24"/>
              </w:rPr>
            </w:pPr>
            <w:r w:rsidRPr="008327F0">
              <w:rPr>
                <w:rFonts w:ascii="Arial" w:eastAsia="Calibri" w:hAnsi="Arial" w:cs="Arial"/>
                <w:b/>
                <w:bCs/>
                <w:sz w:val="24"/>
                <w:szCs w:val="24"/>
              </w:rPr>
              <w:t>Cantitate totală produsă</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8327F0" w:rsidRPr="008327F0" w:rsidRDefault="008327F0" w:rsidP="008327F0">
            <w:pPr>
              <w:spacing w:before="60" w:after="60" w:line="276" w:lineRule="auto"/>
              <w:jc w:val="center"/>
              <w:rPr>
                <w:rFonts w:ascii="Arial" w:eastAsia="Calibri" w:hAnsi="Arial" w:cs="Arial"/>
                <w:b/>
                <w:sz w:val="24"/>
                <w:szCs w:val="24"/>
              </w:rPr>
            </w:pPr>
            <w:r w:rsidRPr="008327F0">
              <w:rPr>
                <w:rFonts w:ascii="Arial" w:eastAsia="Calibri" w:hAnsi="Arial" w:cs="Arial"/>
                <w:b/>
                <w:sz w:val="24"/>
                <w:szCs w:val="24"/>
              </w:rPr>
              <w:t>254,22</w:t>
            </w:r>
          </w:p>
        </w:tc>
      </w:tr>
      <w:tr w:rsidR="008327F0" w:rsidRPr="008327F0" w:rsidTr="00B8293F">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327F0" w:rsidRPr="008327F0" w:rsidRDefault="008327F0" w:rsidP="008327F0">
            <w:pPr>
              <w:spacing w:before="60" w:after="60" w:line="276" w:lineRule="auto"/>
              <w:rPr>
                <w:rFonts w:ascii="Arial" w:eastAsia="Calibri" w:hAnsi="Arial" w:cs="Arial"/>
                <w:sz w:val="24"/>
                <w:szCs w:val="24"/>
              </w:rPr>
            </w:pPr>
            <w:r w:rsidRPr="008327F0">
              <w:rPr>
                <w:rFonts w:ascii="Arial" w:eastAsia="Calibri" w:hAnsi="Arial" w:cs="Arial"/>
                <w:sz w:val="24"/>
                <w:szCs w:val="24"/>
              </w:rPr>
              <w:t>Utilizare în agricultură</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8327F0" w:rsidRPr="008327F0" w:rsidRDefault="008327F0" w:rsidP="008327F0">
            <w:pPr>
              <w:spacing w:before="60" w:after="60" w:line="276" w:lineRule="auto"/>
              <w:jc w:val="center"/>
              <w:rPr>
                <w:rFonts w:ascii="Arial" w:eastAsia="Calibri" w:hAnsi="Arial" w:cs="Arial"/>
                <w:sz w:val="24"/>
                <w:szCs w:val="24"/>
              </w:rPr>
            </w:pPr>
            <w:r w:rsidRPr="008327F0">
              <w:rPr>
                <w:rFonts w:ascii="Arial" w:eastAsia="Calibri" w:hAnsi="Arial" w:cs="Arial"/>
                <w:sz w:val="24"/>
                <w:szCs w:val="24"/>
              </w:rPr>
              <w:t>54,12</w:t>
            </w:r>
          </w:p>
        </w:tc>
      </w:tr>
      <w:tr w:rsidR="008327F0" w:rsidRPr="008327F0" w:rsidTr="00B8293F">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7F0" w:rsidRPr="008327F0" w:rsidRDefault="008327F0" w:rsidP="008327F0">
            <w:pPr>
              <w:spacing w:before="60" w:after="60" w:line="276" w:lineRule="auto"/>
              <w:rPr>
                <w:rFonts w:ascii="Arial" w:eastAsia="Calibri" w:hAnsi="Arial" w:cs="Arial"/>
                <w:sz w:val="24"/>
                <w:szCs w:val="24"/>
              </w:rPr>
            </w:pPr>
            <w:r w:rsidRPr="008327F0">
              <w:rPr>
                <w:rFonts w:ascii="Arial" w:eastAsia="Calibri" w:hAnsi="Arial" w:cs="Arial"/>
                <w:sz w:val="24"/>
                <w:szCs w:val="24"/>
              </w:rPr>
              <w:t>Compostare şi alte aplicaţii</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8327F0" w:rsidRPr="008327F0" w:rsidRDefault="008327F0" w:rsidP="008327F0">
            <w:pPr>
              <w:spacing w:before="60" w:after="60" w:line="276" w:lineRule="auto"/>
              <w:jc w:val="center"/>
              <w:rPr>
                <w:rFonts w:ascii="Arial" w:eastAsia="Calibri" w:hAnsi="Arial" w:cs="Arial"/>
                <w:sz w:val="24"/>
                <w:szCs w:val="24"/>
              </w:rPr>
            </w:pPr>
            <w:r w:rsidRPr="008327F0">
              <w:rPr>
                <w:rFonts w:ascii="Arial" w:eastAsia="Calibri" w:hAnsi="Arial" w:cs="Arial"/>
                <w:sz w:val="24"/>
                <w:szCs w:val="24"/>
              </w:rPr>
              <w:t>5,03</w:t>
            </w:r>
          </w:p>
        </w:tc>
      </w:tr>
      <w:tr w:rsidR="008327F0" w:rsidRPr="008327F0" w:rsidTr="00B8293F">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7F0" w:rsidRPr="008327F0" w:rsidRDefault="008327F0" w:rsidP="008327F0">
            <w:pPr>
              <w:spacing w:before="60" w:after="60" w:line="276" w:lineRule="auto"/>
              <w:rPr>
                <w:rFonts w:ascii="Arial" w:eastAsia="Calibri" w:hAnsi="Arial" w:cs="Arial"/>
                <w:sz w:val="24"/>
                <w:szCs w:val="24"/>
              </w:rPr>
            </w:pPr>
            <w:r w:rsidRPr="008327F0">
              <w:rPr>
                <w:rFonts w:ascii="Arial" w:eastAsia="Calibri" w:hAnsi="Arial" w:cs="Arial"/>
                <w:sz w:val="24"/>
                <w:szCs w:val="24"/>
              </w:rPr>
              <w:t>Depozitare pe platforme amenajate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8327F0" w:rsidRPr="008327F0" w:rsidRDefault="008327F0" w:rsidP="008327F0">
            <w:pPr>
              <w:spacing w:before="60" w:after="60" w:line="276" w:lineRule="auto"/>
              <w:jc w:val="center"/>
              <w:rPr>
                <w:rFonts w:ascii="Arial" w:eastAsia="Calibri" w:hAnsi="Arial" w:cs="Arial"/>
                <w:sz w:val="24"/>
                <w:szCs w:val="24"/>
              </w:rPr>
            </w:pPr>
            <w:r w:rsidRPr="008327F0">
              <w:rPr>
                <w:rFonts w:ascii="Arial" w:eastAsia="Calibri" w:hAnsi="Arial" w:cs="Arial"/>
                <w:sz w:val="24"/>
                <w:szCs w:val="24"/>
              </w:rPr>
              <w:t>140,69</w:t>
            </w:r>
          </w:p>
        </w:tc>
      </w:tr>
      <w:tr w:rsidR="008327F0" w:rsidRPr="008327F0" w:rsidTr="00B8293F">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7F0" w:rsidRPr="008327F0" w:rsidRDefault="008327F0" w:rsidP="008327F0">
            <w:pPr>
              <w:spacing w:before="60" w:after="60" w:line="276" w:lineRule="auto"/>
              <w:rPr>
                <w:rFonts w:ascii="Arial" w:eastAsia="Calibri" w:hAnsi="Arial" w:cs="Arial"/>
                <w:sz w:val="24"/>
                <w:szCs w:val="24"/>
              </w:rPr>
            </w:pPr>
            <w:r w:rsidRPr="008327F0">
              <w:rPr>
                <w:rFonts w:ascii="Arial" w:eastAsia="Calibri" w:hAnsi="Arial" w:cs="Arial"/>
                <w:sz w:val="24"/>
                <w:szCs w:val="24"/>
              </w:rPr>
              <w:t>Evacuare în mare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8327F0" w:rsidRPr="008327F0" w:rsidRDefault="008327F0" w:rsidP="008327F0">
            <w:pPr>
              <w:spacing w:before="60" w:after="60" w:line="276" w:lineRule="auto"/>
              <w:jc w:val="center"/>
              <w:rPr>
                <w:rFonts w:ascii="Arial" w:eastAsia="Calibri" w:hAnsi="Arial" w:cs="Arial"/>
                <w:sz w:val="24"/>
                <w:szCs w:val="24"/>
              </w:rPr>
            </w:pPr>
            <w:r w:rsidRPr="008327F0">
              <w:rPr>
                <w:rFonts w:ascii="Arial" w:eastAsia="Calibri" w:hAnsi="Arial" w:cs="Arial"/>
                <w:sz w:val="24"/>
                <w:szCs w:val="24"/>
              </w:rPr>
              <w:t>0</w:t>
            </w:r>
          </w:p>
        </w:tc>
      </w:tr>
      <w:tr w:rsidR="008327F0" w:rsidRPr="008327F0" w:rsidTr="00B8293F">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7F0" w:rsidRPr="008327F0" w:rsidRDefault="008327F0" w:rsidP="008327F0">
            <w:pPr>
              <w:spacing w:before="60" w:after="60" w:line="276" w:lineRule="auto"/>
              <w:rPr>
                <w:rFonts w:ascii="Arial" w:eastAsia="Calibri" w:hAnsi="Arial" w:cs="Arial"/>
                <w:sz w:val="24"/>
                <w:szCs w:val="24"/>
              </w:rPr>
            </w:pPr>
            <w:r w:rsidRPr="008327F0">
              <w:rPr>
                <w:rFonts w:ascii="Arial" w:eastAsia="Calibri" w:hAnsi="Arial" w:cs="Arial"/>
                <w:sz w:val="24"/>
                <w:szCs w:val="24"/>
              </w:rPr>
              <w:t>Incinerare (coincinerare)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8327F0" w:rsidRPr="008327F0" w:rsidRDefault="008327F0" w:rsidP="008327F0">
            <w:pPr>
              <w:spacing w:before="60" w:after="60" w:line="276" w:lineRule="auto"/>
              <w:jc w:val="center"/>
              <w:rPr>
                <w:rFonts w:ascii="Arial" w:eastAsia="Calibri" w:hAnsi="Arial" w:cs="Arial"/>
                <w:sz w:val="24"/>
                <w:szCs w:val="24"/>
              </w:rPr>
            </w:pPr>
            <w:r w:rsidRPr="008327F0">
              <w:rPr>
                <w:rFonts w:ascii="Arial" w:eastAsia="Calibri" w:hAnsi="Arial" w:cs="Arial"/>
                <w:sz w:val="24"/>
                <w:szCs w:val="24"/>
              </w:rPr>
              <w:t>2,15</w:t>
            </w:r>
          </w:p>
        </w:tc>
      </w:tr>
      <w:tr w:rsidR="008327F0" w:rsidRPr="008327F0" w:rsidTr="00B8293F">
        <w:trPr>
          <w:trHeight w:val="315"/>
          <w:jc w:val="center"/>
        </w:trPr>
        <w:tc>
          <w:tcPr>
            <w:tcW w:w="3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27F0" w:rsidRPr="008327F0" w:rsidRDefault="008327F0" w:rsidP="008327F0">
            <w:pPr>
              <w:spacing w:before="60" w:after="60" w:line="276" w:lineRule="auto"/>
              <w:rPr>
                <w:rFonts w:ascii="Arial" w:eastAsia="Calibri" w:hAnsi="Arial" w:cs="Arial"/>
                <w:sz w:val="24"/>
                <w:szCs w:val="24"/>
              </w:rPr>
            </w:pPr>
            <w:r w:rsidRPr="008327F0">
              <w:rPr>
                <w:rFonts w:ascii="Arial" w:eastAsia="Calibri" w:hAnsi="Arial" w:cs="Arial"/>
                <w:sz w:val="24"/>
                <w:szCs w:val="24"/>
              </w:rPr>
              <w:t>Nămol tratat prin alte procedee</w:t>
            </w:r>
          </w:p>
        </w:tc>
        <w:tc>
          <w:tcPr>
            <w:tcW w:w="1895" w:type="pct"/>
            <w:tcBorders>
              <w:top w:val="single" w:sz="4" w:space="0" w:color="auto"/>
              <w:left w:val="single" w:sz="4" w:space="0" w:color="auto"/>
              <w:bottom w:val="single" w:sz="4" w:space="0" w:color="auto"/>
              <w:right w:val="single" w:sz="4" w:space="0" w:color="auto"/>
            </w:tcBorders>
            <w:shd w:val="clear" w:color="auto" w:fill="auto"/>
            <w:noWrap/>
            <w:hideMark/>
          </w:tcPr>
          <w:p w:rsidR="008327F0" w:rsidRPr="008327F0" w:rsidRDefault="008327F0" w:rsidP="008327F0">
            <w:pPr>
              <w:spacing w:before="60" w:after="60" w:line="276" w:lineRule="auto"/>
              <w:jc w:val="center"/>
              <w:rPr>
                <w:rFonts w:ascii="Arial" w:eastAsia="Calibri" w:hAnsi="Arial" w:cs="Arial"/>
                <w:sz w:val="24"/>
                <w:szCs w:val="24"/>
              </w:rPr>
            </w:pPr>
            <w:r w:rsidRPr="008327F0">
              <w:rPr>
                <w:rFonts w:ascii="Arial" w:eastAsia="Calibri" w:hAnsi="Arial" w:cs="Arial"/>
                <w:sz w:val="24"/>
                <w:szCs w:val="24"/>
              </w:rPr>
              <w:t>52,22</w:t>
            </w:r>
          </w:p>
        </w:tc>
      </w:tr>
    </w:tbl>
    <w:p w:rsidR="008327F0" w:rsidRPr="008327F0" w:rsidRDefault="008327F0" w:rsidP="008327F0">
      <w:pPr>
        <w:spacing w:before="120" w:after="120" w:line="240" w:lineRule="auto"/>
        <w:ind w:firstLine="6663"/>
        <w:jc w:val="both"/>
        <w:rPr>
          <w:rFonts w:ascii="Arial" w:eastAsia="Calibri" w:hAnsi="Arial" w:cs="Arial"/>
          <w:b/>
          <w:sz w:val="24"/>
          <w:szCs w:val="24"/>
          <w:lang w:val="it-IT"/>
        </w:rPr>
      </w:pPr>
      <w:r w:rsidRPr="008327F0">
        <w:rPr>
          <w:rFonts w:ascii="Arial" w:eastAsia="MS Mincho" w:hAnsi="Arial" w:cs="Arial"/>
          <w:b/>
          <w:sz w:val="24"/>
          <w:szCs w:val="24"/>
          <w:lang w:eastAsia="ja-JP"/>
        </w:rPr>
        <w:t xml:space="preserve">Tabel II.2.2.2.5. </w:t>
      </w:r>
    </w:p>
    <w:p w:rsidR="008327F0" w:rsidRPr="008327F0" w:rsidRDefault="008327F0" w:rsidP="008327F0">
      <w:pPr>
        <w:spacing w:before="120" w:after="120" w:line="240" w:lineRule="auto"/>
        <w:jc w:val="both"/>
        <w:rPr>
          <w:rFonts w:ascii="Arial" w:eastAsia="Calibri" w:hAnsi="Arial" w:cs="Arial"/>
          <w:i/>
          <w:sz w:val="20"/>
          <w:szCs w:val="20"/>
          <w:lang w:val="it-IT"/>
        </w:rPr>
      </w:pPr>
      <w:r w:rsidRPr="008327F0">
        <w:rPr>
          <w:rFonts w:ascii="Arial" w:eastAsia="Calibri" w:hAnsi="Arial" w:cs="Arial"/>
          <w:i/>
          <w:sz w:val="24"/>
          <w:szCs w:val="24"/>
          <w:lang w:val="it-IT"/>
        </w:rPr>
        <w:lastRenderedPageBreak/>
        <w:t>(</w:t>
      </w:r>
      <w:r w:rsidRPr="008327F0">
        <w:rPr>
          <w:rFonts w:ascii="Arial" w:eastAsia="Calibri" w:hAnsi="Arial" w:cs="Arial"/>
          <w:i/>
          <w:sz w:val="20"/>
          <w:szCs w:val="20"/>
          <w:lang w:val="it-IT"/>
        </w:rPr>
        <w:t xml:space="preserve">Sursa datelor: Institutul Naţional de Statistică, Baza de date TEMPO online, </w:t>
      </w:r>
      <w:hyperlink r:id="rId70" w:history="1">
        <w:r w:rsidRPr="008327F0">
          <w:rPr>
            <w:rFonts w:ascii="Arial" w:eastAsia="Calibri" w:hAnsi="Arial" w:cs="Arial"/>
            <w:i/>
            <w:sz w:val="20"/>
            <w:szCs w:val="20"/>
            <w:u w:val="single"/>
            <w:lang w:val="it-IT"/>
          </w:rPr>
          <w:t>www.insse.ro</w:t>
        </w:r>
      </w:hyperlink>
      <w:r w:rsidRPr="008327F0">
        <w:rPr>
          <w:rFonts w:ascii="Arial" w:eastAsia="Calibri" w:hAnsi="Arial" w:cs="Arial"/>
          <w:i/>
          <w:sz w:val="20"/>
          <w:szCs w:val="20"/>
          <w:lang w:val="it-IT"/>
        </w:rPr>
        <w:t>)</w:t>
      </w:r>
    </w:p>
    <w:p w:rsidR="008327F0" w:rsidRPr="008327F0" w:rsidRDefault="008327F0" w:rsidP="008327F0">
      <w:pPr>
        <w:autoSpaceDE w:val="0"/>
        <w:autoSpaceDN w:val="0"/>
        <w:adjustRightInd w:val="0"/>
        <w:spacing w:before="120" w:after="120" w:line="240" w:lineRule="auto"/>
        <w:ind w:firstLine="567"/>
        <w:jc w:val="both"/>
        <w:rPr>
          <w:rFonts w:ascii="Arial" w:eastAsia="Calibri" w:hAnsi="Arial" w:cs="Arial"/>
          <w:sz w:val="24"/>
          <w:szCs w:val="24"/>
          <w:lang w:eastAsia="ro-RO"/>
        </w:rPr>
      </w:pPr>
      <w:r w:rsidRPr="008327F0">
        <w:rPr>
          <w:rFonts w:ascii="Arial" w:eastAsia="Calibri" w:hAnsi="Arial" w:cs="Arial"/>
          <w:sz w:val="24"/>
          <w:szCs w:val="24"/>
          <w:lang w:eastAsia="ro-RO"/>
        </w:rPr>
        <w:t xml:space="preserve">Conform primului Plan Naţional de  Management al bazinelor/spațiilor hidrografice din România (elaborat în 2009), s-a estimat că la sfârșitul perioadei de conformare (anul 2018) se va obţine o cantitate de nămol de cca. 520.850 tone substanţă uscată/an faţă de cca. 172.529 tone substanţă uscată/an obţinute în anul 2007 </w:t>
      </w:r>
      <w:r w:rsidRPr="008327F0">
        <w:rPr>
          <w:rFonts w:ascii="Arial" w:eastAsia="Calibri" w:hAnsi="Arial" w:cs="Arial"/>
          <w:i/>
          <w:sz w:val="24"/>
          <w:szCs w:val="24"/>
          <w:lang w:eastAsia="ro-RO"/>
        </w:rPr>
        <w:t>(Figura II.2.2.2.6).</w:t>
      </w:r>
      <w:r w:rsidRPr="008327F0">
        <w:rPr>
          <w:rFonts w:ascii="Arial" w:eastAsia="Calibri" w:hAnsi="Arial" w:cs="Arial"/>
          <w:sz w:val="24"/>
          <w:szCs w:val="24"/>
          <w:lang w:eastAsia="ro-RO"/>
        </w:rPr>
        <w:t xml:space="preserve"> Această prognoză corespunde situației planificate privind conformarea aglomerărilor în anul 2004, potrivit Planului Național de implementare al Directivei 91/271/CEE privind epurarea apelor uzate urbane. </w:t>
      </w:r>
    </w:p>
    <w:p w:rsidR="008327F0" w:rsidRPr="008327F0" w:rsidRDefault="008327F0" w:rsidP="008327F0">
      <w:pPr>
        <w:spacing w:before="120" w:after="120" w:line="240" w:lineRule="auto"/>
        <w:jc w:val="both"/>
        <w:rPr>
          <w:rFonts w:ascii="Arial" w:eastAsia="Calibri" w:hAnsi="Arial" w:cs="Arial"/>
          <w:sz w:val="24"/>
          <w:szCs w:val="24"/>
          <w:lang w:val="it-IT"/>
        </w:rPr>
      </w:pPr>
      <w:r w:rsidRPr="008327F0">
        <w:rPr>
          <w:rFonts w:ascii="Arial" w:eastAsia="Calibri" w:hAnsi="Arial" w:cs="Arial"/>
          <w:noProof/>
          <w:sz w:val="24"/>
          <w:szCs w:val="24"/>
          <w:lang w:eastAsia="ro-RO"/>
        </w:rPr>
        <w:drawing>
          <wp:anchor distT="0" distB="0" distL="114300" distR="114300" simplePos="0" relativeHeight="251673600" behindDoc="1" locked="0" layoutInCell="1" allowOverlap="1">
            <wp:simplePos x="0" y="0"/>
            <wp:positionH relativeFrom="column">
              <wp:posOffset>822325</wp:posOffset>
            </wp:positionH>
            <wp:positionV relativeFrom="paragraph">
              <wp:posOffset>251460</wp:posOffset>
            </wp:positionV>
            <wp:extent cx="3705860" cy="2277110"/>
            <wp:effectExtent l="0" t="0" r="8890" b="8890"/>
            <wp:wrapTight wrapText="bothSides">
              <wp:wrapPolygon edited="0">
                <wp:start x="0" y="0"/>
                <wp:lineTo x="0" y="21504"/>
                <wp:lineTo x="21541" y="21504"/>
                <wp:lineTo x="21541" y="0"/>
                <wp:lineTo x="0" y="0"/>
              </wp:wrapPolygon>
            </wp:wrapTight>
            <wp:docPr id="94" name="Picture 94"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05860" cy="2277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27F0">
        <w:rPr>
          <w:rFonts w:ascii="Arial" w:eastAsia="Calibri" w:hAnsi="Arial" w:cs="Arial"/>
          <w:b/>
          <w:bCs/>
          <w:sz w:val="24"/>
          <w:szCs w:val="24"/>
          <w:lang w:eastAsia="ro-RO"/>
        </w:rPr>
        <w:t>Evoluţia cantităţilor de nămol generate de staţiile de epurare din România</w:t>
      </w:r>
    </w:p>
    <w:p w:rsidR="008327F0" w:rsidRPr="008327F0" w:rsidRDefault="008327F0" w:rsidP="008327F0">
      <w:pPr>
        <w:autoSpaceDE w:val="0"/>
        <w:autoSpaceDN w:val="0"/>
        <w:adjustRightInd w:val="0"/>
        <w:spacing w:before="120" w:after="120" w:line="240" w:lineRule="auto"/>
        <w:jc w:val="center"/>
        <w:rPr>
          <w:rFonts w:ascii="Arial" w:eastAsia="Calibri" w:hAnsi="Arial" w:cs="Arial"/>
          <w:sz w:val="24"/>
          <w:szCs w:val="24"/>
          <w:lang w:eastAsia="ro-RO"/>
        </w:rPr>
      </w:pPr>
    </w:p>
    <w:p w:rsidR="008327F0" w:rsidRPr="008327F0" w:rsidRDefault="008327F0" w:rsidP="008327F0">
      <w:pPr>
        <w:autoSpaceDE w:val="0"/>
        <w:autoSpaceDN w:val="0"/>
        <w:adjustRightInd w:val="0"/>
        <w:spacing w:before="120" w:after="120" w:line="240" w:lineRule="auto"/>
        <w:ind w:firstLine="1080"/>
        <w:jc w:val="center"/>
        <w:rPr>
          <w:rFonts w:ascii="Calibri" w:eastAsia="Calibri" w:hAnsi="Calibri" w:cs="Times New Roman"/>
          <w:b/>
          <w:lang w:eastAsia="ro-RO"/>
        </w:rPr>
      </w:pPr>
    </w:p>
    <w:p w:rsidR="008327F0" w:rsidRPr="008327F0" w:rsidRDefault="008327F0" w:rsidP="008327F0">
      <w:pPr>
        <w:autoSpaceDE w:val="0"/>
        <w:autoSpaceDN w:val="0"/>
        <w:adjustRightInd w:val="0"/>
        <w:spacing w:before="120" w:after="120" w:line="240" w:lineRule="auto"/>
        <w:ind w:firstLine="1080"/>
        <w:jc w:val="center"/>
        <w:rPr>
          <w:rFonts w:ascii="Calibri" w:eastAsia="Calibri" w:hAnsi="Calibri" w:cs="Times New Roman"/>
          <w:b/>
          <w:lang w:eastAsia="ro-RO"/>
        </w:rPr>
      </w:pPr>
    </w:p>
    <w:p w:rsidR="008327F0" w:rsidRPr="008327F0" w:rsidRDefault="008327F0" w:rsidP="008327F0">
      <w:pPr>
        <w:autoSpaceDE w:val="0"/>
        <w:autoSpaceDN w:val="0"/>
        <w:adjustRightInd w:val="0"/>
        <w:spacing w:before="120" w:after="120" w:line="240" w:lineRule="auto"/>
        <w:ind w:firstLine="1080"/>
        <w:jc w:val="center"/>
        <w:rPr>
          <w:rFonts w:ascii="Calibri" w:eastAsia="Calibri" w:hAnsi="Calibri" w:cs="Times New Roman"/>
          <w:b/>
          <w:lang w:eastAsia="ro-RO"/>
        </w:rPr>
      </w:pPr>
    </w:p>
    <w:p w:rsidR="008327F0" w:rsidRPr="008327F0" w:rsidRDefault="008327F0" w:rsidP="008327F0">
      <w:pPr>
        <w:autoSpaceDE w:val="0"/>
        <w:autoSpaceDN w:val="0"/>
        <w:adjustRightInd w:val="0"/>
        <w:spacing w:before="120" w:after="120" w:line="240" w:lineRule="auto"/>
        <w:ind w:firstLine="1080"/>
        <w:jc w:val="center"/>
        <w:rPr>
          <w:rFonts w:ascii="Calibri" w:eastAsia="Calibri" w:hAnsi="Calibri" w:cs="Times New Roman"/>
          <w:b/>
          <w:lang w:eastAsia="ro-RO"/>
        </w:rPr>
      </w:pPr>
    </w:p>
    <w:p w:rsidR="008327F0" w:rsidRPr="008327F0" w:rsidRDefault="008327F0" w:rsidP="008327F0">
      <w:pPr>
        <w:autoSpaceDE w:val="0"/>
        <w:autoSpaceDN w:val="0"/>
        <w:adjustRightInd w:val="0"/>
        <w:spacing w:before="120" w:after="120" w:line="240" w:lineRule="auto"/>
        <w:ind w:firstLine="1080"/>
        <w:jc w:val="center"/>
        <w:rPr>
          <w:rFonts w:ascii="Calibri" w:eastAsia="Calibri" w:hAnsi="Calibri" w:cs="Times New Roman"/>
          <w:b/>
          <w:lang w:eastAsia="ro-RO"/>
        </w:rPr>
      </w:pPr>
    </w:p>
    <w:p w:rsidR="008327F0" w:rsidRPr="008327F0" w:rsidRDefault="008327F0" w:rsidP="008327F0">
      <w:pPr>
        <w:autoSpaceDE w:val="0"/>
        <w:autoSpaceDN w:val="0"/>
        <w:adjustRightInd w:val="0"/>
        <w:spacing w:before="120" w:after="120" w:line="240" w:lineRule="auto"/>
        <w:ind w:firstLine="1080"/>
        <w:jc w:val="center"/>
        <w:rPr>
          <w:rFonts w:ascii="Calibri" w:eastAsia="Calibri" w:hAnsi="Calibri" w:cs="Times New Roman"/>
          <w:b/>
          <w:lang w:eastAsia="ro-RO"/>
        </w:rPr>
      </w:pPr>
    </w:p>
    <w:p w:rsidR="008327F0" w:rsidRPr="008327F0" w:rsidRDefault="008327F0" w:rsidP="008327F0">
      <w:pPr>
        <w:autoSpaceDE w:val="0"/>
        <w:autoSpaceDN w:val="0"/>
        <w:adjustRightInd w:val="0"/>
        <w:spacing w:before="120" w:after="120" w:line="240" w:lineRule="auto"/>
        <w:ind w:firstLine="1080"/>
        <w:jc w:val="center"/>
        <w:rPr>
          <w:rFonts w:ascii="Calibri" w:eastAsia="Calibri" w:hAnsi="Calibri" w:cs="Times New Roman"/>
          <w:b/>
          <w:lang w:eastAsia="ro-RO"/>
        </w:rPr>
      </w:pPr>
    </w:p>
    <w:p w:rsidR="008327F0" w:rsidRPr="008327F0" w:rsidRDefault="008327F0" w:rsidP="008327F0">
      <w:pPr>
        <w:autoSpaceDE w:val="0"/>
        <w:autoSpaceDN w:val="0"/>
        <w:adjustRightInd w:val="0"/>
        <w:spacing w:before="120" w:after="120" w:line="240" w:lineRule="auto"/>
        <w:ind w:firstLine="5940"/>
        <w:jc w:val="both"/>
        <w:rPr>
          <w:rFonts w:ascii="Arial" w:eastAsia="Calibri" w:hAnsi="Arial" w:cs="Arial"/>
          <w:sz w:val="24"/>
          <w:szCs w:val="24"/>
          <w:lang w:eastAsia="ro-RO"/>
        </w:rPr>
      </w:pPr>
      <w:r w:rsidRPr="008327F0">
        <w:rPr>
          <w:rFonts w:ascii="Arial" w:eastAsia="Calibri" w:hAnsi="Arial" w:cs="Arial"/>
          <w:b/>
          <w:bCs/>
          <w:sz w:val="24"/>
          <w:szCs w:val="24"/>
          <w:lang w:eastAsia="ro-RO"/>
        </w:rPr>
        <w:t>Figura II.2</w:t>
      </w:r>
      <w:r w:rsidRPr="008327F0">
        <w:rPr>
          <w:rFonts w:ascii="Arial" w:eastAsia="Calibri" w:hAnsi="Arial" w:cs="Arial"/>
          <w:b/>
          <w:bCs/>
          <w:sz w:val="24"/>
          <w:szCs w:val="24"/>
          <w:lang w:val="en-US" w:eastAsia="ro-RO"/>
        </w:rPr>
        <w:t xml:space="preserve">.2.2.6. </w:t>
      </w:r>
    </w:p>
    <w:p w:rsidR="008327F0" w:rsidRPr="008327F0" w:rsidRDefault="008327F0" w:rsidP="008327F0">
      <w:pPr>
        <w:autoSpaceDE w:val="0"/>
        <w:autoSpaceDN w:val="0"/>
        <w:adjustRightInd w:val="0"/>
        <w:spacing w:before="120" w:after="120" w:line="240" w:lineRule="auto"/>
        <w:jc w:val="both"/>
        <w:rPr>
          <w:rFonts w:ascii="Arial" w:eastAsia="Calibri" w:hAnsi="Arial" w:cs="Arial"/>
          <w:i/>
          <w:iCs/>
          <w:sz w:val="20"/>
          <w:szCs w:val="20"/>
          <w:lang w:eastAsia="ro-RO"/>
        </w:rPr>
      </w:pPr>
      <w:r w:rsidRPr="008327F0">
        <w:rPr>
          <w:rFonts w:ascii="Arial" w:eastAsia="Calibri" w:hAnsi="Arial" w:cs="Arial"/>
          <w:i/>
          <w:iCs/>
          <w:sz w:val="20"/>
          <w:szCs w:val="20"/>
          <w:lang w:eastAsia="ro-RO"/>
        </w:rPr>
        <w:t>(Sursa: Administraţia Naţională “Apele Române”, Planul Naţional de  Management al bazinelor/spațiilor hidrografice din România aprobat prin HG nr. 859/2016)</w:t>
      </w:r>
    </w:p>
    <w:p w:rsidR="008327F0" w:rsidRPr="008327F0" w:rsidRDefault="008327F0" w:rsidP="008327F0">
      <w:pPr>
        <w:autoSpaceDE w:val="0"/>
        <w:autoSpaceDN w:val="0"/>
        <w:adjustRightInd w:val="0"/>
        <w:spacing w:before="120" w:after="120" w:line="240" w:lineRule="auto"/>
        <w:ind w:firstLine="567"/>
        <w:jc w:val="both"/>
        <w:rPr>
          <w:rFonts w:ascii="Arial" w:eastAsia="Calibri" w:hAnsi="Arial" w:cs="Arial"/>
          <w:sz w:val="24"/>
          <w:szCs w:val="24"/>
          <w:lang w:eastAsia="ro-RO"/>
        </w:rPr>
      </w:pPr>
      <w:r w:rsidRPr="008327F0">
        <w:rPr>
          <w:rFonts w:ascii="Arial" w:eastAsia="Calibri" w:hAnsi="Arial" w:cs="Arial"/>
          <w:sz w:val="24"/>
          <w:szCs w:val="24"/>
          <w:lang w:eastAsia="ro-RO"/>
        </w:rPr>
        <w:t xml:space="preserve">În </w:t>
      </w:r>
      <w:r w:rsidRPr="008327F0">
        <w:rPr>
          <w:rFonts w:ascii="Arial" w:eastAsia="Calibri" w:hAnsi="Arial" w:cs="Arial"/>
          <w:i/>
          <w:sz w:val="24"/>
          <w:szCs w:val="24"/>
        </w:rPr>
        <w:t>Strategia naţională de gestionare a nămolurilor de epurare</w:t>
      </w:r>
      <w:r w:rsidRPr="008327F0">
        <w:rPr>
          <w:rFonts w:ascii="Arial" w:eastAsia="Calibri" w:hAnsi="Arial" w:cs="Arial"/>
          <w:sz w:val="24"/>
          <w:szCs w:val="24"/>
        </w:rPr>
        <w:t xml:space="preserve">, elaborată în cadrul asistenței tehnice a POS Mediu, oferă un cadru pentru planificarea și implementarea măsurilor pentru gestionarea volumelor în creștere de nămol de la stațiile de epurare urbane existente, reabilitate și noi din România. Cantitățile viitoare estimate de nămol produs au fost evaluate conform </w:t>
      </w:r>
      <w:r w:rsidRPr="008327F0">
        <w:rPr>
          <w:rFonts w:ascii="Arial" w:eastAsia="Calibri" w:hAnsi="Arial" w:cs="Arial"/>
          <w:i/>
          <w:sz w:val="24"/>
          <w:szCs w:val="24"/>
        </w:rPr>
        <w:t>Figurii II.2.2.2.7</w:t>
      </w:r>
      <w:r w:rsidRPr="008327F0">
        <w:rPr>
          <w:rFonts w:ascii="Arial" w:eastAsia="Calibri" w:hAnsi="Arial" w:cs="Arial"/>
          <w:sz w:val="24"/>
          <w:szCs w:val="24"/>
        </w:rPr>
        <w:t xml:space="preserve">. </w:t>
      </w:r>
      <w:r w:rsidRPr="008327F0">
        <w:rPr>
          <w:rFonts w:ascii="Arial" w:eastAsia="Calibri" w:hAnsi="Arial" w:cs="Arial"/>
          <w:sz w:val="24"/>
          <w:szCs w:val="24"/>
          <w:lang w:eastAsia="ro-RO"/>
        </w:rPr>
        <w:t xml:space="preserve">Această prognoză corespunde situației planificate privind conformarea aglomerărilor  la nivelul anului 2011, având în vedere modificările produse în delimitarea aglomerărilor umane și a tipului de epurare necesar pentru conformare. </w:t>
      </w:r>
    </w:p>
    <w:p w:rsidR="008327F0" w:rsidRPr="008327F0" w:rsidRDefault="008327F0" w:rsidP="008327F0">
      <w:pPr>
        <w:autoSpaceDE w:val="0"/>
        <w:autoSpaceDN w:val="0"/>
        <w:adjustRightInd w:val="0"/>
        <w:spacing w:before="120" w:after="120" w:line="240" w:lineRule="auto"/>
        <w:jc w:val="center"/>
        <w:rPr>
          <w:rFonts w:ascii="Arial" w:eastAsia="Calibri" w:hAnsi="Arial" w:cs="Arial"/>
          <w:b/>
          <w:bCs/>
          <w:sz w:val="24"/>
          <w:szCs w:val="24"/>
          <w:lang w:eastAsia="ro-RO"/>
        </w:rPr>
      </w:pPr>
      <w:r w:rsidRPr="008327F0">
        <w:rPr>
          <w:rFonts w:ascii="Arial" w:eastAsia="Calibri" w:hAnsi="Arial" w:cs="Arial"/>
          <w:b/>
          <w:bCs/>
          <w:sz w:val="24"/>
          <w:szCs w:val="24"/>
          <w:lang w:eastAsia="ro-RO"/>
        </w:rPr>
        <w:t>Evoluţia cantităţilor de nămol generate de staţiile de epurare din România</w:t>
      </w:r>
    </w:p>
    <w:p w:rsidR="008327F0" w:rsidRPr="008327F0" w:rsidRDefault="008327F0" w:rsidP="008327F0">
      <w:pPr>
        <w:autoSpaceDE w:val="0"/>
        <w:autoSpaceDN w:val="0"/>
        <w:adjustRightInd w:val="0"/>
        <w:spacing w:before="120" w:after="120" w:line="240" w:lineRule="auto"/>
        <w:ind w:firstLine="2160"/>
        <w:jc w:val="both"/>
        <w:rPr>
          <w:rFonts w:ascii="Arial" w:eastAsia="Calibri" w:hAnsi="Arial" w:cs="Arial"/>
          <w:b/>
          <w:bCs/>
          <w:sz w:val="24"/>
          <w:szCs w:val="24"/>
          <w:lang w:eastAsia="ro-RO"/>
        </w:rPr>
      </w:pPr>
      <w:r w:rsidRPr="008327F0">
        <w:rPr>
          <w:rFonts w:ascii="Arial" w:eastAsia="Calibri" w:hAnsi="Arial" w:cs="Arial"/>
          <w:b/>
          <w:bCs/>
          <w:noProof/>
          <w:sz w:val="24"/>
          <w:szCs w:val="24"/>
          <w:lang w:eastAsia="ro-RO"/>
        </w:rPr>
        <w:drawing>
          <wp:inline distT="0" distB="0" distL="0" distR="0">
            <wp:extent cx="3184525" cy="221932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84525" cy="2219325"/>
                    </a:xfrm>
                    <a:prstGeom prst="rect">
                      <a:avLst/>
                    </a:prstGeom>
                    <a:noFill/>
                  </pic:spPr>
                </pic:pic>
              </a:graphicData>
            </a:graphic>
          </wp:inline>
        </w:drawing>
      </w:r>
    </w:p>
    <w:p w:rsidR="008327F0" w:rsidRPr="008327F0" w:rsidRDefault="008327F0" w:rsidP="008327F0">
      <w:pPr>
        <w:autoSpaceDE w:val="0"/>
        <w:autoSpaceDN w:val="0"/>
        <w:adjustRightInd w:val="0"/>
        <w:spacing w:after="0" w:line="240" w:lineRule="auto"/>
        <w:ind w:firstLine="6210"/>
        <w:jc w:val="both"/>
        <w:rPr>
          <w:rFonts w:ascii="Arial" w:eastAsia="Calibri" w:hAnsi="Arial" w:cs="Arial"/>
          <w:i/>
          <w:iCs/>
          <w:sz w:val="20"/>
          <w:szCs w:val="20"/>
          <w:lang w:eastAsia="ro-RO"/>
        </w:rPr>
      </w:pPr>
      <w:r w:rsidRPr="008327F0">
        <w:rPr>
          <w:rFonts w:ascii="Arial" w:eastAsia="Calibri" w:hAnsi="Arial" w:cs="Arial"/>
          <w:b/>
          <w:sz w:val="24"/>
          <w:szCs w:val="24"/>
          <w:lang w:eastAsia="ro-RO"/>
        </w:rPr>
        <w:t>Figura II.2.2.2.7.</w:t>
      </w:r>
    </w:p>
    <w:p w:rsidR="008327F0" w:rsidRPr="008327F0" w:rsidRDefault="008327F0" w:rsidP="008327F0">
      <w:pPr>
        <w:autoSpaceDE w:val="0"/>
        <w:autoSpaceDN w:val="0"/>
        <w:adjustRightInd w:val="0"/>
        <w:spacing w:after="0" w:line="240" w:lineRule="auto"/>
        <w:jc w:val="both"/>
        <w:rPr>
          <w:rFonts w:ascii="Arial" w:eastAsia="Calibri" w:hAnsi="Arial" w:cs="Arial"/>
          <w:sz w:val="20"/>
          <w:szCs w:val="20"/>
          <w:lang w:eastAsia="ro-RO"/>
        </w:rPr>
      </w:pPr>
      <w:r w:rsidRPr="008327F0">
        <w:rPr>
          <w:rFonts w:ascii="Arial" w:eastAsia="Calibri" w:hAnsi="Arial" w:cs="Arial"/>
          <w:i/>
          <w:iCs/>
          <w:sz w:val="20"/>
          <w:szCs w:val="20"/>
          <w:lang w:eastAsia="ro-RO"/>
        </w:rPr>
        <w:lastRenderedPageBreak/>
        <w:t>(Sursa: Ministerul Mediului, Apelor și Pădurilor,  Strategia naţională de gestionare a nămolurilor de epurare - proiect POSM/6/AT/I.1.2010, "Elaborarea politicii naționale de gestionare a nămolului de epurare")</w:t>
      </w:r>
    </w:p>
    <w:p w:rsidR="008327F0" w:rsidRPr="008327F0" w:rsidRDefault="008327F0" w:rsidP="008327F0">
      <w:pPr>
        <w:spacing w:after="0" w:line="240" w:lineRule="auto"/>
        <w:ind w:firstLine="720"/>
        <w:jc w:val="both"/>
        <w:rPr>
          <w:rFonts w:ascii="Arial" w:eastAsia="Calibri" w:hAnsi="Arial" w:cs="Arial"/>
          <w:sz w:val="24"/>
          <w:szCs w:val="24"/>
          <w:lang w:val="it-IT"/>
        </w:rPr>
      </w:pPr>
    </w:p>
    <w:p w:rsidR="008327F0" w:rsidRPr="008327F0" w:rsidRDefault="008327F0" w:rsidP="008327F0">
      <w:pPr>
        <w:spacing w:after="120" w:line="240" w:lineRule="auto"/>
        <w:ind w:firstLine="720"/>
        <w:jc w:val="both"/>
        <w:rPr>
          <w:rFonts w:ascii="Arial" w:eastAsia="Calibri" w:hAnsi="Arial" w:cs="Arial"/>
          <w:sz w:val="24"/>
          <w:szCs w:val="24"/>
          <w:lang w:val="it-IT"/>
        </w:rPr>
      </w:pPr>
      <w:r w:rsidRPr="008327F0">
        <w:rPr>
          <w:rFonts w:ascii="Arial" w:eastAsia="Calibri" w:hAnsi="Arial" w:cs="Arial"/>
          <w:sz w:val="24"/>
          <w:szCs w:val="24"/>
          <w:lang w:val="it-IT"/>
        </w:rPr>
        <w:t>Din analiza comparativă a datelor din Tabelul II.2.2.2.5 și Figurile</w:t>
      </w:r>
      <w:r w:rsidRPr="008327F0">
        <w:rPr>
          <w:rFonts w:ascii="Calibri" w:eastAsia="Calibri" w:hAnsi="Calibri" w:cs="Times New Roman"/>
        </w:rPr>
        <w:t xml:space="preserve"> </w:t>
      </w:r>
      <w:r w:rsidRPr="008327F0">
        <w:rPr>
          <w:rFonts w:ascii="Arial" w:eastAsia="Calibri" w:hAnsi="Arial" w:cs="Arial"/>
          <w:sz w:val="24"/>
          <w:szCs w:val="24"/>
          <w:lang w:val="it-IT"/>
        </w:rPr>
        <w:t xml:space="preserve">II.2.2.2.6 și II.2.2.2.7, scenariul planificării pentru anul 2018 este optimist, având în vedere că acesta a plecat de la ipoteza că aglomerările umane cu mai mult de 2.000 l.e. vor fi dotate toate cu stații de epurare corespunzătoare, ceea ce de fapt nu s-a realizat practic. Astfel, la nivelul anului 2020, cantitatea de nămol generată în stațiile de epurare urbană a atins valoarea planificată din anul 2015, valoare care se situează la cca. 48% din valoarea aferentă anului 2018. </w:t>
      </w:r>
    </w:p>
    <w:p w:rsidR="008327F0" w:rsidRPr="008327F0" w:rsidRDefault="008327F0" w:rsidP="008327F0">
      <w:pPr>
        <w:spacing w:after="0" w:line="240" w:lineRule="auto"/>
        <w:ind w:firstLine="720"/>
        <w:jc w:val="both"/>
        <w:rPr>
          <w:rFonts w:ascii="Arial" w:eastAsia="Calibri" w:hAnsi="Arial" w:cs="Arial"/>
          <w:sz w:val="24"/>
          <w:szCs w:val="24"/>
          <w:lang w:val="it-IT"/>
        </w:rPr>
      </w:pPr>
      <w:r w:rsidRPr="008327F0">
        <w:rPr>
          <w:rFonts w:ascii="Arial" w:eastAsia="Calibri" w:hAnsi="Arial" w:cs="Arial"/>
          <w:sz w:val="24"/>
          <w:szCs w:val="24"/>
          <w:lang w:val="it-IT"/>
        </w:rPr>
        <w:t xml:space="preserve">În vederea accelerării procesului de conformare, Planul de conformare pentru implementare a directivei privind epurarea apelor uzate urbane este în curs de actualizare, constituind unul dintre obiectivele proiectului de asistență tehnică, denumit </w:t>
      </w:r>
      <w:r w:rsidRPr="008327F0">
        <w:rPr>
          <w:rFonts w:ascii="Arial" w:eastAsia="Calibri" w:hAnsi="Arial" w:cs="Arial"/>
          <w:b/>
          <w:bCs/>
          <w:sz w:val="24"/>
          <w:szCs w:val="24"/>
          <w:lang w:val="it-IT"/>
        </w:rPr>
        <w:t>„Îmbunătățirea capacității autorității publice centrale în domeniul managementului apelor în ceea ce privește  planificarea, implementarea și raportarea cerințelor europene din domeniul apelor”.</w:t>
      </w:r>
      <w:r w:rsidRPr="008327F0">
        <w:rPr>
          <w:rFonts w:ascii="Calibri" w:eastAsia="Calibri" w:hAnsi="Calibri" w:cs="Times New Roman"/>
        </w:rPr>
        <w:t xml:space="preserve"> </w:t>
      </w:r>
      <w:r w:rsidRPr="008327F0">
        <w:rPr>
          <w:rFonts w:ascii="Arial" w:eastAsia="Calibri" w:hAnsi="Arial" w:cs="Arial"/>
          <w:sz w:val="24"/>
          <w:szCs w:val="24"/>
          <w:lang w:val="it-IT"/>
        </w:rPr>
        <w:t xml:space="preserve">Proiectul este finanțat din fonduri europene prin Programul Operațional Capacitate Administrativă 2014-2020, Axa prioritară Administrație publică și sistem judiciar eficiente, obiectivul specific OS 1.1 Dezvoltarea și introducerea de sisteme și standarde comune în administrația publică ce optimizează procesele decizionale orientate către cetățeni și mediul de afaceri în concordanță cu SCAP.  Liderul de proiect este Ministerul Mediului, Apelor și Pădurilor, Administrația Națională  „Apele Române” partener de implementare, iar consultanții Băncii Mondiale asigură asistență  tehnică pe durata celor 31 luni de desfășurare a proiectului (2019-2022). </w:t>
      </w:r>
    </w:p>
    <w:p w:rsidR="008327F0" w:rsidRPr="008327F0" w:rsidRDefault="008327F0" w:rsidP="008327F0">
      <w:pPr>
        <w:spacing w:after="0" w:line="240" w:lineRule="auto"/>
        <w:ind w:firstLine="720"/>
        <w:jc w:val="both"/>
        <w:rPr>
          <w:rFonts w:ascii="Arial" w:eastAsia="Calibri" w:hAnsi="Arial" w:cs="Arial"/>
          <w:sz w:val="24"/>
          <w:szCs w:val="24"/>
          <w:lang w:val="it-IT"/>
        </w:rPr>
      </w:pPr>
      <w:r w:rsidRPr="008327F0">
        <w:rPr>
          <w:rFonts w:ascii="Arial" w:eastAsia="Calibri" w:hAnsi="Arial" w:cs="Arial"/>
          <w:sz w:val="24"/>
          <w:szCs w:val="24"/>
          <w:lang w:val="it-IT"/>
        </w:rPr>
        <w:t xml:space="preserve">Proiectul contribuie la fundamentarea și sprijinirea măsurilor ce vizează adaptarea structurilor, optimizarea proceselor și pregătirea resurselor umane necesare îndeplinirii obligațiilor asumate prin aquis-ul comunitar, respectiv conformarea acceleartă cu cerințele Directivei 91/271/CEE privind epurarea apelor uzate provenite de la aglomerări umane în scopul consolidării capacității autorităților și instituțiilor publice din domeniul gospodăririi apelor. Obiectivele și activitățile specifice ale proiectului vizează în principal: reactualizarea Planului de Implementare al Directivei 91/271/CEE privind epurarea apelor uzate urbane, pe baza unei noi metodologii de delimitare a aglomerărilor umane și de calcul al încărcării acestora; elaborarea Strategiei naționale privind alimentarea cu apa, colectarea si epurarea apelor uzate urbane; dezvoltarea si implementarea la nivelul Administrației Naționale „Apele Române” a unui sistem electronic de colectare, prelucrare si raportare a datelor; elaborarea și promovarea unui proiect de act normativ pentru definirea obligațiilor și responsabilitățile legate de colectarea și epurarea apelor uzate urbane. </w:t>
      </w:r>
    </w:p>
    <w:p w:rsidR="008327F0" w:rsidRPr="008327F0" w:rsidRDefault="008327F0" w:rsidP="008327F0">
      <w:pPr>
        <w:spacing w:after="0" w:line="240" w:lineRule="auto"/>
        <w:ind w:firstLine="720"/>
        <w:jc w:val="both"/>
        <w:rPr>
          <w:rFonts w:ascii="Arial" w:eastAsia="Calibri" w:hAnsi="Arial" w:cs="Arial"/>
          <w:sz w:val="24"/>
          <w:szCs w:val="24"/>
          <w:lang w:val="it-IT"/>
        </w:rPr>
      </w:pPr>
      <w:r w:rsidRPr="008327F0">
        <w:rPr>
          <w:rFonts w:ascii="Arial" w:eastAsia="Calibri" w:hAnsi="Arial" w:cs="Arial"/>
          <w:sz w:val="24"/>
          <w:szCs w:val="24"/>
          <w:lang w:val="it-IT"/>
        </w:rPr>
        <w:t xml:space="preserve">Informații privind proiectul și derularea activităților de implementare pot fi accesate pe website-ul Administrației Naționale „Apele Române”, la adresa: </w:t>
      </w:r>
      <w:hyperlink r:id="rId73" w:history="1">
        <w:r w:rsidRPr="008327F0">
          <w:rPr>
            <w:rFonts w:ascii="Arial" w:eastAsia="Calibri" w:hAnsi="Arial" w:cs="Arial"/>
            <w:color w:val="0000FF"/>
            <w:sz w:val="24"/>
            <w:szCs w:val="24"/>
            <w:u w:val="single"/>
            <w:lang w:val="it-IT"/>
          </w:rPr>
          <w:t>https://rowater.ro/despre-noi/dezvoltare-si-investitii-achizitii/proiecte-implementate-in-curs-de-implementare/proiecte-in-curs-de-implementare/proiectul-sipoca-588/</w:t>
        </w:r>
      </w:hyperlink>
      <w:r w:rsidRPr="008327F0">
        <w:rPr>
          <w:rFonts w:ascii="Arial" w:eastAsia="Calibri" w:hAnsi="Arial" w:cs="Arial"/>
          <w:sz w:val="24"/>
          <w:szCs w:val="24"/>
          <w:lang w:val="it-IT"/>
        </w:rPr>
        <w:t>, precum și pe cele ale Administrațiilor Bazinale de Apă.</w:t>
      </w:r>
    </w:p>
    <w:p w:rsidR="008327F0" w:rsidRPr="008327F0" w:rsidRDefault="008327F0" w:rsidP="008327F0">
      <w:pPr>
        <w:spacing w:after="0" w:line="240" w:lineRule="auto"/>
        <w:ind w:firstLine="634"/>
        <w:jc w:val="both"/>
        <w:rPr>
          <w:rFonts w:ascii="Arial" w:eastAsia="Calibri" w:hAnsi="Arial" w:cs="Arial"/>
          <w:sz w:val="24"/>
          <w:szCs w:val="24"/>
          <w:lang w:val="it-IT"/>
        </w:rPr>
      </w:pPr>
      <w:r w:rsidRPr="008327F0">
        <w:rPr>
          <w:rFonts w:ascii="Arial" w:eastAsia="Calibri" w:hAnsi="Arial" w:cs="Arial"/>
          <w:sz w:val="24"/>
          <w:szCs w:val="24"/>
          <w:lang w:val="it-IT"/>
        </w:rPr>
        <w:t xml:space="preserve">Autoritățile române competente consideră că actualizarea Planului de implementare  accelerată este parte integrantă din memorandumului pentru evaluarea națională și planul de acțiune privind îndeplinirea condiției favorizante privind ”Planificarea actualizată pentru investițiile necesare în sectorul apei și cel al apelor uzate”, prevăzută prin propunerea de Regulament CE de stabilire a unor prevederi comune  pentru o serie de fonduri UE post 2020 (CPR). De asemenea, în cadrul acestui proiect va fi dezvoltată, de către Ministerul Mediului, Apelor și Pădurilor o </w:t>
      </w:r>
      <w:r w:rsidRPr="008327F0">
        <w:rPr>
          <w:rFonts w:ascii="Arial" w:eastAsia="Calibri" w:hAnsi="Arial" w:cs="Arial"/>
          <w:b/>
          <w:bCs/>
          <w:sz w:val="24"/>
          <w:szCs w:val="24"/>
          <w:lang w:val="it-IT"/>
        </w:rPr>
        <w:t>Strategie națională privind alimentarea cu apă, colectarea și epurarea apelor uzate și revizuirea reglementărilor în vederea creșterii eficienței în aplicarea legislației specifice</w:t>
      </w:r>
      <w:r w:rsidRPr="008327F0">
        <w:rPr>
          <w:rFonts w:ascii="Arial" w:eastAsia="Calibri" w:hAnsi="Arial" w:cs="Arial"/>
          <w:sz w:val="24"/>
          <w:szCs w:val="24"/>
          <w:lang w:val="it-IT"/>
        </w:rPr>
        <w:t xml:space="preserve">. În cadrul Strategiei naționale se va stabili modul în care vor continua planificarea, finanțarea </w:t>
      </w:r>
      <w:r w:rsidRPr="008327F0">
        <w:rPr>
          <w:rFonts w:ascii="Arial" w:eastAsia="Calibri" w:hAnsi="Arial" w:cs="Arial"/>
          <w:sz w:val="24"/>
          <w:szCs w:val="24"/>
          <w:lang w:val="it-IT"/>
        </w:rPr>
        <w:lastRenderedPageBreak/>
        <w:t>și realizarea infrastructurii specifice. Autoritățile române competente estimează că Strategia națională va fi finalizată, similar cu Planul de conformare, la un termen corelat cu termenul ce se va stabili în cadrul memorandumului pentru evaluarea națională și planul de acțiune privind îndeplinirea condiției favorizante.</w:t>
      </w:r>
    </w:p>
    <w:p w:rsidR="008327F0" w:rsidRPr="008327F0" w:rsidRDefault="008327F0" w:rsidP="008327F0">
      <w:pPr>
        <w:spacing w:before="120" w:after="0" w:line="240" w:lineRule="auto"/>
        <w:ind w:firstLine="634"/>
        <w:jc w:val="both"/>
        <w:rPr>
          <w:rFonts w:ascii="Arial" w:eastAsia="Calibri" w:hAnsi="Arial" w:cs="Arial"/>
          <w:sz w:val="24"/>
          <w:szCs w:val="24"/>
          <w:lang w:val="it-IT"/>
        </w:rPr>
      </w:pPr>
      <w:r w:rsidRPr="008327F0">
        <w:rPr>
          <w:rFonts w:ascii="Arial" w:eastAsia="Calibri" w:hAnsi="Arial" w:cs="Arial"/>
          <w:sz w:val="24"/>
          <w:szCs w:val="24"/>
          <w:lang w:val="it-IT"/>
        </w:rPr>
        <w:t>Proiectul mai sus menționat se va sprijini pe rezultatele obținute din alt proiect de asistență tehnică finanțat din Programul Operațional Asistență Tehnică 2014-2020, implementat de Ministerul Fondurilor Europene, prin Autoritatea de Management pentru Programul Operațional Infrastructură Mare (AM POIM), sub asistența tehnică a  Băncii Europene de Reconstrucție și Dezvoltare (BERD) și în colaborare cu Ministerul Apelor și Pădurilor, Asociația Română a Apei și Autoritatea Națională de Reglementare pentru Serviciile Comunitare de Utilități Publice. Proiectul „Asistență tehnică pentru consolidarea Sectorului de apă și apă uzată în România” a cuprins:</w:t>
      </w:r>
    </w:p>
    <w:p w:rsidR="008327F0" w:rsidRPr="008327F0" w:rsidRDefault="008327F0" w:rsidP="008327F0">
      <w:pPr>
        <w:numPr>
          <w:ilvl w:val="0"/>
          <w:numId w:val="33"/>
        </w:numPr>
        <w:spacing w:after="0" w:line="240" w:lineRule="auto"/>
        <w:ind w:left="270" w:hanging="270"/>
        <w:jc w:val="both"/>
        <w:rPr>
          <w:rFonts w:ascii="Arial" w:eastAsia="Calibri" w:hAnsi="Arial" w:cs="Arial"/>
          <w:sz w:val="24"/>
          <w:szCs w:val="24"/>
          <w:lang w:val="it-IT"/>
        </w:rPr>
      </w:pPr>
      <w:r w:rsidRPr="008327F0">
        <w:rPr>
          <w:rFonts w:ascii="Arial" w:eastAsia="Calibri" w:hAnsi="Arial" w:cs="Arial"/>
          <w:sz w:val="24"/>
          <w:szCs w:val="24"/>
          <w:lang w:val="it-IT"/>
        </w:rPr>
        <w:t>o analiză completă a sectorului de apă și apă uzată;</w:t>
      </w:r>
    </w:p>
    <w:p w:rsidR="008327F0" w:rsidRPr="008327F0" w:rsidRDefault="008327F0" w:rsidP="008327F0">
      <w:pPr>
        <w:numPr>
          <w:ilvl w:val="0"/>
          <w:numId w:val="33"/>
        </w:numPr>
        <w:spacing w:after="0" w:line="240" w:lineRule="auto"/>
        <w:ind w:left="270" w:hanging="270"/>
        <w:jc w:val="both"/>
        <w:rPr>
          <w:rFonts w:ascii="Arial" w:eastAsia="Calibri" w:hAnsi="Arial" w:cs="Arial"/>
          <w:sz w:val="24"/>
          <w:szCs w:val="24"/>
          <w:lang w:val="it-IT"/>
        </w:rPr>
      </w:pPr>
      <w:r w:rsidRPr="008327F0">
        <w:rPr>
          <w:rFonts w:ascii="Arial" w:eastAsia="Calibri" w:hAnsi="Arial" w:cs="Arial"/>
          <w:sz w:val="24"/>
          <w:szCs w:val="24"/>
          <w:lang w:val="it-IT"/>
        </w:rPr>
        <w:t>opțiuni strategice privind dezvoltarea și consolidarea politicii de regionalizare;</w:t>
      </w:r>
    </w:p>
    <w:p w:rsidR="008327F0" w:rsidRPr="008327F0" w:rsidRDefault="008327F0" w:rsidP="008327F0">
      <w:pPr>
        <w:numPr>
          <w:ilvl w:val="0"/>
          <w:numId w:val="33"/>
        </w:numPr>
        <w:spacing w:after="0" w:line="240" w:lineRule="auto"/>
        <w:ind w:left="270" w:hanging="270"/>
        <w:jc w:val="both"/>
        <w:rPr>
          <w:rFonts w:ascii="Arial" w:eastAsia="Calibri" w:hAnsi="Arial" w:cs="Arial"/>
          <w:sz w:val="24"/>
          <w:szCs w:val="24"/>
          <w:lang w:val="it-IT"/>
        </w:rPr>
      </w:pPr>
      <w:r w:rsidRPr="008327F0">
        <w:rPr>
          <w:rFonts w:ascii="Arial" w:eastAsia="Calibri" w:hAnsi="Arial" w:cs="Arial"/>
          <w:sz w:val="24"/>
          <w:szCs w:val="24"/>
          <w:lang w:val="it-IT"/>
        </w:rPr>
        <w:t>stabilirea acelorași tipuri de indicatori în contractul de delegare, calculați în baza unei metodologii comune;</w:t>
      </w:r>
    </w:p>
    <w:p w:rsidR="008327F0" w:rsidRPr="008327F0" w:rsidRDefault="008327F0" w:rsidP="008327F0">
      <w:pPr>
        <w:numPr>
          <w:ilvl w:val="0"/>
          <w:numId w:val="33"/>
        </w:numPr>
        <w:spacing w:after="0" w:line="240" w:lineRule="auto"/>
        <w:ind w:left="270" w:hanging="270"/>
        <w:jc w:val="both"/>
        <w:rPr>
          <w:rFonts w:ascii="Arial" w:eastAsia="Calibri" w:hAnsi="Arial" w:cs="Arial"/>
          <w:sz w:val="24"/>
          <w:szCs w:val="24"/>
          <w:lang w:val="it-IT"/>
        </w:rPr>
      </w:pPr>
      <w:r w:rsidRPr="008327F0">
        <w:rPr>
          <w:rFonts w:ascii="Arial" w:eastAsia="Calibri" w:hAnsi="Arial" w:cs="Arial"/>
          <w:sz w:val="24"/>
          <w:szCs w:val="24"/>
          <w:lang w:val="it-IT"/>
        </w:rPr>
        <w:t>dezvoltarea actualei platforme de benchmarking;</w:t>
      </w:r>
    </w:p>
    <w:p w:rsidR="008327F0" w:rsidRPr="008327F0" w:rsidRDefault="008327F0" w:rsidP="008327F0">
      <w:pPr>
        <w:numPr>
          <w:ilvl w:val="0"/>
          <w:numId w:val="33"/>
        </w:numPr>
        <w:spacing w:after="0" w:line="240" w:lineRule="auto"/>
        <w:ind w:left="270" w:hanging="270"/>
        <w:jc w:val="both"/>
        <w:rPr>
          <w:rFonts w:ascii="Arial" w:eastAsia="Calibri" w:hAnsi="Arial" w:cs="Arial"/>
          <w:sz w:val="24"/>
          <w:szCs w:val="24"/>
          <w:lang w:val="it-IT"/>
        </w:rPr>
      </w:pPr>
      <w:r w:rsidRPr="008327F0">
        <w:rPr>
          <w:rFonts w:ascii="Arial" w:eastAsia="Calibri" w:hAnsi="Arial" w:cs="Arial"/>
          <w:sz w:val="24"/>
          <w:szCs w:val="24"/>
          <w:lang w:val="it-IT"/>
        </w:rPr>
        <w:t>analiza și revizuirea contractului-cadru de delegare, inclusiv elaborarea unei metodologii de revizuire a acestuia la fiecare 5 ani;</w:t>
      </w:r>
    </w:p>
    <w:p w:rsidR="008327F0" w:rsidRPr="008327F0" w:rsidRDefault="008327F0" w:rsidP="008327F0">
      <w:pPr>
        <w:numPr>
          <w:ilvl w:val="0"/>
          <w:numId w:val="33"/>
        </w:numPr>
        <w:spacing w:after="0" w:line="240" w:lineRule="auto"/>
        <w:ind w:left="270" w:hanging="270"/>
        <w:jc w:val="both"/>
        <w:rPr>
          <w:rFonts w:ascii="Arial" w:eastAsia="Calibri" w:hAnsi="Arial" w:cs="Arial"/>
          <w:sz w:val="24"/>
          <w:szCs w:val="24"/>
          <w:lang w:val="it-IT"/>
        </w:rPr>
      </w:pPr>
      <w:r w:rsidRPr="008327F0">
        <w:rPr>
          <w:rFonts w:ascii="Arial" w:eastAsia="Calibri" w:hAnsi="Arial" w:cs="Arial"/>
          <w:sz w:val="24"/>
          <w:szCs w:val="24"/>
          <w:lang w:val="it-IT"/>
        </w:rPr>
        <w:t>instruiri și seminarii regionale și naționale și vizite de studiu..</w:t>
      </w:r>
    </w:p>
    <w:p w:rsidR="008327F0" w:rsidRPr="008327F0" w:rsidRDefault="008327F0" w:rsidP="008327F0">
      <w:pPr>
        <w:spacing w:after="0" w:line="240" w:lineRule="auto"/>
        <w:jc w:val="both"/>
        <w:rPr>
          <w:rFonts w:ascii="Arial" w:eastAsia="Calibri" w:hAnsi="Arial" w:cs="Arial"/>
          <w:sz w:val="24"/>
          <w:szCs w:val="24"/>
          <w:lang w:val="it-IT"/>
        </w:rPr>
      </w:pPr>
      <w:r w:rsidRPr="008327F0">
        <w:rPr>
          <w:rFonts w:ascii="Arial" w:eastAsia="Calibri" w:hAnsi="Arial" w:cs="Arial"/>
          <w:sz w:val="24"/>
          <w:szCs w:val="24"/>
          <w:lang w:val="it-IT"/>
        </w:rPr>
        <w:t xml:space="preserve">În cadrul proiectului a fost implementată acțiunea privind analiza sectorului de apă și apă uzată, precum și realizarea documentului privind opțiunile strategice, documente ce au fost circulate pentru observații și comentarii către toți factorii implicați în sectorul de apă. De asemenea, au fost realizate rapoartele privind metodologia de benchmarking si a avut loc serii de seminarii regionale având ca temă apa nefacturată, contractele pe bază de performanță, managementul activelor și managementul contractului de delegare, precum și îmbunătățirea relațiilor instituționale. </w:t>
      </w:r>
    </w:p>
    <w:p w:rsidR="008327F0" w:rsidRPr="008327F0" w:rsidRDefault="008327F0" w:rsidP="008327F0">
      <w:pPr>
        <w:spacing w:after="0" w:line="240" w:lineRule="auto"/>
        <w:jc w:val="both"/>
        <w:rPr>
          <w:rFonts w:ascii="Arial" w:eastAsia="Calibri" w:hAnsi="Arial" w:cs="Arial"/>
          <w:sz w:val="24"/>
          <w:szCs w:val="24"/>
          <w:lang w:val="it-IT"/>
        </w:rPr>
      </w:pPr>
      <w:r w:rsidRPr="008327F0">
        <w:rPr>
          <w:rFonts w:ascii="Arial" w:eastAsia="Calibri" w:hAnsi="Arial" w:cs="Arial"/>
          <w:sz w:val="24"/>
          <w:szCs w:val="24"/>
          <w:lang w:val="it-IT"/>
        </w:rPr>
        <w:t xml:space="preserve">Principalele rezultate finale ale proiectului au constat în: elaborarea „Raportului privind optiunile strategice pentru consolidarea si dezvoltarea sectorului de apa din Romania 2020-2035”, actualizarea platformei de benchmarking (H2O BENCHMARK </w:t>
      </w:r>
      <w:hyperlink r:id="rId74" w:anchor="!/Pages/Proiecte" w:history="1">
        <w:r w:rsidRPr="008327F0">
          <w:rPr>
            <w:rFonts w:ascii="Arial" w:eastAsia="Calibri" w:hAnsi="Arial" w:cs="Arial"/>
            <w:color w:val="0000FF"/>
            <w:sz w:val="24"/>
            <w:szCs w:val="24"/>
            <w:u w:val="single"/>
            <w:lang w:val="it-IT"/>
          </w:rPr>
          <w:t>http://h2obenchmark.org/#!/Pages/Proiecte</w:t>
        </w:r>
      </w:hyperlink>
      <w:r w:rsidRPr="008327F0">
        <w:rPr>
          <w:rFonts w:ascii="Arial" w:eastAsia="Calibri" w:hAnsi="Arial" w:cs="Arial"/>
          <w:sz w:val="24"/>
          <w:szCs w:val="24"/>
          <w:lang w:val="it-IT"/>
        </w:rPr>
        <w:t>), raport privind metodologia de tarifare, etc.</w:t>
      </w:r>
    </w:p>
    <w:p w:rsidR="008327F0" w:rsidRPr="00242122" w:rsidRDefault="008327F0" w:rsidP="002967F0">
      <w:pPr>
        <w:rPr>
          <w:rFonts w:ascii="Arial" w:hAnsi="Arial" w:cs="Arial"/>
          <w:color w:val="FF0000"/>
        </w:rPr>
      </w:pPr>
    </w:p>
    <w:p w:rsidR="002967F0" w:rsidRPr="00242122" w:rsidRDefault="002967F0" w:rsidP="002967F0">
      <w:pPr>
        <w:rPr>
          <w:rFonts w:ascii="Arial" w:hAnsi="Arial" w:cs="Arial"/>
          <w:b/>
          <w:bCs/>
          <w:sz w:val="24"/>
          <w:szCs w:val="24"/>
        </w:rPr>
      </w:pPr>
      <w:r w:rsidRPr="00242122">
        <w:rPr>
          <w:rFonts w:ascii="Arial" w:hAnsi="Arial" w:cs="Arial"/>
          <w:b/>
          <w:bCs/>
          <w:sz w:val="24"/>
          <w:szCs w:val="24"/>
        </w:rPr>
        <w:t>II.2.3 Tendinţe şi prognoze privind calitatea apei</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 xml:space="preserve">Având în vedere natura substanţelor poluante din apele uzate, cât şi sursele de poluare aferente, gospodărirea apelor uzate se realizează în acord cu prevederile europene în domeniul apelor, în special cu cele ale Directivei Cadru a Apei (Directiva 2000/60/CE), care stabileşte cadrul politic de gestionare a apelor în Uniunea Europeană, bazat pe principiile dezvoltării durabile şi care integrează toate problemele apei. Sub umbrela Directivei Cadru a Apei sunt reunite cerinţele de calitate a apei corespunzătoare şi celorlalte cerinţe ale directivelor europene în domeniul apelor. </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 xml:space="preserve">Planurile de management ale bazinelor hirografice reprezintă principalul instrument de implementare a Directivei Cadru privind Apa 2000/60/CE și a majorităţii prevederilor din celelalte directive europene din domeniul calităţii apei. Cele mai importante directive a căror implementare asigură reducerea poluării apelor uzate sunt Directiva 91/271/CEE privind epurarea apelor uzate urbane, amendată de Directiva 98/15/EC şi de Regulamentul (CE) nr. 1882/2003, Directiva 2006/11/CE privind poluarea cauzată de anumite substanţe periculoase evacuate în mediul acvatic al Comunităţii şi Directivele “fiice” 82/176/CEE, 83/513/CEE, 84/156/CEE, 84/491/CEE și 86/280/CEE, modificate prin 88/347/CEE și 90/415/CEE, Directiva 91/676/CEE privind protecția apelor împotriva </w:t>
      </w:r>
      <w:r w:rsidRPr="00242122">
        <w:rPr>
          <w:rFonts w:ascii="Arial" w:hAnsi="Arial" w:cs="Arial"/>
          <w:sz w:val="24"/>
          <w:szCs w:val="24"/>
          <w:lang w:val="it-IT"/>
        </w:rPr>
        <w:lastRenderedPageBreak/>
        <w:t>poluării cauzate de nitraţii proveniţi din surse agricole, amendată de Regulamentul (CE) nr. 1882/2003.</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Directiva Cadru 2000/60/CE în domeniul apei constituie o abordare nouă în domeniul gospodăririi apelor, bazându-se pe principiul bazinal şi impunând termene stricte pentru realizarea programului de măsuri. Obiectivul central al Directivei Cadru în domeniul Apei (DCA) este acela de a obţine o „stare bună” pentru toate corpurile de apă, atât pentru cele de suprafaţă cât şi pentru cele subterane, cu excepţia corpurilor puternic modificate și artificiale, pentru care se defineşte „potenţialul ecologic bun”. Conform acestei Directive, Statele Membre din Uniunea Europeană trebuie să asigure atingerea stării bune a tuturor apelor de suprafaţă până în anul 2015, mai puţin corpurile de apă pentru care se cer excepţii de la atingerea obiectivelor de mediu.</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 xml:space="preserve">În conformitate cu cerinţele art. 14(1b) al Directivei Cadru Apă, la 22 decembrie 2019 a fost publicat </w:t>
      </w:r>
      <w:r w:rsidRPr="00242122">
        <w:rPr>
          <w:rFonts w:ascii="Arial" w:hAnsi="Arial" w:cs="Arial"/>
          <w:b/>
          <w:i/>
          <w:sz w:val="24"/>
          <w:szCs w:val="24"/>
          <w:lang w:val="it-IT"/>
        </w:rPr>
        <w:t xml:space="preserve">Documentul privind problemele importante de gospodărirea apelor </w:t>
      </w:r>
      <w:r w:rsidRPr="00242122">
        <w:rPr>
          <w:rFonts w:ascii="Arial" w:hAnsi="Arial" w:cs="Arial"/>
          <w:sz w:val="24"/>
          <w:szCs w:val="24"/>
          <w:lang w:val="it-IT"/>
        </w:rPr>
        <w:t>realizat la nivel bazinal şi naţional, care a inclus și rezultatele procesului de informare şi consultare a publicului pe o durată de 6 luni (iunie - decembrie 2019).</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 xml:space="preserve"> (</w:t>
      </w:r>
      <w:hyperlink r:id="rId75" w:history="1">
        <w:r w:rsidRPr="00242122">
          <w:rPr>
            <w:rStyle w:val="Hyperlink"/>
            <w:rFonts w:ascii="Arial" w:hAnsi="Arial" w:cs="Arial"/>
            <w:i/>
            <w:iCs/>
            <w:sz w:val="24"/>
            <w:szCs w:val="24"/>
            <w:lang w:val="it-IT"/>
          </w:rPr>
          <w:t>https://rowater.ro/wp-content/uploads/2020/12/Probleme-Importante-de-Gospodarire-a-Apelor-Sinteza-Nationala-2019.pdf</w:t>
        </w:r>
      </w:hyperlink>
      <w:r w:rsidRPr="00242122">
        <w:rPr>
          <w:rFonts w:ascii="Arial" w:hAnsi="Arial" w:cs="Arial"/>
          <w:i/>
          <w:sz w:val="24"/>
          <w:szCs w:val="24"/>
          <w:lang w:val="it-IT"/>
        </w:rPr>
        <w:t>).</w:t>
      </w:r>
      <w:r w:rsidRPr="00242122">
        <w:rPr>
          <w:rFonts w:ascii="Arial" w:hAnsi="Arial" w:cs="Arial"/>
          <w:sz w:val="24"/>
          <w:szCs w:val="24"/>
          <w:lang w:val="it-IT"/>
        </w:rPr>
        <w:t xml:space="preserve"> </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Documentul își propune să evidențieze problemele importante de gospodărirea apelor în România - problematici cheie care stau la baza stabilirii măsurilor necesare atingerii obiectivelor de mediu. Problemele importante de gospodărirea apelor sunt tratate în relație cu presiunile exercitate asupra corpurilor de apă de suprafață și subterane pentru care există riscul neatingerii obiectivelor de mediu, precum şi a sectoarelor economice aferente acestor presiuni și sunt în concordanță cu problemele de gospodărire a apelor de la nivelul Districtului Internațional al Dunării în cadrul documentului Significant Water Management Issues 2019, elaborat de către  Comisia Internațională pentru Protecția fluviului Dunărea (ICPDR), cu contribuția țărilor dunărene (</w:t>
      </w:r>
      <w:hyperlink r:id="rId76" w:history="1">
        <w:r w:rsidRPr="00242122">
          <w:rPr>
            <w:rStyle w:val="Hyperlink"/>
            <w:rFonts w:ascii="Arial" w:hAnsi="Arial" w:cs="Arial"/>
            <w:i/>
            <w:iCs/>
            <w:sz w:val="24"/>
            <w:szCs w:val="24"/>
            <w:lang w:val="it-IT"/>
          </w:rPr>
          <w:t>https://www.icpdr.org/main/public-participation-interim-overview-swmi</w:t>
        </w:r>
      </w:hyperlink>
      <w:r w:rsidRPr="00242122">
        <w:rPr>
          <w:rFonts w:ascii="Arial" w:hAnsi="Arial" w:cs="Arial"/>
          <w:sz w:val="24"/>
          <w:szCs w:val="24"/>
          <w:lang w:val="it-IT"/>
        </w:rPr>
        <w:t>).</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 xml:space="preserve">Următoarele problematici importante privind gospodărirea apelor care afectează în mod direct sau indirect starea apelor de suprafaţă şi apelor subterane, cu impact major în gestiunea resurselor de apă au fost identificate: poluarea cu substanţe organice, poluarea cu nutrienţi, poluarea cu substanţe periculoase și alterările hidromorfologice. </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b/>
          <w:i/>
          <w:sz w:val="24"/>
          <w:szCs w:val="24"/>
          <w:lang w:val="it-IT"/>
        </w:rPr>
        <w:t>Poluarea cu substanţe organice</w:t>
      </w:r>
      <w:r w:rsidRPr="00242122">
        <w:rPr>
          <w:rFonts w:ascii="Arial" w:hAnsi="Arial" w:cs="Arial"/>
          <w:sz w:val="24"/>
          <w:szCs w:val="24"/>
          <w:lang w:val="it-IT"/>
        </w:rPr>
        <w:t xml:space="preserve"> este cauzată în principal de emisiile directe sau indirecte de ape uzate insuficient epurate sau neepurate de la aglomerări umane, din surse industriale sau agricole, și produce schimbări semnificative în balanţa oxigenului în apele de suprafaţă şi în consecinţă are impact asupra compoziţiei speciilor/populaţiilor acvatice şi respectiv, asupra stării ecologice a apelor. </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 xml:space="preserve">O problemă importantă de gospodărirea apelor este </w:t>
      </w:r>
      <w:r w:rsidRPr="00242122">
        <w:rPr>
          <w:rFonts w:ascii="Arial" w:hAnsi="Arial" w:cs="Arial"/>
          <w:b/>
          <w:i/>
          <w:sz w:val="24"/>
          <w:szCs w:val="24"/>
          <w:lang w:val="it-IT"/>
        </w:rPr>
        <w:t>poluarea cu nutrienți</w:t>
      </w:r>
      <w:r w:rsidRPr="00242122">
        <w:rPr>
          <w:rFonts w:ascii="Arial" w:hAnsi="Arial" w:cs="Arial"/>
          <w:sz w:val="24"/>
          <w:szCs w:val="24"/>
          <w:lang w:val="it-IT"/>
        </w:rPr>
        <w:t>, în special cu azot și fosfor. Nutrienţii în exces conduc la eutrofizarea apelor, ceea ce determină schimbarea compoziţiei și scăderea biodiversitatii speciilor, precum şi reducerea posibilității de utilizare a resurselor de apă în scop potabil, recreațional, etc. Ca şi în cazul substanţelor organice, emisiile de nutrienţi provin atât din surse punctiforme (ape uzate urbane, industriale şi agricole neepurate sau insuficient epurate), cât şi din surse difuze (în special, cele agricole: creşterea animalelor, utilizarea fertilizanţilor, etc).</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 xml:space="preserve">Directiva </w:t>
      </w:r>
      <w:r w:rsidRPr="00242122">
        <w:rPr>
          <w:rFonts w:ascii="Arial" w:hAnsi="Arial" w:cs="Arial"/>
          <w:i/>
          <w:sz w:val="24"/>
          <w:szCs w:val="24"/>
          <w:lang w:val="it-IT"/>
        </w:rPr>
        <w:t>Consiliului 91/676/EEC privind Protecţia apelor împotriva poluării cu nitraţi din surse agricole</w:t>
      </w:r>
      <w:r w:rsidRPr="00242122">
        <w:rPr>
          <w:rFonts w:ascii="Arial" w:hAnsi="Arial" w:cs="Arial"/>
          <w:sz w:val="24"/>
          <w:szCs w:val="24"/>
          <w:lang w:val="it-IT"/>
        </w:rPr>
        <w:t xml:space="preserve"> </w:t>
      </w:r>
      <w:r w:rsidRPr="00242122">
        <w:rPr>
          <w:rFonts w:ascii="Arial" w:hAnsi="Arial" w:cs="Arial"/>
          <w:color w:val="000000"/>
          <w:sz w:val="24"/>
          <w:szCs w:val="24"/>
        </w:rPr>
        <w:t>(numită Directiva Nitrați)</w:t>
      </w:r>
      <w:r w:rsidRPr="00242122">
        <w:rPr>
          <w:rFonts w:ascii="Arial" w:hAnsi="Arial" w:cs="Arial"/>
          <w:b/>
          <w:color w:val="000000"/>
        </w:rPr>
        <w:t xml:space="preserve"> </w:t>
      </w:r>
      <w:r w:rsidRPr="00242122">
        <w:rPr>
          <w:rFonts w:ascii="Arial" w:hAnsi="Arial" w:cs="Arial"/>
          <w:sz w:val="24"/>
          <w:szCs w:val="24"/>
          <w:lang w:val="it-IT"/>
        </w:rPr>
        <w:t>este principalul instrument comunitar care reglementează poluarea cu nitrați provenită din agricultură. Principalele obiective ale acestei directive sunt reducerea poluării produsă sau indusă de nitraţii proveni</w:t>
      </w:r>
      <w:r w:rsidRPr="00242122">
        <w:rPr>
          <w:rFonts w:ascii="Arial" w:hAnsi="Arial" w:cs="Arial"/>
          <w:sz w:val="24"/>
          <w:szCs w:val="24"/>
        </w:rPr>
        <w:t>ți</w:t>
      </w:r>
      <w:r w:rsidRPr="00242122">
        <w:rPr>
          <w:rFonts w:ascii="Arial" w:hAnsi="Arial" w:cs="Arial"/>
          <w:sz w:val="24"/>
          <w:szCs w:val="24"/>
          <w:lang w:val="it-IT"/>
        </w:rPr>
        <w:t xml:space="preserve"> din surse agricole, raţionalizarea şi optimizarea utilizării îngrăşămintelor chimice şi organice ce </w:t>
      </w:r>
      <w:r w:rsidRPr="00242122">
        <w:rPr>
          <w:rFonts w:ascii="Arial" w:hAnsi="Arial" w:cs="Arial"/>
          <w:sz w:val="24"/>
          <w:szCs w:val="24"/>
          <w:lang w:val="it-IT"/>
        </w:rPr>
        <w:lastRenderedPageBreak/>
        <w:t>conţin compuşi ai azotului şi prevenirea poluării apelor cu nitraţi. Aceste obiective sunt cuprinse în planuri de acţiune.</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 xml:space="preserve">Conform planului de acțiune și articolelor 4 și 5 ale Directivei 91/676/EEC au fost elaborate şi aplicate Coduri de bune practici agricole, cât şi Programe de Acţiune pentru protecţia apelor împotriva poluării cu nitraţi din surse agricole. Acestea s-au aplicat la început doar în zonele vulnerabile la poluarea cu nitrați din surse agricole, desemnate în România încă din anul 2005. La prima desemnare zonele vulnerabile la nitrați (ZVN) din surse agricole ocupau 6,94% din teritoriul României. În anul 2008 ZVN au fost revizuite, extinzându-se  suprafaţa la 58% din teritoriul României. În anul 2013, în urma consultărilor cu Comisia Europeană s-a agreat ca România să nu mai desemneze zone vulnerabile la nitrați, ci să aplice prevederile Codului de Bune Practici Agricole și  măsurile din Programele de Acțiune pe întreg teritoriul țării, conform prevederilor articolului 3 (5) al Directivei. Noul Program de Acţiune a fost îmbunătăţit şi aprobat prin Decizia nr. 221983/GC/12.06.2013, avand, în principal, în vedere aplicarea principiului de prevenire a poluării. </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 xml:space="preserve">Implementarea Directivei 91/676/EEC este pusă în practică în România prin Planul de acţiune pentru protecţia apelor impotriva poluarii cu nitrati proveniţi din surse agricole, aprobat prin HG 964/2000 </w:t>
      </w:r>
      <w:r w:rsidRPr="00242122">
        <w:rPr>
          <w:rFonts w:ascii="Arial" w:hAnsi="Arial" w:cs="Arial"/>
          <w:color w:val="000000"/>
          <w:sz w:val="24"/>
          <w:szCs w:val="24"/>
        </w:rPr>
        <w:t xml:space="preserve">și HG nr. 587/2021 pentru modificarea şi completarea anexei la Hotărârea Guvernului nr. 964/2000 </w:t>
      </w:r>
      <w:r w:rsidRPr="00242122">
        <w:rPr>
          <w:rFonts w:ascii="Arial" w:hAnsi="Arial" w:cs="Arial"/>
          <w:sz w:val="24"/>
          <w:szCs w:val="24"/>
          <w:lang w:val="it-IT"/>
        </w:rPr>
        <w:t>privind aprobarea Planului de acţiune pentru protecţia apelor impotriva poluarii cu nitrati proveniţi din surse agricole, cu completările şi modificările ulterioare, survenite în urma deciziei de aplicare a Programului de Acțiune pe întreg teritoriul României.</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Prevederile programului de acţiune sunt obligatorii pentru toţi fermierii care deţin sau administrează exploataţii agricole şi pentru autorităţile administraţiei publice locale ale comunelor, oraşelor şi municipiilor pe teritoriul cărora există exploataţii agricole.</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În vederea reducerii și prevenirii poluării cu nitraţi din surse agricole, s-a prevăzut ca măsură generală de bază, pe întreg teritoriul României, aplicarea programelor de acţiune pe întreg teritoriul României.</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 xml:space="preserve">Hotărârea de Guvern nr. 964/2000, prin care Directiva 91/676/CEE privind protecția apelor împotriva poluării cu nitrați din surse agricole a fost transpusă în legislația internă din România a suferit modificări ce au intrat în vigoare începând cu data de 4 iunie 2021, când </w:t>
      </w:r>
      <w:r w:rsidRPr="00242122">
        <w:rPr>
          <w:rFonts w:ascii="Arial" w:hAnsi="Arial" w:cs="Arial"/>
          <w:b/>
          <w:bCs/>
          <w:sz w:val="24"/>
          <w:szCs w:val="24"/>
          <w:lang w:val="it-IT"/>
        </w:rPr>
        <w:t>HG nr. 587/2021</w:t>
      </w:r>
      <w:r w:rsidRPr="00242122">
        <w:rPr>
          <w:rFonts w:ascii="Arial" w:hAnsi="Arial" w:cs="Arial"/>
          <w:sz w:val="24"/>
          <w:szCs w:val="24"/>
          <w:lang w:val="it-IT"/>
        </w:rPr>
        <w:t xml:space="preserve"> a fost publicată în Monitorul Oficial. </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 xml:space="preserve">Cea mai importantă modificare, în ceea ce îi privește pe fermieri, se referă la obligațiile legale ale acestora, care sunt acum cuprinse în Programul de acțiune pentru protecția apelor împotriva poluării cu nitrați proveniți din surse agricole (Programul de acțiune). Până la modificarea adusă de această Hotărâre de Guvern, prevederile obligatorii erau cuprinse în Codul de bune practici agricole. Prin separarea normelor obligatorii de recomandări se simplifică textul legislativ și, pe cale de consecință, se ușurează înțelegerea și aplicarea prevederilor legale. </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Totodată, Codul de bune practici agricole a devenit un document consultativ pentru fermieri. Trebuie avut în vedere că aplicarea de agricultori în mod voluntar nu se referă și la acele măsuri care sunt cuprinse și în Programul de acțiune, acestea din urmă fiind obligatorii. De asemenea, în legătură cu codul de bune practici agricole, în cazul când prevederile acestuia sunt parte din cerinţele legale în materie de gestionare (SMR) şi standardele privind bunele condiţii agricole şi de mediu (GAEC), acestea sunt obligatorii în condițiile solicitării și aprobării oricărei forme de sprijin financiar.</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 xml:space="preserve">De asemenea, implementarea măsurilor conform cerințelor Directivei 91/271/CEE privind epurarea apelor uzate urbane, modificată și completată prin directiva 98/15/CE, contribuie la reducerea emisiilor de nutrienți. </w:t>
      </w:r>
    </w:p>
    <w:p w:rsidR="002967F0" w:rsidRPr="00242122" w:rsidRDefault="002967F0" w:rsidP="002967F0">
      <w:pPr>
        <w:spacing w:before="120" w:after="120" w:line="240" w:lineRule="auto"/>
        <w:ind w:firstLine="720"/>
        <w:jc w:val="both"/>
        <w:rPr>
          <w:rFonts w:ascii="Arial" w:hAnsi="Arial" w:cs="Arial"/>
          <w:color w:val="000000"/>
          <w:sz w:val="24"/>
          <w:szCs w:val="24"/>
        </w:rPr>
      </w:pPr>
      <w:r w:rsidRPr="00242122">
        <w:rPr>
          <w:rFonts w:ascii="Arial" w:hAnsi="Arial" w:cs="Arial"/>
          <w:color w:val="000000"/>
          <w:sz w:val="24"/>
          <w:szCs w:val="24"/>
        </w:rPr>
        <w:lastRenderedPageBreak/>
        <w:t xml:space="preserve">La nivel național sunt necesare </w:t>
      </w:r>
      <w:r w:rsidRPr="00242122">
        <w:rPr>
          <w:rFonts w:ascii="Arial" w:hAnsi="Arial" w:cs="Arial"/>
          <w:b/>
          <w:color w:val="000000"/>
          <w:sz w:val="24"/>
          <w:szCs w:val="24"/>
        </w:rPr>
        <w:t xml:space="preserve">măsuri suplimentare pentru </w:t>
      </w:r>
      <w:r w:rsidRPr="00242122">
        <w:rPr>
          <w:rFonts w:ascii="Arial" w:hAnsi="Arial" w:cs="Arial"/>
          <w:b/>
          <w:sz w:val="24"/>
          <w:szCs w:val="24"/>
        </w:rPr>
        <w:t xml:space="preserve">reducerea poluării generate de activitățile agricole (ferme zootehnice - poluare punctiformă, măsuri pentru reducerea poluării difuze generate de ferme zootehnice, vegetale și asupra terenurilor agricole), </w:t>
      </w:r>
      <w:r w:rsidRPr="00242122">
        <w:rPr>
          <w:rFonts w:ascii="Arial" w:hAnsi="Arial" w:cs="Arial"/>
          <w:sz w:val="24"/>
          <w:szCs w:val="24"/>
        </w:rPr>
        <w:t xml:space="preserve">în </w:t>
      </w:r>
      <w:r w:rsidRPr="00242122">
        <w:rPr>
          <w:rFonts w:ascii="Arial" w:hAnsi="Arial" w:cs="Arial"/>
          <w:color w:val="000000"/>
          <w:sz w:val="24"/>
          <w:szCs w:val="24"/>
        </w:rPr>
        <w:t xml:space="preserve">vederea atingerii obiectivelor de mediu ale corpurilor de apă. Măsurile propuse sunt altele decât măsurile de bază pentru punerea în aplicare a Directivelor europene, în principal Directiva Consiliului 91/676/EEC privind protecţia apelor împotriva poluării cu nitraţi proveniți din surse agricole, Directiva 2009/128/CE de stabilire a unui cadru de acțiune comunitară în vederea utilizării durabile a pesticidelor și Regulamentul (CE) nr. 1.107/2009 al Parlamentului European și al Consiliului din 21 octombrie 2009 privind introducerea pe piață a produselor fitosanitare și de abrogare a Directivelor 79/117/CEE și 91/414/ CEE ale Consiliului. </w:t>
      </w:r>
    </w:p>
    <w:p w:rsidR="002967F0" w:rsidRPr="00242122" w:rsidRDefault="002967F0" w:rsidP="002967F0">
      <w:pPr>
        <w:spacing w:before="120" w:after="120" w:line="240" w:lineRule="auto"/>
        <w:ind w:firstLine="720"/>
        <w:jc w:val="both"/>
        <w:rPr>
          <w:rFonts w:ascii="Arial" w:hAnsi="Arial" w:cs="Arial"/>
          <w:b/>
          <w:color w:val="000000"/>
          <w:sz w:val="24"/>
          <w:szCs w:val="24"/>
        </w:rPr>
      </w:pPr>
      <w:r w:rsidRPr="00242122">
        <w:rPr>
          <w:rFonts w:ascii="Arial" w:hAnsi="Arial" w:cs="Arial"/>
          <w:b/>
          <w:color w:val="000000"/>
          <w:sz w:val="24"/>
          <w:szCs w:val="24"/>
        </w:rPr>
        <w:t xml:space="preserve">În contextul actualizării legislației în ceea ce privește aplicarea Codului de bune practici agricole, prin </w:t>
      </w:r>
      <w:r w:rsidRPr="00242122">
        <w:rPr>
          <w:rFonts w:ascii="Arial" w:hAnsi="Arial" w:cs="Arial"/>
          <w:b/>
          <w:i/>
          <w:iCs/>
          <w:color w:val="000000"/>
          <w:sz w:val="24"/>
          <w:szCs w:val="24"/>
        </w:rPr>
        <w:t>HG nr. 587/2021 pentru modificarea şi completarea anexei la Hotărârea Guvernului nr. 964/2000 privind aprobarea Planului de acţiune pentru protecţia apelor împotriva poluării cu nitraţi proveniţi din surse agricole</w:t>
      </w:r>
      <w:r w:rsidRPr="00242122">
        <w:rPr>
          <w:rFonts w:ascii="Arial" w:hAnsi="Arial" w:cs="Arial"/>
          <w:b/>
          <w:color w:val="000000"/>
          <w:sz w:val="24"/>
          <w:szCs w:val="24"/>
        </w:rPr>
        <w:t xml:space="preserve">, la art. 5, aliniat (1), pct. a) al Anexei la Hotărârea Guvernului nr. 964/2000, se precizează că aplicarea Codului de bune practici agricole (CBPA)  se face în mod voluntar de către fermieri. În acest context, măsurile sub CBPA care în Planul Național de management actualizat, aprobat prin HG nr. 859/2016, erau considerate măsuri de bază pentru implementarea cerințelor Directivei Nitrați, începând cu 2021 devin măsuri suplimentare. </w:t>
      </w:r>
    </w:p>
    <w:p w:rsidR="002967F0" w:rsidRPr="00242122" w:rsidRDefault="002967F0" w:rsidP="002967F0">
      <w:pPr>
        <w:pStyle w:val="Default"/>
        <w:spacing w:before="120" w:after="120"/>
        <w:ind w:firstLine="720"/>
        <w:jc w:val="both"/>
      </w:pPr>
      <w:r w:rsidRPr="00242122">
        <w:rPr>
          <w:b/>
        </w:rPr>
        <w:t>Măsurile suplimentare pentru activităţile agricole planificate pentru perioada 2022-2027 se referă în general la</w:t>
      </w:r>
      <w:r w:rsidRPr="00242122">
        <w:t xml:space="preserve">: reducerea eroziunii solului, aplicarea practicilor de cultivare pentru reducerea utilizării/poluării cu produse fitosanitare, protejarea corpurilor de apă împotriva poluării cu pesticide, aplicarea codului de bune practici agricole, respectiv alte măsuri decât cele din Programul de Acțiune (descrise în Anexa 9.4), aplicarea codului de bune condiţii agricole şi de mediu şi a altor coduri de bună practică în ferme, consultanță / instruiri pentru fermieri, conversia terenurilor arabile în păşuni, realizarea şi menţinerea zonelor tampon de-a lungul apelor la o distanță mai mare decât cea prevăzută în legislația în vigoare, aplicarea agriculturii organice, prevenirea și combaterea poluării din activitățile agricole în zonele care se confruntă cu constrângeri naturale, constrângeri naturale semnificative sau cu alte constrângeri specifice (de ex. conversia terenurilor arabile în păşuni). </w:t>
      </w:r>
    </w:p>
    <w:p w:rsidR="002967F0" w:rsidRPr="00242122" w:rsidRDefault="002967F0" w:rsidP="002967F0">
      <w:pPr>
        <w:pStyle w:val="Default"/>
        <w:spacing w:before="120" w:after="120"/>
        <w:ind w:firstLine="720"/>
        <w:jc w:val="both"/>
      </w:pPr>
      <w:r w:rsidRPr="00242122">
        <w:t xml:space="preserve">Măsurile necesare a fi luate de către fermieri pentru atingerea obiectivelor Directivei Cadru Apă pot fi finanţate prin Fondul European Agricol pentru Dezvoltare Rurală 2014-2020 (FEADR), în conformitate cu prevederile Regulamentelor Consiliului privind sprijinul pentru dezvoltare rurală. Acest sprijin are la bază </w:t>
      </w:r>
      <w:r w:rsidRPr="00242122">
        <w:rPr>
          <w:b/>
          <w:bCs/>
        </w:rPr>
        <w:t>Programul Național de Dezvoltare Rurală (PNDR)</w:t>
      </w:r>
      <w:r w:rsidRPr="00242122">
        <w:t xml:space="preserve"> care acoperă perioada 2014-2020 și care conţine domeniile de intervenție şi măsurile care răspund acestor domenii de intervenție, precum şi un plan de finanţare. Prin PNDR 2014-2020 se implementatează o serie de măsuri de mediu şi climă care contribuie direct sau indirect la Prioritatea 4 (P4) - Refacerea, conservarea şi consolidarea ecosistemelor care sunt legate de agricultură și silvicultură, Domeniul de Intervenție 4B - Ameliorarea gestionării apelor, inclusiv gestionarea îngrășămintelor și a pesticidelor. În PNDR 2014-2020 este disponibilă finanțarea măsurilor agricole pentru protejarea corpurilor de apă, prin intermediul domeniilor de intervenție, care pot sprijini atingerea obiectivelor Directivei Cadru Apă.</w:t>
      </w:r>
    </w:p>
    <w:p w:rsidR="002967F0" w:rsidRPr="00242122" w:rsidRDefault="002967F0" w:rsidP="002967F0">
      <w:pPr>
        <w:pStyle w:val="Default"/>
        <w:spacing w:before="120" w:after="120"/>
        <w:ind w:firstLine="720"/>
        <w:jc w:val="both"/>
      </w:pPr>
      <w:r w:rsidRPr="00242122">
        <w:rPr>
          <w:b/>
          <w:bCs/>
        </w:rPr>
        <w:t>Planul Național Strategic pentru PAC 2023-2027 (PNS)</w:t>
      </w:r>
      <w:r w:rsidRPr="00242122">
        <w:t xml:space="preserve">, aflat în procedura de evaluare strategică de mediu, reunește obiectivele și activitățile țintă pentru îmbunătățirea performanței socio-economice și de mediu a sectorului agricol și a zonelor rurale. PNS acordă o atenție deosebită criteriilor de referință și cerințelor privind obiectivele legate de mediu și climă. În plus, Comisia Europeană recomandă să fie incluse și criterii solide </w:t>
      </w:r>
      <w:r w:rsidRPr="00242122">
        <w:lastRenderedPageBreak/>
        <w:t>privind schimbările climatice pentru a reflecta pe deplin obiectivele strategice din Pactul Ecologic European, cu referire în special la strategia „De la fermă la consumator”.  Introducerea cerințelor Directivei cadru Apă și a Directivei privind utilizarea sustenabilă a pesticidelor în eco-condiționalitate sprijină punerea în aplicare și realizarea obiectivelor lor specifice. În plus, noul Cod de Bune Practici Agricole  ar putea avea un impact pozitiv asupra calității apei, prin optimizarea gestionării nutrienților la fermă, și a sechestrării dioxidului de carbon din soluri. Condiționalitatea îmbunătățită ar fi obligatorie pentru punere în aplicare și respectare de către fermierii care primesc plăți directe de la AFIR. Astfel, în cadrul obiectivului specific 5 - Promovarea dezvoltării durabile și a gestionării eficiente a resurselor naturale, cum ar fi apa, solul și aerul, inclusiv prin reducerea dependenței de substanțe chimice, promovarea de practici agricole extensive prin intervenția de agro-mediu și climă contribuie, totodată, la atingerea obiectivelor de mediu în cadrul Directivei Cadru Apă, Directivei Nitraţi şi Directivei privind gestionarea durabilă a pesticidelor, prin reducerea poluării apelor și atenuarea efectelor negative ale viiturilor.</w:t>
      </w:r>
    </w:p>
    <w:p w:rsidR="002967F0" w:rsidRPr="00242122" w:rsidRDefault="002967F0" w:rsidP="002967F0">
      <w:pPr>
        <w:pStyle w:val="Default"/>
        <w:spacing w:before="120" w:after="120"/>
        <w:ind w:firstLine="720"/>
        <w:jc w:val="both"/>
      </w:pPr>
      <w:r w:rsidRPr="00242122">
        <w:t xml:space="preserve">Una dintre măsurile suplimentare importante este </w:t>
      </w:r>
      <w:r w:rsidRPr="00242122">
        <w:rPr>
          <w:b/>
        </w:rPr>
        <w:t>construirea platformelor comunale de stocare a gunoiului de grajd.</w:t>
      </w:r>
      <w:r w:rsidRPr="00242122">
        <w:t xml:space="preserve"> Prin intermediul proiectului “</w:t>
      </w:r>
      <w:r w:rsidRPr="00242122">
        <w:rPr>
          <w:i/>
        </w:rPr>
        <w:t>Controlul integrat al poluării cu nutrienți din România</w:t>
      </w:r>
      <w:r w:rsidRPr="00242122">
        <w:t>” s-au realizat la nivel național costuri de investiții în perioada 2016-2021 pentru un număr de 79 platforme comunale de depozitare și managementul gunoiului de grajd în valoare de 33.200.575 Euro. Se precizează că pentru operarea și întreținerea platformelor comunale de stocare a gunoiului de grajd a fost estimat un cost mediu de cca. 25.000 euro/an/platformă. În perioada 2022-2027 sunt planificate să se realizeze 298</w:t>
      </w:r>
      <w:r w:rsidRPr="00242122">
        <w:rPr>
          <w:b/>
        </w:rPr>
        <w:t xml:space="preserve"> platforme comunale</w:t>
      </w:r>
      <w:r w:rsidRPr="00242122">
        <w:t xml:space="preserve"> de depozitare și managementul gunoiului de grajd în valoare de </w:t>
      </w:r>
      <w:r w:rsidRPr="00242122">
        <w:rPr>
          <w:bCs/>
        </w:rPr>
        <w:t>128.893.358 Euro</w:t>
      </w:r>
      <w:r w:rsidRPr="00242122">
        <w:rPr>
          <w:b/>
        </w:rPr>
        <w:t xml:space="preserve"> </w:t>
      </w:r>
      <w:r w:rsidRPr="00242122">
        <w:t xml:space="preserve">costuri de investiții și alte costuri. Se menționează faptul că în cadrul </w:t>
      </w:r>
      <w:r w:rsidRPr="00242122">
        <w:rPr>
          <w:b/>
          <w:bCs/>
        </w:rPr>
        <w:t>Planului Național de Redresare și Reziliență 2021-2026</w:t>
      </w:r>
      <w:r w:rsidRPr="00242122">
        <w:t>, sunt planificate să fie finanțate în perioada 2022-2026 măsuri pentru dezvoltarea infrastructurii pentru gunoiul de grajd (platforme comunale și echipamente) și managementul deșeurilor agricole compostabile, în valoare de 255 milioane Euro (fără TVA).</w:t>
      </w:r>
    </w:p>
    <w:p w:rsidR="002967F0" w:rsidRPr="00242122" w:rsidRDefault="002967F0" w:rsidP="002967F0">
      <w:pPr>
        <w:pStyle w:val="Default"/>
        <w:spacing w:before="120" w:after="120"/>
        <w:ind w:firstLine="720"/>
        <w:jc w:val="both"/>
      </w:pPr>
      <w:r w:rsidRPr="00242122">
        <w:t xml:space="preserve">Finanțarea măsurilor privind prevenirea și controlul poluării în agricultură va continua după anul 2022 în cadrul </w:t>
      </w:r>
      <w:r w:rsidRPr="00242122">
        <w:rPr>
          <w:b/>
          <w:bCs/>
        </w:rPr>
        <w:t>proiectului „Extinderea eforturilor de prevenire și reducere a poluării” (SUPPRES)</w:t>
      </w:r>
      <w:r w:rsidRPr="00242122">
        <w:t>, care este continuatorul proiectului „ Controlul Integrat al Poluării cu Nutrienți” pe urm[tii ani, măsuri care vor spijini România pentru atingerea țintelor de reducere a poluării agricole stipulate în Strategia UE „De la fermă la consumator”. Sunt avute în vedere măsuri de management, monitorizare și raportare a poluanților agricoli (pesticide, plastic și microplastice, alți poluanți emergenți), precum și captarea deșeurilor plutitoare pe cursurile de apă, dezvoltarea rețelei naționale de transfer de cunoștințe (servicii de consultanță pentru fermieri privind ecoschemele și condiționalitatea PAC, agricultură ecologică și eco-inovație), campanii de consțientizare a publicului pentru prevenirea și redcuerea poluării din agricultură etc, în valoare de circa 27 milioane Euro.</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 xml:space="preserve">Pentru a aborda provocările multidimensionale și pentru a atinge obiectivele ambițioase ale Directivei Cadru Apă și ale noii Politiici Agricole Comune, gestionarea apei agricultura și agricultura trebuie să fie bine aliniate prin strategii coordonate și acțiuni comune pentru a asigura atât protecția resurselor de apă, cât și mijloacele de trai economice a fermierilor și producția de alimente de înaltă calitate. În acest sens, un bun exemplu este  elaborarea la nivelul bazinului Dunării a unor documente de politică privind apa și agricultura și referitoare la aspecte practice, respectiv </w:t>
      </w:r>
      <w:r w:rsidRPr="00242122">
        <w:rPr>
          <w:rFonts w:ascii="Arial" w:hAnsi="Arial" w:cs="Arial"/>
          <w:b/>
          <w:bCs/>
          <w:i/>
          <w:iCs/>
          <w:sz w:val="24"/>
          <w:szCs w:val="24"/>
          <w:lang w:val="it-IT"/>
        </w:rPr>
        <w:t>Documentul de politică privind Agricolă Comună după 2020 și Managementul Apei în Bazinul Fluviului Dunărea</w:t>
      </w:r>
      <w:r w:rsidRPr="00242122">
        <w:rPr>
          <w:rFonts w:ascii="Arial" w:hAnsi="Arial" w:cs="Arial"/>
          <w:sz w:val="24"/>
          <w:szCs w:val="24"/>
          <w:lang w:val="it-IT"/>
        </w:rPr>
        <w:t xml:space="preserve"> și </w:t>
      </w:r>
      <w:r w:rsidRPr="00242122">
        <w:rPr>
          <w:rFonts w:ascii="Arial" w:hAnsi="Arial" w:cs="Arial"/>
          <w:b/>
          <w:bCs/>
          <w:i/>
          <w:iCs/>
          <w:sz w:val="24"/>
          <w:szCs w:val="24"/>
          <w:lang w:val="it-IT"/>
        </w:rPr>
        <w:t xml:space="preserve">Ghidul privind agricultură durabilă la nivelul bazinului Dunării </w:t>
      </w:r>
      <w:r w:rsidRPr="00242122">
        <w:rPr>
          <w:rFonts w:ascii="Arial" w:hAnsi="Arial" w:cs="Arial"/>
          <w:sz w:val="24"/>
          <w:szCs w:val="24"/>
          <w:lang w:val="it-IT"/>
        </w:rPr>
        <w:t xml:space="preserve">(https://www.icpdr.org/main/issues/agriculture). Documentul oferă țărilor dunărene sprijin pentru pregătirea și implementarea politicilor naționale de agro-mediu, a Planurilor </w:t>
      </w:r>
      <w:r w:rsidRPr="00242122">
        <w:rPr>
          <w:rFonts w:ascii="Arial" w:hAnsi="Arial" w:cs="Arial"/>
          <w:sz w:val="24"/>
          <w:szCs w:val="24"/>
          <w:lang w:val="it-IT"/>
        </w:rPr>
        <w:lastRenderedPageBreak/>
        <w:t>Strategice ale PAC și a strategiilor relevante ale Planurilor de Management ale Bazinelor/Spațiilor Hidrografice. Acesta va oferi un cadru politic potrivit cu un set de instrumente recomandate, care să faciliteze luarea deciziilor la nivel național în domeniul apei și al agriculturii și să identifice obiective comune, să stabilească politici adecvate și să implementeze acțiuni comune și măsuri eficiente din punct de vedere al costurilor.</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 xml:space="preserve">Potrivit Planului Național de management actualizat aprobat prin HG nr. 859/2016 pentru aprobarea Planului naţional de management actualizat aferent porţiunii din bazinul hidrografic internaţional al fluviului Dunărea care este cuprinsă în teritoriul României, prin aplicarea </w:t>
      </w:r>
      <w:r w:rsidRPr="00242122">
        <w:rPr>
          <w:rFonts w:ascii="Arial" w:hAnsi="Arial" w:cs="Arial"/>
          <w:b/>
          <w:sz w:val="24"/>
          <w:szCs w:val="24"/>
          <w:lang w:val="it-IT"/>
        </w:rPr>
        <w:t xml:space="preserve">modelului MONERIS </w:t>
      </w:r>
      <w:r w:rsidRPr="00242122">
        <w:rPr>
          <w:rFonts w:ascii="Arial" w:hAnsi="Arial" w:cs="Arial"/>
          <w:sz w:val="24"/>
          <w:szCs w:val="24"/>
          <w:lang w:val="it-IT"/>
        </w:rPr>
        <w:t>(</w:t>
      </w:r>
      <w:r w:rsidRPr="00242122">
        <w:rPr>
          <w:rFonts w:ascii="Arial" w:hAnsi="Arial" w:cs="Arial"/>
          <w:b/>
          <w:sz w:val="24"/>
          <w:szCs w:val="24"/>
          <w:lang w:val="it-IT"/>
        </w:rPr>
        <w:t>MO</w:t>
      </w:r>
      <w:r w:rsidRPr="00242122">
        <w:rPr>
          <w:rFonts w:ascii="Arial" w:hAnsi="Arial" w:cs="Arial"/>
          <w:sz w:val="24"/>
          <w:szCs w:val="24"/>
          <w:lang w:val="it-IT"/>
        </w:rPr>
        <w:t xml:space="preserve">delling </w:t>
      </w:r>
      <w:r w:rsidRPr="00242122">
        <w:rPr>
          <w:rFonts w:ascii="Arial" w:hAnsi="Arial" w:cs="Arial"/>
          <w:b/>
          <w:sz w:val="24"/>
          <w:szCs w:val="24"/>
          <w:lang w:val="it-IT"/>
        </w:rPr>
        <w:t>N</w:t>
      </w:r>
      <w:r w:rsidRPr="00242122">
        <w:rPr>
          <w:rFonts w:ascii="Arial" w:hAnsi="Arial" w:cs="Arial"/>
          <w:sz w:val="24"/>
          <w:szCs w:val="24"/>
          <w:lang w:val="it-IT"/>
        </w:rPr>
        <w:t xml:space="preserve">utrient </w:t>
      </w:r>
      <w:r w:rsidRPr="00242122">
        <w:rPr>
          <w:rFonts w:ascii="Arial" w:hAnsi="Arial" w:cs="Arial"/>
          <w:b/>
          <w:sz w:val="24"/>
          <w:szCs w:val="24"/>
          <w:lang w:val="it-IT"/>
        </w:rPr>
        <w:t>E</w:t>
      </w:r>
      <w:r w:rsidRPr="00242122">
        <w:rPr>
          <w:rFonts w:ascii="Arial" w:hAnsi="Arial" w:cs="Arial"/>
          <w:sz w:val="24"/>
          <w:szCs w:val="24"/>
          <w:lang w:val="it-IT"/>
        </w:rPr>
        <w:t xml:space="preserve">missions in </w:t>
      </w:r>
      <w:r w:rsidRPr="00242122">
        <w:rPr>
          <w:rFonts w:ascii="Arial" w:hAnsi="Arial" w:cs="Arial"/>
          <w:b/>
          <w:sz w:val="24"/>
          <w:szCs w:val="24"/>
          <w:lang w:val="it-IT"/>
        </w:rPr>
        <w:t>RI</w:t>
      </w:r>
      <w:r w:rsidRPr="00242122">
        <w:rPr>
          <w:rFonts w:ascii="Arial" w:hAnsi="Arial" w:cs="Arial"/>
          <w:sz w:val="24"/>
          <w:szCs w:val="24"/>
          <w:lang w:val="it-IT"/>
        </w:rPr>
        <w:t xml:space="preserve">ver </w:t>
      </w:r>
      <w:r w:rsidRPr="00242122">
        <w:rPr>
          <w:rFonts w:ascii="Arial" w:hAnsi="Arial" w:cs="Arial"/>
          <w:b/>
          <w:sz w:val="24"/>
          <w:szCs w:val="24"/>
          <w:lang w:val="it-IT"/>
        </w:rPr>
        <w:t>S</w:t>
      </w:r>
      <w:r w:rsidRPr="00242122">
        <w:rPr>
          <w:rFonts w:ascii="Arial" w:hAnsi="Arial" w:cs="Arial"/>
          <w:sz w:val="24"/>
          <w:szCs w:val="24"/>
          <w:lang w:val="it-IT"/>
        </w:rPr>
        <w:t>ystems) se pot realiza același tip de scenarii privind prognoza calității apelor, respectiv evaluarea emisiilor de nutrienți și a potențialul și efectului măsurilor de bază și suplimentare de reducere a nutrienților. Modelul MONERIS este folosit pentru estimarea emisiilor provenind de la sursele de poluare punctiforme şi difuze. Modelul a fost elaborat şi aplicat în Planul Național de Management aprobat prin H.G. nr. 80/2011 și HG nr. 859/2016 pentru evaluarea emisiilor de nutrienţi (azot şi fosfor) în mai multe bazine/districte hidrografice din Europa, printre care şi bazinul/districtul Dunării. În ultimul timp, modelul MONERIS a fost dezvoltat pentru a fi aplicat atât la nivel naţional (al statelor din Districtul internaţional al Dunării), cât şi la nivel de sub-bazine internaţionale (Tisa).</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Poluarea cu nutrienți este cauzată de emisii punctiforme și difuze de azot și fosfor în mediul acvatic. Dintre sursele punctiforme luate în considerare în modelul MONERIS se menționează stațiile de epurare urbane, evacuările de ape uzate neepurate sau epurate de la sistemele de colectare din aglomerările urbane și de la unitățile industriale și fermele zootehnice care sunt înregistrate în E-PRTR. În ceea ce privește sursele de emisii  difuze, așezările umane, activitățile agricole, fondul natural și alte surse au fost considerate ca fiind importante în producerea poluării cu nutrienți.</w:t>
      </w:r>
    </w:p>
    <w:p w:rsidR="002967F0" w:rsidRPr="00242122" w:rsidRDefault="002967F0" w:rsidP="002967F0">
      <w:pPr>
        <w:spacing w:before="120" w:after="120" w:line="240" w:lineRule="auto"/>
        <w:ind w:firstLine="720"/>
        <w:jc w:val="both"/>
        <w:rPr>
          <w:rFonts w:ascii="Arial" w:eastAsia="Times New Roman" w:hAnsi="Arial" w:cs="Arial"/>
          <w:sz w:val="24"/>
          <w:szCs w:val="24"/>
          <w:lang w:val="it-IT"/>
        </w:rPr>
      </w:pPr>
      <w:r w:rsidRPr="00242122">
        <w:rPr>
          <w:rFonts w:ascii="Arial" w:eastAsia="Times New Roman" w:hAnsi="Arial" w:cs="Arial"/>
          <w:sz w:val="24"/>
          <w:szCs w:val="24"/>
          <w:lang w:val="it-IT"/>
        </w:rPr>
        <w:t>Pentru estimarea modurilor (căilor) de producere a poluării difuze cu nutrienți și a emisiilor de nutrienți de la surse, precum și aportul acestora la emisiile totale, modelul MONERIS verisunea 3.0 (Venohr et al., 2017) a fost aplicat la nivelul întregului district internațional al Dunării și a avut în vedere condițiile hidrologice medii multianuale din perioada de referință 2015-2018. MONERIS necesită o varietate de date de intrare cuprinzând informații despre condiţiile hidro-climatice, geo-fizice și administrativ-demografice, care au fost actualizate pentru perioada de referință 2015-2018. Astfel, modelul poate estima distribuția regională a emisiilor de nutrienți care intră în apele de suprafață la scară de sub-bazin și poate determina cele mai importante surse și căi ale acestora cu o acuratețe rezonabilă. Mai mult, ținând cont de principalele procese de reținere în flux, pot fi calculate încărcările râului la capătul bazinului hidrografic, care pot fi apoi utilizate pentru calibrarea și validarea modelului.</w:t>
      </w:r>
    </w:p>
    <w:p w:rsidR="002967F0" w:rsidRPr="00242122" w:rsidRDefault="002967F0" w:rsidP="002967F0">
      <w:pPr>
        <w:spacing w:before="120" w:after="120" w:line="240" w:lineRule="auto"/>
        <w:ind w:firstLine="720"/>
        <w:jc w:val="both"/>
        <w:rPr>
          <w:rFonts w:ascii="Arial" w:hAnsi="Arial" w:cs="Arial"/>
          <w:sz w:val="24"/>
          <w:szCs w:val="24"/>
        </w:rPr>
      </w:pPr>
      <w:r w:rsidRPr="00242122">
        <w:rPr>
          <w:rFonts w:ascii="Arial" w:hAnsi="Arial" w:cs="Arial"/>
          <w:sz w:val="24"/>
          <w:szCs w:val="24"/>
        </w:rPr>
        <w:t>Modelul MONERIS este utilizat pentru aplicarea scenariilor de bază pentru reducerea emisiilor de  nutrienți din surse punctiforme și difuze pentru orizontul de timp 2027. Scenariul utilizat are la bază condițiile hidrologice din perioada 2015-2018, iar datele utilizate privind încărcările de nutrienți au avut ca an de referință anul 2018. Astfel,  sunt stabilite viziuni și obiective de management care să conducă la reducerea emisiilor de nutrienți prin aplicarea de măsuri și pentru care s-au realizat scenariile, și anume:</w:t>
      </w:r>
    </w:p>
    <w:p w:rsidR="002967F0" w:rsidRPr="00242122" w:rsidRDefault="002967F0" w:rsidP="002967F0">
      <w:pPr>
        <w:spacing w:after="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scenariul de bază se referă în principal la implementarea până în anul 2027 a obligațiilor ce decurg din legislația europeană și națională (Directiva 91/271/CEE privind epurarea apelor uzate urbane, Directiva Nitrați, Regulamentul E-PRTR,  măsuri de agromediu sprijinite prin programele de dezvoltare rurală ale Politicii Agricole Comune, măsuri privind reducerea surplusului de azot, controlul erroziunii solului, zone tampon/fâșii de protecție în lungul cursurilor de apă, etc.);</w:t>
      </w:r>
    </w:p>
    <w:p w:rsidR="002967F0" w:rsidRPr="00242122" w:rsidRDefault="002967F0" w:rsidP="002967F0">
      <w:pPr>
        <w:spacing w:after="0" w:line="240" w:lineRule="auto"/>
        <w:ind w:left="360" w:hanging="360"/>
        <w:jc w:val="both"/>
        <w:rPr>
          <w:rFonts w:ascii="Arial" w:hAnsi="Arial" w:cs="Arial"/>
          <w:sz w:val="24"/>
          <w:szCs w:val="24"/>
        </w:rPr>
      </w:pPr>
      <w:r w:rsidRPr="00242122">
        <w:rPr>
          <w:rFonts w:ascii="Arial" w:hAnsi="Arial" w:cs="Arial"/>
          <w:sz w:val="24"/>
          <w:szCs w:val="24"/>
        </w:rPr>
        <w:lastRenderedPageBreak/>
        <w:t>-</w:t>
      </w:r>
      <w:r w:rsidRPr="00242122">
        <w:rPr>
          <w:rFonts w:ascii="Arial" w:hAnsi="Arial" w:cs="Arial"/>
          <w:sz w:val="24"/>
          <w:szCs w:val="24"/>
        </w:rPr>
        <w:tab/>
        <w:t>scenariul de viziune I – pe lângă scenariul de bază și măsurile aferente (mai sus descrise), sunt avute în vedere și alte tipuri de măsuri specifice, în funcție de sursele de emisii difuze și punctiforme (aglomerări, agricultură, industrie); de ex. utilizarea sistemelor individuale de colectare în diferite proporții, dezvoltarea agricolă durabilă și managementul echilibrat al nutrienților pentru realizarea țintelor din Pactul Ecologic European pentru nutrienți: reducere pierderi de nutrienți cu 50 %, până la o valoare medie a surplusului de azot la nivelul întregului bazin de 7,5 kg N/ha și an (plus depunerea atmosferică diferită la nivel regional), precum și pentru fosfor reducerea eroziunii solului până la maxim 1 tonă sol per hectar și an;</w:t>
      </w:r>
    </w:p>
    <w:p w:rsidR="002967F0" w:rsidRPr="00242122" w:rsidRDefault="002967F0" w:rsidP="002967F0">
      <w:pPr>
        <w:spacing w:after="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scenariul de viziune II – pe lângă scenariul de viziune I se adaugă îmbunătățirea capacității de retenție prin stabilirea zonelor ripariene/eficiente prin fâșii tampon/cu vegetație pentru 50 % din corpurile de apă de suprafață aflate în zonele vulnerabile la nitrați;</w:t>
      </w:r>
    </w:p>
    <w:p w:rsidR="002967F0" w:rsidRPr="00242122" w:rsidRDefault="002967F0" w:rsidP="002967F0">
      <w:pPr>
        <w:spacing w:after="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scenariul schimbări climatice (an cu ape mari și an secetos/„wet” și „dry”) ia în considerare efectele schimbărilor climatice prin calcularea emisiilor difuze de nutrienți pentru un regim hidrologic cu scurgere maximă (ape mari) și regim hidrologic cu scurgere minimă (ape mici), ambele luate ca extreme din ultimele două decenii, prin înlocuirea regimului hidrologic mediu cu precipitaţiile şi scurgerile anilor extremi şi presupunând implementarea măsurilor conform scenariului de viziune I.</w:t>
      </w:r>
    </w:p>
    <w:p w:rsidR="002967F0" w:rsidRPr="00242122" w:rsidRDefault="002967F0" w:rsidP="002967F0">
      <w:pPr>
        <w:spacing w:before="120" w:after="120" w:line="240" w:lineRule="auto"/>
        <w:ind w:firstLine="720"/>
        <w:jc w:val="both"/>
        <w:rPr>
          <w:rFonts w:ascii="Arial" w:eastAsia="Times New Roman" w:hAnsi="Arial" w:cs="Arial"/>
          <w:sz w:val="24"/>
          <w:szCs w:val="24"/>
          <w:lang w:val="it-IT"/>
        </w:rPr>
      </w:pPr>
      <w:r w:rsidRPr="00242122">
        <w:rPr>
          <w:rFonts w:ascii="Arial" w:eastAsia="Times New Roman" w:hAnsi="Arial" w:cs="Arial"/>
          <w:sz w:val="24"/>
          <w:szCs w:val="24"/>
          <w:lang w:val="it-IT"/>
        </w:rPr>
        <w:t>Scenariul de bază pentru anul 2027 se axează pe asumări privind implementarea măsurilor pentru sectoarele ape uzate urbane, activități industriale și agricole, în principal măsurile care conduc la creșterea nivelurilor de colectare și epurare a apelor uzate, modificări ale utilizării terenurilor, îmbunătățirea practicilor de rotație a culturilor și schimbarea emisiilor specifice de fosfor pe locuitor.</w:t>
      </w:r>
    </w:p>
    <w:p w:rsidR="002967F0" w:rsidRPr="00242122" w:rsidRDefault="002967F0" w:rsidP="002967F0">
      <w:pPr>
        <w:spacing w:before="120" w:after="120" w:line="240" w:lineRule="auto"/>
        <w:ind w:firstLine="720"/>
        <w:jc w:val="both"/>
        <w:rPr>
          <w:rFonts w:ascii="Arial" w:eastAsia="Times New Roman" w:hAnsi="Arial" w:cs="Arial"/>
          <w:sz w:val="24"/>
          <w:szCs w:val="24"/>
          <w:lang w:val="it-IT"/>
        </w:rPr>
      </w:pPr>
      <w:r w:rsidRPr="00242122">
        <w:rPr>
          <w:rFonts w:ascii="Arial" w:eastAsia="Times New Roman" w:hAnsi="Arial" w:cs="Arial"/>
          <w:sz w:val="24"/>
          <w:szCs w:val="24"/>
          <w:lang w:val="it-IT"/>
        </w:rPr>
        <w:t xml:space="preserve">S-a preconizat implementarea integrală a măsurilor de control la sursă pentru reducerea emisiilor de fosfor rezultate prin implementarea prevederilor Regulamentului (CE) nr. 648/2004 în ceea ce privește utilizarea fosfaților și a altor compuși ai fosforului în detergenții de rufe destinați consumatorilor și în detergenții pentru mașini automate de spălat vase destinați consumatorilor, ceea ce se reflectă în reducerea emisiei specifice de fosfor pe persoană. </w:t>
      </w:r>
    </w:p>
    <w:p w:rsidR="002967F0" w:rsidRPr="00242122" w:rsidRDefault="002967F0" w:rsidP="002967F0">
      <w:pPr>
        <w:spacing w:before="120" w:after="120" w:line="240" w:lineRule="auto"/>
        <w:ind w:firstLine="720"/>
        <w:jc w:val="both"/>
        <w:rPr>
          <w:rFonts w:ascii="Arial" w:eastAsia="Times New Roman" w:hAnsi="Arial" w:cs="Arial"/>
          <w:sz w:val="24"/>
          <w:szCs w:val="24"/>
          <w:lang w:val="it-IT"/>
        </w:rPr>
      </w:pPr>
      <w:r w:rsidRPr="00242122">
        <w:rPr>
          <w:rFonts w:ascii="Arial" w:eastAsia="Times New Roman" w:hAnsi="Arial" w:cs="Arial"/>
          <w:sz w:val="24"/>
          <w:szCs w:val="24"/>
          <w:lang w:val="it-IT"/>
        </w:rPr>
        <w:t xml:space="preserve">Astfel, se aplică o gamă largă de măsuri, inclusiv managementul nutrienților (de exemplu, calculul balanței de nutrienți, optimizarea fertilizării), modificarea metodelor de cultivare (conversia terenurilor arabile în pășuni, cultivarea terenurilor agricole fără utilizarea utilajelor), modificări în utilizare  terenurilor (întreținerea pajiștilor, realizarea benzilor tampon de-a lungul cursurilor de apă), conservarea solului (tehnici de control a eroziunii solului – rotația culturilor, eliminarea scurgerilor din rețele de drenaj de la ferme) și măsuri de retenție naturală a apei (zone umede, căi navigabile înierbate) și măsuri de protecție împotriva inundațiilor (de exemplu, refacerea și conservarea zonelor umede și a zonelor inundabile, stabilirea zonelor tampon riverane) au impact pozitiv asupra retenției de nutrienți în zonele adiacente ale cursurilor de apă. </w:t>
      </w:r>
    </w:p>
    <w:p w:rsidR="002967F0" w:rsidRPr="00242122" w:rsidRDefault="002967F0" w:rsidP="002967F0">
      <w:pPr>
        <w:spacing w:before="120" w:after="0" w:line="240" w:lineRule="auto"/>
        <w:ind w:firstLine="720"/>
        <w:jc w:val="both"/>
        <w:rPr>
          <w:rFonts w:ascii="Arial" w:hAnsi="Arial" w:cs="Arial"/>
          <w:sz w:val="24"/>
          <w:szCs w:val="24"/>
        </w:rPr>
      </w:pPr>
      <w:r w:rsidRPr="00242122">
        <w:rPr>
          <w:rFonts w:ascii="Arial" w:hAnsi="Arial" w:cs="Arial"/>
          <w:sz w:val="24"/>
          <w:szCs w:val="24"/>
        </w:rPr>
        <w:t>Modificările emisiilor totale de azot în funcție de scenariile viitoare și căile de emisie, în comparație cu starea de referință, indică faptul că emisiile au scăzut cu:</w:t>
      </w:r>
    </w:p>
    <w:p w:rsidR="002967F0" w:rsidRPr="00242122" w:rsidRDefault="002967F0" w:rsidP="002967F0">
      <w:pPr>
        <w:spacing w:after="0" w:line="240" w:lineRule="auto"/>
        <w:ind w:left="270" w:hanging="27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13,9 % în scenariul de bază;</w:t>
      </w:r>
    </w:p>
    <w:p w:rsidR="002967F0" w:rsidRPr="00242122" w:rsidRDefault="002967F0" w:rsidP="002967F0">
      <w:pPr>
        <w:spacing w:after="0" w:line="240" w:lineRule="auto"/>
        <w:ind w:left="270" w:hanging="27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17,2 % în scenariul de viziune I;</w:t>
      </w:r>
    </w:p>
    <w:p w:rsidR="002967F0" w:rsidRPr="00242122" w:rsidRDefault="002967F0" w:rsidP="002967F0">
      <w:pPr>
        <w:spacing w:after="0" w:line="240" w:lineRule="auto"/>
        <w:ind w:left="270" w:hanging="27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19,4 % în scenariul de viziune II;</w:t>
      </w:r>
    </w:p>
    <w:p w:rsidR="002967F0" w:rsidRPr="00242122" w:rsidRDefault="002967F0" w:rsidP="002967F0">
      <w:pPr>
        <w:spacing w:after="0" w:line="240" w:lineRule="auto"/>
        <w:ind w:left="270" w:hanging="27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23,4 % în scenariul de viziune I - regim hidrologic cu scurgere minimă (ape mici).</w:t>
      </w:r>
    </w:p>
    <w:p w:rsidR="002967F0" w:rsidRPr="00242122" w:rsidRDefault="002967F0" w:rsidP="002967F0">
      <w:pPr>
        <w:spacing w:after="0" w:line="240" w:lineRule="auto"/>
        <w:jc w:val="both"/>
        <w:rPr>
          <w:rFonts w:ascii="Arial" w:hAnsi="Arial" w:cs="Arial"/>
          <w:sz w:val="24"/>
          <w:szCs w:val="24"/>
        </w:rPr>
      </w:pPr>
      <w:r w:rsidRPr="00242122">
        <w:rPr>
          <w:rFonts w:ascii="Arial" w:hAnsi="Arial" w:cs="Arial"/>
          <w:sz w:val="24"/>
          <w:szCs w:val="24"/>
        </w:rPr>
        <w:t>În scenariul de viziune I - regim hidrologic cu scurgere maximă (ape mari), emisiile totale de azot au crescut cu 2 %.</w:t>
      </w:r>
    </w:p>
    <w:p w:rsidR="002967F0" w:rsidRPr="00242122" w:rsidRDefault="002967F0" w:rsidP="002967F0">
      <w:pPr>
        <w:spacing w:after="0" w:line="240" w:lineRule="auto"/>
        <w:jc w:val="both"/>
        <w:rPr>
          <w:rFonts w:ascii="Arial" w:hAnsi="Arial" w:cs="Arial"/>
          <w:sz w:val="24"/>
          <w:szCs w:val="24"/>
        </w:rPr>
      </w:pPr>
      <w:r w:rsidRPr="00242122">
        <w:rPr>
          <w:rFonts w:ascii="Arial" w:hAnsi="Arial" w:cs="Arial"/>
          <w:sz w:val="24"/>
          <w:szCs w:val="24"/>
        </w:rPr>
        <w:t>De asemenea, modificările emisiilor totale de fosfor în funcție de scenariile viitoare, în comparație cu starea de referință, indică faptul că reducerea emisiilor cu:</w:t>
      </w:r>
    </w:p>
    <w:p w:rsidR="002967F0" w:rsidRPr="00242122" w:rsidRDefault="002967F0" w:rsidP="002967F0">
      <w:pPr>
        <w:spacing w:after="0" w:line="240" w:lineRule="auto"/>
        <w:ind w:left="270" w:hanging="27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5,4 % în scenariul de bază;</w:t>
      </w:r>
    </w:p>
    <w:p w:rsidR="002967F0" w:rsidRPr="00242122" w:rsidRDefault="002967F0" w:rsidP="002967F0">
      <w:pPr>
        <w:spacing w:after="0" w:line="240" w:lineRule="auto"/>
        <w:ind w:left="270" w:hanging="270"/>
        <w:jc w:val="both"/>
        <w:rPr>
          <w:rFonts w:ascii="Arial" w:hAnsi="Arial" w:cs="Arial"/>
          <w:sz w:val="24"/>
          <w:szCs w:val="24"/>
        </w:rPr>
      </w:pPr>
      <w:r w:rsidRPr="00242122">
        <w:rPr>
          <w:rFonts w:ascii="Arial" w:hAnsi="Arial" w:cs="Arial"/>
          <w:sz w:val="24"/>
          <w:szCs w:val="24"/>
        </w:rPr>
        <w:lastRenderedPageBreak/>
        <w:t>-</w:t>
      </w:r>
      <w:r w:rsidRPr="00242122">
        <w:rPr>
          <w:rFonts w:ascii="Arial" w:hAnsi="Arial" w:cs="Arial"/>
          <w:sz w:val="24"/>
          <w:szCs w:val="24"/>
        </w:rPr>
        <w:tab/>
        <w:t>15,4 %în scenariul de viziune I;</w:t>
      </w:r>
    </w:p>
    <w:p w:rsidR="002967F0" w:rsidRPr="00242122" w:rsidRDefault="002967F0" w:rsidP="002967F0">
      <w:pPr>
        <w:spacing w:after="0" w:line="240" w:lineRule="auto"/>
        <w:ind w:left="270" w:hanging="27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26,8 % în scenariul de viziune II;</w:t>
      </w:r>
    </w:p>
    <w:p w:rsidR="002967F0" w:rsidRPr="00242122" w:rsidRDefault="002967F0" w:rsidP="002967F0">
      <w:pPr>
        <w:spacing w:after="0" w:line="240" w:lineRule="auto"/>
        <w:ind w:left="270" w:hanging="27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22,4 % în scenariul de viziune I - regim hidrologic cu scurgere minimă (ape mici).</w:t>
      </w:r>
    </w:p>
    <w:p w:rsidR="002967F0" w:rsidRPr="00242122" w:rsidRDefault="002967F0" w:rsidP="002967F0">
      <w:pPr>
        <w:spacing w:after="0" w:line="240" w:lineRule="auto"/>
        <w:jc w:val="both"/>
        <w:rPr>
          <w:rFonts w:ascii="Arial" w:hAnsi="Arial" w:cs="Arial"/>
          <w:sz w:val="24"/>
          <w:szCs w:val="24"/>
        </w:rPr>
      </w:pPr>
      <w:r w:rsidRPr="00242122">
        <w:rPr>
          <w:rFonts w:ascii="Arial" w:hAnsi="Arial" w:cs="Arial"/>
          <w:sz w:val="24"/>
          <w:szCs w:val="24"/>
        </w:rPr>
        <w:t>În scenariul de viziune I - regim hidrologic cu scurgere maximă (ape mari), emisiile totale de fosfor aucrescut cu cca. 3 %.</w:t>
      </w:r>
    </w:p>
    <w:p w:rsidR="002967F0" w:rsidRPr="00242122" w:rsidRDefault="002967F0" w:rsidP="002967F0">
      <w:pPr>
        <w:spacing w:before="120" w:after="120" w:line="240" w:lineRule="auto"/>
        <w:ind w:firstLine="720"/>
        <w:jc w:val="both"/>
        <w:rPr>
          <w:rFonts w:ascii="Arial" w:hAnsi="Arial" w:cs="Arial"/>
          <w:iCs/>
          <w:sz w:val="24"/>
          <w:szCs w:val="24"/>
        </w:rPr>
      </w:pPr>
      <w:r w:rsidRPr="00242122">
        <w:rPr>
          <w:rFonts w:ascii="Arial" w:hAnsi="Arial" w:cs="Arial"/>
          <w:iCs/>
          <w:sz w:val="24"/>
          <w:szCs w:val="24"/>
        </w:rPr>
        <w:t>Comparativ cu situația de referință pentru azot total, în anul 2027 (scenariu de bază) depunerile atmosferice rămân relativ constante, scurgerea de suprafață crește cu 9,53 %, iar scurgerea subterană scade cu 21,3 %. Aceste tendințe confirmă efectul implementării măsurilor de realizare a sistemelor de colectare și epurare a apelor uzate care contribuie la scăderea scurgerii subterane.</w:t>
      </w:r>
    </w:p>
    <w:p w:rsidR="002967F0" w:rsidRPr="00242122" w:rsidRDefault="002967F0" w:rsidP="002967F0">
      <w:pPr>
        <w:spacing w:before="120" w:after="120" w:line="240" w:lineRule="auto"/>
        <w:ind w:firstLine="720"/>
        <w:jc w:val="both"/>
        <w:rPr>
          <w:rFonts w:ascii="Arial" w:hAnsi="Arial" w:cs="Arial"/>
          <w:iCs/>
          <w:sz w:val="24"/>
          <w:szCs w:val="24"/>
        </w:rPr>
      </w:pPr>
      <w:r w:rsidRPr="00242122">
        <w:rPr>
          <w:rFonts w:ascii="Arial" w:hAnsi="Arial" w:cs="Arial"/>
          <w:iCs/>
          <w:sz w:val="24"/>
          <w:szCs w:val="24"/>
        </w:rPr>
        <w:t>Similar, comparativ cu situația de referință pentru fosfor total, în anul 2027 (scenariu de bază) se observă că eroziunea solului/transportul sedimentelor se reduce cu 10,8 %, scurgerea din zone impermeabile orășenești scade cu 52,1 %, în timp ce crește aportul surselor punctiforme cu 43,6 %, ceea ce confirmă reducerea poluării difuze și creșterea poluării punctiforme produsă în zonele urbane, urmare a construirii rețelelor de canalizare și stațiilor de epurare în zonele urbane.</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În Figurile II.2.3.1 și II.2.3.2 sunt prezentate comparativ rezultatele aplicării scenariilor cu referire la căile de producere a poluării cu nutrienți.</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De asemenea, din Figurile II.2.3.3 și II.2.3.4 se observă evoluția privind sursele de emisii totale de azot și fosfor până în anul 2027 (scenariu de bază) și după (scenarii de viziune). În ceea ce privește aplicarea scenariilor de bază pentru emisiile totale de nutrienți la nivel național, se observă modificarea cantităților de nutrienți emise în anul 2027, comparativ cu perioada 2015-2018, respectiv cu 12.341 tone N/an (scădere cu cca. 13,9 %) și cu 356,9 tone P/an (scădere cu cca. 5,5 %).</w:t>
      </w:r>
    </w:p>
    <w:p w:rsidR="002967F0" w:rsidRPr="00242122" w:rsidRDefault="002967F0" w:rsidP="002967F0">
      <w:pPr>
        <w:spacing w:after="0" w:line="240" w:lineRule="auto"/>
        <w:jc w:val="both"/>
        <w:rPr>
          <w:rFonts w:ascii="Arial" w:hAnsi="Arial" w:cs="Arial"/>
          <w:b/>
          <w:bCs/>
          <w:sz w:val="24"/>
          <w:szCs w:val="24"/>
        </w:rPr>
      </w:pPr>
    </w:p>
    <w:p w:rsidR="002967F0" w:rsidRPr="00242122" w:rsidRDefault="002967F0" w:rsidP="002967F0">
      <w:pPr>
        <w:spacing w:after="0" w:line="240" w:lineRule="auto"/>
        <w:jc w:val="both"/>
        <w:rPr>
          <w:rFonts w:ascii="Arial" w:hAnsi="Arial" w:cs="Arial"/>
          <w:b/>
          <w:bCs/>
          <w:sz w:val="24"/>
          <w:szCs w:val="24"/>
        </w:rPr>
      </w:pPr>
      <w:r w:rsidRPr="00242122">
        <w:rPr>
          <w:rFonts w:ascii="Arial" w:hAnsi="Arial" w:cs="Arial"/>
          <w:b/>
          <w:bCs/>
          <w:sz w:val="24"/>
          <w:szCs w:val="24"/>
        </w:rPr>
        <w:t>Evoluția emisiilor de azot total și a căilor de emisie în funcție de scenarii (exprimate în tone N pe an)</w:t>
      </w:r>
    </w:p>
    <w:p w:rsidR="002967F0" w:rsidRPr="00242122" w:rsidRDefault="002967F0" w:rsidP="002967F0">
      <w:pPr>
        <w:spacing w:after="0" w:line="240" w:lineRule="auto"/>
        <w:ind w:firstLine="567"/>
        <w:jc w:val="both"/>
        <w:rPr>
          <w:rFonts w:ascii="Arial" w:hAnsi="Arial" w:cs="Arial"/>
          <w:sz w:val="24"/>
          <w:szCs w:val="24"/>
        </w:rPr>
      </w:pPr>
    </w:p>
    <w:p w:rsidR="002967F0" w:rsidRPr="00242122" w:rsidRDefault="002967F0" w:rsidP="002967F0">
      <w:pPr>
        <w:spacing w:after="0" w:line="240" w:lineRule="auto"/>
        <w:jc w:val="both"/>
        <w:rPr>
          <w:rFonts w:ascii="Arial" w:hAnsi="Arial" w:cs="Arial"/>
          <w:sz w:val="24"/>
          <w:szCs w:val="24"/>
        </w:rPr>
      </w:pPr>
      <w:r w:rsidRPr="00242122">
        <w:rPr>
          <w:rFonts w:ascii="Arial" w:hAnsi="Arial" w:cs="Arial"/>
          <w:noProof/>
          <w:sz w:val="24"/>
          <w:szCs w:val="24"/>
          <w:lang w:eastAsia="ro-RO"/>
        </w:rPr>
        <w:drawing>
          <wp:inline distT="0" distB="0" distL="0" distR="0" wp14:anchorId="24FE005D" wp14:editId="3F60B505">
            <wp:extent cx="5898515" cy="29368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98515" cy="2936875"/>
                    </a:xfrm>
                    <a:prstGeom prst="rect">
                      <a:avLst/>
                    </a:prstGeom>
                    <a:noFill/>
                  </pic:spPr>
                </pic:pic>
              </a:graphicData>
            </a:graphic>
          </wp:inline>
        </w:drawing>
      </w:r>
    </w:p>
    <w:p w:rsidR="002967F0" w:rsidRPr="00242122" w:rsidRDefault="002967F0" w:rsidP="002967F0">
      <w:pPr>
        <w:spacing w:after="0" w:line="240" w:lineRule="auto"/>
        <w:ind w:firstLine="567"/>
        <w:jc w:val="both"/>
        <w:rPr>
          <w:rFonts w:ascii="Arial" w:hAnsi="Arial" w:cs="Arial"/>
          <w:sz w:val="24"/>
          <w:szCs w:val="24"/>
        </w:rPr>
      </w:pPr>
    </w:p>
    <w:p w:rsidR="002967F0" w:rsidRPr="00242122" w:rsidRDefault="002967F0" w:rsidP="002967F0">
      <w:pPr>
        <w:spacing w:after="0" w:line="240" w:lineRule="auto"/>
        <w:ind w:firstLine="567"/>
        <w:jc w:val="right"/>
        <w:rPr>
          <w:rFonts w:ascii="Arial" w:hAnsi="Arial" w:cs="Arial"/>
          <w:b/>
          <w:bCs/>
          <w:sz w:val="24"/>
          <w:szCs w:val="24"/>
        </w:rPr>
      </w:pPr>
      <w:r w:rsidRPr="00242122">
        <w:rPr>
          <w:rFonts w:ascii="Arial" w:hAnsi="Arial" w:cs="Arial"/>
          <w:b/>
          <w:bCs/>
          <w:sz w:val="24"/>
          <w:szCs w:val="24"/>
        </w:rPr>
        <w:t>Figura II.2.3.1</w:t>
      </w:r>
    </w:p>
    <w:p w:rsidR="002967F0" w:rsidRPr="00242122" w:rsidRDefault="002967F0" w:rsidP="002967F0">
      <w:pPr>
        <w:spacing w:before="120" w:after="120" w:line="240" w:lineRule="auto"/>
        <w:jc w:val="both"/>
        <w:rPr>
          <w:rFonts w:ascii="Arial" w:hAnsi="Arial" w:cs="Arial"/>
          <w:i/>
        </w:rPr>
      </w:pPr>
      <w:r w:rsidRPr="00242122">
        <w:rPr>
          <w:rFonts w:ascii="Arial" w:hAnsi="Arial" w:cs="Arial"/>
          <w:i/>
        </w:rPr>
        <w:t>(Sursa datelor: Administrația Națională „Apele Române”, Planul Național de Management actualizat 2021)</w:t>
      </w:r>
    </w:p>
    <w:p w:rsidR="002967F0" w:rsidRPr="00242122" w:rsidRDefault="002967F0" w:rsidP="002967F0">
      <w:pPr>
        <w:spacing w:after="0" w:line="240" w:lineRule="auto"/>
        <w:ind w:firstLine="567"/>
        <w:jc w:val="both"/>
        <w:rPr>
          <w:rFonts w:ascii="Arial" w:hAnsi="Arial" w:cs="Arial"/>
          <w:sz w:val="24"/>
          <w:szCs w:val="24"/>
        </w:rPr>
      </w:pPr>
    </w:p>
    <w:p w:rsidR="002967F0" w:rsidRPr="00242122" w:rsidRDefault="002967F0" w:rsidP="002967F0">
      <w:pPr>
        <w:spacing w:after="0" w:line="240" w:lineRule="auto"/>
        <w:ind w:firstLine="567"/>
        <w:jc w:val="both"/>
        <w:rPr>
          <w:rFonts w:ascii="Arial" w:hAnsi="Arial" w:cs="Arial"/>
          <w:sz w:val="24"/>
          <w:szCs w:val="24"/>
        </w:rPr>
      </w:pPr>
    </w:p>
    <w:p w:rsidR="002967F0" w:rsidRPr="00242122" w:rsidRDefault="002967F0" w:rsidP="002967F0">
      <w:pPr>
        <w:spacing w:after="0" w:line="240" w:lineRule="auto"/>
        <w:jc w:val="both"/>
        <w:rPr>
          <w:rFonts w:ascii="Arial" w:hAnsi="Arial" w:cs="Arial"/>
          <w:b/>
          <w:bCs/>
          <w:sz w:val="24"/>
          <w:szCs w:val="24"/>
        </w:rPr>
      </w:pPr>
      <w:r w:rsidRPr="00242122">
        <w:rPr>
          <w:rFonts w:ascii="Arial" w:hAnsi="Arial" w:cs="Arial"/>
          <w:b/>
          <w:bCs/>
          <w:sz w:val="24"/>
          <w:szCs w:val="24"/>
        </w:rPr>
        <w:t>Evoluția emisiilor de fosfor total și a căilor de emisie în funcție de scenarii (exprimate în tone P pe an)</w:t>
      </w:r>
    </w:p>
    <w:p w:rsidR="002967F0" w:rsidRPr="00242122" w:rsidRDefault="002967F0" w:rsidP="002967F0">
      <w:pPr>
        <w:spacing w:after="0" w:line="240" w:lineRule="auto"/>
        <w:ind w:firstLine="567"/>
        <w:jc w:val="both"/>
        <w:rPr>
          <w:rFonts w:ascii="Arial" w:hAnsi="Arial" w:cs="Arial"/>
          <w:sz w:val="24"/>
          <w:szCs w:val="24"/>
        </w:rPr>
      </w:pPr>
    </w:p>
    <w:p w:rsidR="002967F0" w:rsidRPr="00242122" w:rsidRDefault="002967F0" w:rsidP="002967F0">
      <w:pPr>
        <w:spacing w:after="0" w:line="240" w:lineRule="auto"/>
        <w:jc w:val="both"/>
        <w:rPr>
          <w:rFonts w:ascii="Arial" w:hAnsi="Arial" w:cs="Arial"/>
          <w:sz w:val="24"/>
          <w:szCs w:val="24"/>
        </w:rPr>
      </w:pPr>
      <w:r w:rsidRPr="00242122">
        <w:rPr>
          <w:rFonts w:ascii="Arial" w:hAnsi="Arial" w:cs="Arial"/>
          <w:noProof/>
          <w:sz w:val="24"/>
          <w:szCs w:val="24"/>
          <w:lang w:eastAsia="ro-RO"/>
        </w:rPr>
        <w:drawing>
          <wp:inline distT="0" distB="0" distL="0" distR="0" wp14:anchorId="7C0D545C" wp14:editId="266A3B92">
            <wp:extent cx="5975350" cy="294449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75350" cy="2944495"/>
                    </a:xfrm>
                    <a:prstGeom prst="rect">
                      <a:avLst/>
                    </a:prstGeom>
                    <a:noFill/>
                  </pic:spPr>
                </pic:pic>
              </a:graphicData>
            </a:graphic>
          </wp:inline>
        </w:drawing>
      </w:r>
    </w:p>
    <w:p w:rsidR="002967F0" w:rsidRPr="00242122" w:rsidRDefault="002967F0" w:rsidP="002967F0">
      <w:pPr>
        <w:spacing w:after="0" w:line="240" w:lineRule="auto"/>
        <w:ind w:firstLine="567"/>
        <w:jc w:val="both"/>
        <w:rPr>
          <w:rFonts w:ascii="Arial" w:hAnsi="Arial" w:cs="Arial"/>
          <w:sz w:val="24"/>
          <w:szCs w:val="24"/>
        </w:rPr>
      </w:pPr>
    </w:p>
    <w:p w:rsidR="002967F0" w:rsidRPr="00242122" w:rsidRDefault="002967F0" w:rsidP="002967F0">
      <w:pPr>
        <w:spacing w:after="0" w:line="240" w:lineRule="auto"/>
        <w:ind w:firstLine="567"/>
        <w:jc w:val="right"/>
        <w:rPr>
          <w:rFonts w:ascii="Arial" w:hAnsi="Arial" w:cs="Arial"/>
          <w:b/>
          <w:bCs/>
          <w:sz w:val="24"/>
          <w:szCs w:val="24"/>
        </w:rPr>
      </w:pPr>
      <w:r w:rsidRPr="00242122">
        <w:rPr>
          <w:rFonts w:ascii="Arial" w:hAnsi="Arial" w:cs="Arial"/>
          <w:b/>
          <w:bCs/>
          <w:sz w:val="24"/>
          <w:szCs w:val="24"/>
        </w:rPr>
        <w:t>Figura II.2.3.2</w:t>
      </w:r>
    </w:p>
    <w:p w:rsidR="002967F0" w:rsidRPr="00242122" w:rsidRDefault="002967F0" w:rsidP="002967F0">
      <w:pPr>
        <w:spacing w:before="120" w:after="120" w:line="240" w:lineRule="auto"/>
        <w:jc w:val="both"/>
        <w:rPr>
          <w:rFonts w:ascii="Arial" w:hAnsi="Arial" w:cs="Arial"/>
          <w:i/>
        </w:rPr>
      </w:pPr>
      <w:r w:rsidRPr="00242122">
        <w:rPr>
          <w:rFonts w:ascii="Arial" w:hAnsi="Arial" w:cs="Arial"/>
          <w:i/>
        </w:rPr>
        <w:t>(Sursa datelor: Administrația Națională „Apele Române”, Planul Național de Management actualizat 2021)</w:t>
      </w:r>
    </w:p>
    <w:p w:rsidR="002967F0" w:rsidRPr="00242122" w:rsidRDefault="002967F0" w:rsidP="002967F0">
      <w:pPr>
        <w:spacing w:after="0" w:line="240" w:lineRule="auto"/>
        <w:ind w:firstLine="567"/>
        <w:jc w:val="both"/>
        <w:rPr>
          <w:rFonts w:ascii="Arial" w:hAnsi="Arial" w:cs="Arial"/>
          <w:sz w:val="24"/>
          <w:szCs w:val="24"/>
        </w:rPr>
      </w:pPr>
    </w:p>
    <w:p w:rsidR="002967F0" w:rsidRPr="00242122" w:rsidRDefault="002967F0" w:rsidP="002967F0">
      <w:pPr>
        <w:spacing w:after="0" w:line="240" w:lineRule="auto"/>
        <w:jc w:val="both"/>
        <w:rPr>
          <w:rFonts w:ascii="Arial" w:hAnsi="Arial" w:cs="Arial"/>
          <w:b/>
          <w:bCs/>
          <w:sz w:val="24"/>
          <w:szCs w:val="24"/>
        </w:rPr>
      </w:pPr>
      <w:r w:rsidRPr="00242122">
        <w:rPr>
          <w:rFonts w:ascii="Arial" w:hAnsi="Arial" w:cs="Arial"/>
          <w:b/>
          <w:bCs/>
          <w:sz w:val="24"/>
          <w:szCs w:val="24"/>
        </w:rPr>
        <w:t xml:space="preserve">Evoluția emisiilor de azot total (pe surse) în funcție de scenarii </w:t>
      </w:r>
    </w:p>
    <w:p w:rsidR="002967F0" w:rsidRPr="00242122" w:rsidRDefault="002967F0" w:rsidP="002967F0">
      <w:pPr>
        <w:spacing w:after="0" w:line="240" w:lineRule="auto"/>
        <w:jc w:val="both"/>
        <w:rPr>
          <w:rFonts w:ascii="Arial" w:hAnsi="Arial" w:cs="Arial"/>
          <w:b/>
          <w:bCs/>
          <w:sz w:val="24"/>
          <w:szCs w:val="24"/>
        </w:rPr>
      </w:pPr>
      <w:r w:rsidRPr="00242122">
        <w:rPr>
          <w:rFonts w:ascii="Arial" w:hAnsi="Arial" w:cs="Arial"/>
          <w:b/>
          <w:bCs/>
          <w:noProof/>
          <w:lang w:eastAsia="ro-RO"/>
        </w:rPr>
        <w:drawing>
          <wp:anchor distT="0" distB="0" distL="114300" distR="114300" simplePos="0" relativeHeight="251667456" behindDoc="0" locked="0" layoutInCell="1" allowOverlap="1" wp14:anchorId="547C041D" wp14:editId="34B6AF97">
            <wp:simplePos x="0" y="0"/>
            <wp:positionH relativeFrom="margin">
              <wp:posOffset>0</wp:posOffset>
            </wp:positionH>
            <wp:positionV relativeFrom="margin">
              <wp:posOffset>622300</wp:posOffset>
            </wp:positionV>
            <wp:extent cx="5928360" cy="3166110"/>
            <wp:effectExtent l="0" t="0" r="0" b="0"/>
            <wp:wrapSquare wrapText="bothSides"/>
            <wp:docPr id="32"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28360" cy="3166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2122">
        <w:rPr>
          <w:rFonts w:ascii="Arial" w:hAnsi="Arial" w:cs="Arial"/>
          <w:b/>
          <w:bCs/>
          <w:sz w:val="24"/>
          <w:szCs w:val="24"/>
        </w:rPr>
        <w:t>(exprimate în tone N pe an)</w:t>
      </w:r>
    </w:p>
    <w:p w:rsidR="002967F0" w:rsidRPr="00242122" w:rsidRDefault="002967F0" w:rsidP="002967F0">
      <w:pPr>
        <w:spacing w:after="0" w:line="240" w:lineRule="auto"/>
        <w:ind w:firstLine="567"/>
        <w:jc w:val="right"/>
        <w:rPr>
          <w:rFonts w:ascii="Arial" w:hAnsi="Arial" w:cs="Arial"/>
          <w:b/>
          <w:bCs/>
          <w:sz w:val="24"/>
          <w:szCs w:val="24"/>
        </w:rPr>
      </w:pPr>
    </w:p>
    <w:p w:rsidR="002967F0" w:rsidRPr="00242122" w:rsidRDefault="002967F0" w:rsidP="002967F0">
      <w:pPr>
        <w:spacing w:after="0" w:line="240" w:lineRule="auto"/>
        <w:ind w:firstLine="567"/>
        <w:jc w:val="right"/>
        <w:rPr>
          <w:rFonts w:ascii="Arial" w:hAnsi="Arial" w:cs="Arial"/>
          <w:b/>
          <w:bCs/>
          <w:sz w:val="24"/>
          <w:szCs w:val="24"/>
        </w:rPr>
      </w:pPr>
      <w:r w:rsidRPr="00242122">
        <w:rPr>
          <w:rFonts w:ascii="Arial" w:hAnsi="Arial" w:cs="Arial"/>
          <w:b/>
          <w:bCs/>
          <w:sz w:val="24"/>
          <w:szCs w:val="24"/>
        </w:rPr>
        <w:t>Figura II.2.3.3</w:t>
      </w:r>
    </w:p>
    <w:p w:rsidR="002967F0" w:rsidRPr="00242122" w:rsidRDefault="002967F0" w:rsidP="002967F0">
      <w:pPr>
        <w:spacing w:before="120" w:after="120" w:line="240" w:lineRule="auto"/>
        <w:jc w:val="both"/>
        <w:rPr>
          <w:rFonts w:ascii="Arial" w:hAnsi="Arial" w:cs="Arial"/>
          <w:i/>
        </w:rPr>
      </w:pPr>
      <w:r w:rsidRPr="00242122">
        <w:rPr>
          <w:rFonts w:ascii="Arial" w:hAnsi="Arial" w:cs="Arial"/>
          <w:i/>
        </w:rPr>
        <w:t>(Sursa datelor: Administrația Națională „Apele Române”, Planul Național de Management actualizat 2021)</w:t>
      </w:r>
    </w:p>
    <w:p w:rsidR="002967F0" w:rsidRPr="00242122" w:rsidRDefault="002967F0" w:rsidP="002967F0">
      <w:pPr>
        <w:spacing w:before="120" w:after="120" w:line="240" w:lineRule="auto"/>
        <w:jc w:val="both"/>
        <w:rPr>
          <w:rFonts w:ascii="Arial" w:hAnsi="Arial" w:cs="Arial"/>
          <w:i/>
        </w:rPr>
      </w:pPr>
    </w:p>
    <w:p w:rsidR="002967F0" w:rsidRPr="00242122" w:rsidRDefault="002967F0" w:rsidP="002967F0">
      <w:pPr>
        <w:spacing w:after="0" w:line="240" w:lineRule="auto"/>
        <w:jc w:val="both"/>
        <w:rPr>
          <w:rFonts w:ascii="Arial" w:hAnsi="Arial" w:cs="Arial"/>
          <w:b/>
          <w:bCs/>
          <w:iCs/>
          <w:sz w:val="24"/>
          <w:szCs w:val="24"/>
        </w:rPr>
      </w:pPr>
      <w:r w:rsidRPr="00242122">
        <w:rPr>
          <w:rFonts w:ascii="Arial" w:hAnsi="Arial" w:cs="Arial"/>
          <w:b/>
          <w:bCs/>
          <w:iCs/>
          <w:sz w:val="24"/>
          <w:szCs w:val="24"/>
        </w:rPr>
        <w:lastRenderedPageBreak/>
        <w:t xml:space="preserve">Evoluția emisiilor de fosfor total (pe surse) în funcție de scenarii </w:t>
      </w:r>
    </w:p>
    <w:p w:rsidR="002967F0" w:rsidRPr="00242122" w:rsidRDefault="002967F0" w:rsidP="002967F0">
      <w:pPr>
        <w:spacing w:after="0" w:line="240" w:lineRule="auto"/>
        <w:jc w:val="both"/>
        <w:rPr>
          <w:rFonts w:ascii="Arial" w:hAnsi="Arial" w:cs="Arial"/>
          <w:b/>
          <w:bCs/>
          <w:iCs/>
          <w:sz w:val="24"/>
          <w:szCs w:val="24"/>
        </w:rPr>
      </w:pPr>
      <w:r w:rsidRPr="00242122">
        <w:rPr>
          <w:rFonts w:ascii="Arial" w:hAnsi="Arial" w:cs="Arial"/>
          <w:b/>
          <w:bCs/>
          <w:iCs/>
          <w:sz w:val="24"/>
          <w:szCs w:val="24"/>
        </w:rPr>
        <w:t>(exprimate în tone P pe an)</w:t>
      </w:r>
    </w:p>
    <w:p w:rsidR="002967F0" w:rsidRPr="00242122" w:rsidRDefault="002967F0" w:rsidP="002967F0">
      <w:pPr>
        <w:spacing w:before="120" w:after="120" w:line="240" w:lineRule="auto"/>
        <w:jc w:val="both"/>
        <w:rPr>
          <w:rFonts w:ascii="Arial" w:hAnsi="Arial" w:cs="Arial"/>
          <w:iCs/>
        </w:rPr>
      </w:pPr>
      <w:r w:rsidRPr="00242122">
        <w:rPr>
          <w:rFonts w:ascii="Arial" w:hAnsi="Arial" w:cs="Arial"/>
          <w:noProof/>
          <w:sz w:val="24"/>
          <w:szCs w:val="24"/>
          <w:lang w:eastAsia="ro-RO"/>
        </w:rPr>
        <w:drawing>
          <wp:inline distT="0" distB="0" distL="0" distR="0" wp14:anchorId="5F7B12A3" wp14:editId="0F86EECE">
            <wp:extent cx="5918835" cy="31419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18835" cy="3141980"/>
                    </a:xfrm>
                    <a:prstGeom prst="rect">
                      <a:avLst/>
                    </a:prstGeom>
                    <a:noFill/>
                  </pic:spPr>
                </pic:pic>
              </a:graphicData>
            </a:graphic>
          </wp:inline>
        </w:drawing>
      </w:r>
    </w:p>
    <w:p w:rsidR="002967F0" w:rsidRPr="00242122" w:rsidRDefault="002967F0" w:rsidP="002967F0">
      <w:pPr>
        <w:spacing w:after="0" w:line="240" w:lineRule="auto"/>
        <w:ind w:firstLine="567"/>
        <w:jc w:val="right"/>
        <w:rPr>
          <w:rFonts w:ascii="Arial" w:hAnsi="Arial" w:cs="Arial"/>
          <w:b/>
          <w:bCs/>
          <w:sz w:val="24"/>
          <w:szCs w:val="24"/>
        </w:rPr>
      </w:pPr>
      <w:r w:rsidRPr="00242122">
        <w:rPr>
          <w:rFonts w:ascii="Arial" w:hAnsi="Arial" w:cs="Arial"/>
          <w:b/>
          <w:bCs/>
          <w:sz w:val="24"/>
          <w:szCs w:val="24"/>
        </w:rPr>
        <w:t>Figura II.2.3.4</w:t>
      </w:r>
    </w:p>
    <w:p w:rsidR="002967F0" w:rsidRPr="00242122" w:rsidRDefault="002967F0" w:rsidP="002967F0">
      <w:pPr>
        <w:spacing w:before="120" w:after="120" w:line="240" w:lineRule="auto"/>
        <w:jc w:val="both"/>
        <w:rPr>
          <w:rFonts w:ascii="Arial" w:hAnsi="Arial" w:cs="Arial"/>
          <w:i/>
        </w:rPr>
      </w:pPr>
      <w:r w:rsidRPr="00242122">
        <w:rPr>
          <w:rFonts w:ascii="Arial" w:hAnsi="Arial" w:cs="Arial"/>
          <w:i/>
        </w:rPr>
        <w:t>(Sursa datelor: Administrația Națională „Apele Române”, Planul Național de Management actualizat 2021)</w:t>
      </w:r>
    </w:p>
    <w:p w:rsidR="002967F0" w:rsidRPr="00242122" w:rsidRDefault="002967F0" w:rsidP="002967F0">
      <w:pPr>
        <w:tabs>
          <w:tab w:val="left" w:pos="6900"/>
        </w:tabs>
        <w:spacing w:before="120" w:after="120" w:line="240" w:lineRule="auto"/>
        <w:ind w:firstLine="720"/>
        <w:jc w:val="both"/>
        <w:rPr>
          <w:rFonts w:ascii="Arial" w:eastAsia="Times New Roman" w:hAnsi="Arial" w:cs="Arial"/>
          <w:sz w:val="24"/>
          <w:szCs w:val="24"/>
          <w:lang w:val="fr-FR"/>
        </w:rPr>
      </w:pPr>
      <w:r w:rsidRPr="00242122">
        <w:rPr>
          <w:rFonts w:ascii="Arial" w:eastAsia="Times New Roman" w:hAnsi="Arial" w:cs="Arial"/>
          <w:sz w:val="24"/>
          <w:szCs w:val="24"/>
        </w:rPr>
        <w:t xml:space="preserve">Scenariul de viziune I, care presupune surplusuri scăzute pe termen lung și utilizarea pe scară largă a celor mai bune practice agricole, previzionează o scădere substanțială a emisiilor din agricultură în apele de suprafață. Conform simulările modelului MONERIS, scăderea emisiilor față de situația de referință cu 41 % (N) și 29 % (P) din emisiile surselor agricole ar putea fi realizată la nivel de bazin prin aplicarea unui management agricol adecvat. Cu toate acestea, regiunile cu surplus de azot foarte scăzut în prezent vor indica o creșterea emisiilor de azot din agricultură ca urmare a intensificării (surplus de nutrienți mai mare) activităților agricole în scenariul de viziune I (după anul 2027), comparativ cu scenariul de referință (2015-2018). </w:t>
      </w:r>
      <w:r w:rsidRPr="00242122">
        <w:rPr>
          <w:rFonts w:ascii="Arial" w:eastAsia="Times New Roman" w:hAnsi="Arial" w:cs="Arial"/>
          <w:sz w:val="24"/>
          <w:szCs w:val="24"/>
          <w:lang w:val="fr-FR"/>
        </w:rPr>
        <w:t>Emisiile de fosfor vor scădea datorită aplicării măsurilor eficiente de protecţie a solului.</w:t>
      </w:r>
    </w:p>
    <w:p w:rsidR="002967F0" w:rsidRPr="00242122" w:rsidRDefault="002967F0" w:rsidP="002967F0">
      <w:pPr>
        <w:spacing w:before="120" w:after="120" w:line="240" w:lineRule="auto"/>
        <w:ind w:firstLine="720"/>
        <w:jc w:val="both"/>
        <w:rPr>
          <w:rFonts w:ascii="Arial" w:eastAsia="Times New Roman" w:hAnsi="Arial" w:cs="Arial"/>
          <w:sz w:val="24"/>
          <w:szCs w:val="24"/>
          <w:lang w:val="fr-FR"/>
        </w:rPr>
      </w:pPr>
      <w:r w:rsidRPr="00242122">
        <w:rPr>
          <w:rFonts w:ascii="Arial" w:eastAsia="Times New Roman" w:hAnsi="Arial" w:cs="Arial"/>
          <w:sz w:val="24"/>
          <w:szCs w:val="24"/>
          <w:lang w:val="fr-FR"/>
        </w:rPr>
        <w:t>În ceea ce privește scenariile de viziune I pentru regimul hidrologic cu scurgere maximă (ape mari) și regimul hidrologic cu scurgere minimă (ape mici), acestea reprezintă impactul schimbării regimului hidrologic asupra emisiilor difuze. Pentru condițiile de ape mici (dry), sunt de așteptat emisii mai mici, prognozându-se o reducere a emisiilor cu 7,5 % (N) și 10 % (P) din totalul emisiilor de nutrienți în comparație cu scenariul de viziune I. Pe de altă parte, în anii cu scurgere maximă (ape mari), scurgerea și potențial eroziunea solului sunt mai importante, ducând la creșterea emisiilor. Astfel, în cazul condițiilor de scurgere maximă (wet), se preconizează o creștere față de scenariul de viziune I a emisiilor cu 23 % (N) și 20,2 % (P) din totalul emisiilor de nutrienți. Față de situația de referință (2015-2018), măsurile pentru scenariul de viziune I și impactul schimbărilor climatice (dry) ar putea reduce semnificativ emisiile difuze de nutrienți, în timp ce în anii ploioși emisiile ar putea fi similare cu valorile de referință.</w:t>
      </w:r>
    </w:p>
    <w:p w:rsidR="002967F0" w:rsidRPr="00242122" w:rsidRDefault="002967F0" w:rsidP="002967F0">
      <w:pPr>
        <w:tabs>
          <w:tab w:val="left" w:pos="6900"/>
        </w:tabs>
        <w:spacing w:before="120" w:after="120" w:line="240" w:lineRule="auto"/>
        <w:ind w:firstLine="720"/>
        <w:jc w:val="both"/>
        <w:rPr>
          <w:rFonts w:ascii="Arial" w:eastAsia="Times New Roman" w:hAnsi="Arial" w:cs="Arial"/>
          <w:sz w:val="24"/>
          <w:szCs w:val="24"/>
          <w:lang w:val="fr-FR"/>
        </w:rPr>
      </w:pPr>
      <w:r w:rsidRPr="00242122">
        <w:rPr>
          <w:rFonts w:ascii="Arial" w:eastAsia="Times New Roman" w:hAnsi="Arial" w:cs="Arial"/>
          <w:sz w:val="24"/>
          <w:szCs w:val="24"/>
          <w:lang w:val="fr-FR"/>
        </w:rPr>
        <w:t>Scenariul de viziune II ar conduce la o reducere mai mare a emisiilor față de scenariul de viziune I, de 44,5 % (N) și 40,3 % (P) din emisiile totale de nutrienți din agricultură, datorită aplicării măsurilor de retenție mai eficientă a nutrienților asigurată de zonele tampon riverane.</w:t>
      </w:r>
    </w:p>
    <w:p w:rsidR="002967F0" w:rsidRPr="00242122" w:rsidRDefault="002967F0" w:rsidP="002967F0">
      <w:pPr>
        <w:widowControl w:val="0"/>
        <w:autoSpaceDE w:val="0"/>
        <w:autoSpaceDN w:val="0"/>
        <w:adjustRightInd w:val="0"/>
        <w:spacing w:before="120" w:after="120" w:line="240" w:lineRule="auto"/>
        <w:ind w:firstLine="720"/>
        <w:jc w:val="both"/>
        <w:rPr>
          <w:rFonts w:ascii="Arial" w:eastAsia="Times New Roman" w:hAnsi="Arial" w:cs="Arial"/>
          <w:sz w:val="24"/>
          <w:szCs w:val="24"/>
          <w:lang w:val="fr-FR"/>
        </w:rPr>
      </w:pPr>
      <w:r w:rsidRPr="00242122">
        <w:rPr>
          <w:rFonts w:ascii="Arial" w:eastAsia="Times New Roman" w:hAnsi="Arial" w:cs="Arial"/>
          <w:sz w:val="24"/>
          <w:szCs w:val="24"/>
          <w:lang w:val="fr-FR"/>
        </w:rPr>
        <w:lastRenderedPageBreak/>
        <w:t xml:space="preserve">În </w:t>
      </w:r>
      <w:r w:rsidRPr="00242122">
        <w:rPr>
          <w:rFonts w:ascii="Arial" w:eastAsia="Times New Roman" w:hAnsi="Arial" w:cs="Arial"/>
          <w:i/>
          <w:iCs/>
          <w:sz w:val="24"/>
          <w:szCs w:val="24"/>
          <w:lang w:val="fr-FR"/>
        </w:rPr>
        <w:t>Figurile II.2.3.5-</w:t>
      </w:r>
      <w:r w:rsidRPr="00242122">
        <w:rPr>
          <w:rFonts w:ascii="Arial" w:hAnsi="Arial" w:cs="Arial"/>
        </w:rPr>
        <w:t xml:space="preserve"> </w:t>
      </w:r>
      <w:r w:rsidRPr="00242122">
        <w:rPr>
          <w:rFonts w:ascii="Arial" w:eastAsia="Times New Roman" w:hAnsi="Arial" w:cs="Arial"/>
          <w:i/>
          <w:iCs/>
          <w:sz w:val="24"/>
          <w:szCs w:val="24"/>
          <w:lang w:val="fr-FR"/>
        </w:rPr>
        <w:t xml:space="preserve">II.2.3.8 </w:t>
      </w:r>
      <w:r w:rsidRPr="00242122">
        <w:rPr>
          <w:rFonts w:ascii="Arial" w:eastAsia="Times New Roman" w:hAnsi="Arial" w:cs="Arial"/>
          <w:sz w:val="24"/>
          <w:szCs w:val="24"/>
          <w:lang w:val="fr-FR"/>
        </w:rPr>
        <w:t>sunt reprezentate comparativ distribuțiile spațiale ale emisiilor de nutrienți, la nivel de sub-bazine (unități analitice) și la nivel de utilizare a terenului, pentru situația de referință (2015-2018) și scenariul de bază (2027). Se observă o scădere a emisiilor totale de nutrienți din surse difuze și punctiforme (cu 14 %: N și 5,5 %: P).</w:t>
      </w:r>
    </w:p>
    <w:p w:rsidR="002967F0" w:rsidRPr="00242122" w:rsidRDefault="002967F0" w:rsidP="002967F0">
      <w:pPr>
        <w:widowControl w:val="0"/>
        <w:autoSpaceDE w:val="0"/>
        <w:autoSpaceDN w:val="0"/>
        <w:adjustRightInd w:val="0"/>
        <w:spacing w:after="0" w:line="240" w:lineRule="auto"/>
        <w:ind w:firstLine="720"/>
        <w:jc w:val="both"/>
        <w:rPr>
          <w:rFonts w:ascii="Arial" w:eastAsia="Times New Roman" w:hAnsi="Arial" w:cs="Arial"/>
          <w:b/>
          <w:bCs/>
          <w:i/>
          <w:iCs/>
          <w:sz w:val="24"/>
          <w:szCs w:val="24"/>
          <w:lang w:val="fr-FR" w:eastAsia="x-none"/>
        </w:rPr>
      </w:pPr>
      <w:r w:rsidRPr="00242122">
        <w:rPr>
          <w:rFonts w:ascii="Arial" w:eastAsia="Times New Roman" w:hAnsi="Arial" w:cs="Arial"/>
          <w:b/>
          <w:bCs/>
          <w:i/>
          <w:iCs/>
          <w:sz w:val="24"/>
          <w:szCs w:val="24"/>
          <w:lang w:val="fr-FR" w:eastAsia="x-none"/>
        </w:rPr>
        <w:t>Emisia specifică de azot total din surse punctiforme și difuze la nivel de sub-bazine hidrografice:situația de referință 2015-2018 (stânga) și scenariu de bază 2027 (dreapta)</w:t>
      </w:r>
    </w:p>
    <w:p w:rsidR="002967F0" w:rsidRPr="00242122" w:rsidRDefault="002967F0" w:rsidP="002967F0">
      <w:pPr>
        <w:widowControl w:val="0"/>
        <w:autoSpaceDE w:val="0"/>
        <w:autoSpaceDN w:val="0"/>
        <w:adjustRightInd w:val="0"/>
        <w:spacing w:after="0" w:line="240" w:lineRule="auto"/>
        <w:jc w:val="both"/>
        <w:rPr>
          <w:rFonts w:ascii="Arial" w:eastAsia="Times New Roman" w:hAnsi="Arial" w:cs="Arial"/>
          <w:sz w:val="24"/>
          <w:szCs w:val="24"/>
          <w:lang w:val="fr-FR"/>
        </w:rPr>
      </w:pPr>
    </w:p>
    <w:p w:rsidR="002967F0" w:rsidRPr="00242122" w:rsidRDefault="002967F0" w:rsidP="002967F0">
      <w:pPr>
        <w:tabs>
          <w:tab w:val="left" w:pos="6900"/>
        </w:tabs>
        <w:spacing w:after="0" w:line="240" w:lineRule="auto"/>
        <w:jc w:val="center"/>
        <w:rPr>
          <w:rFonts w:ascii="Arial" w:eastAsia="Times New Roman" w:hAnsi="Arial" w:cs="Arial"/>
          <w:noProof/>
          <w:sz w:val="24"/>
          <w:szCs w:val="24"/>
          <w:lang w:val="en-US"/>
        </w:rPr>
      </w:pPr>
      <w:r w:rsidRPr="00242122">
        <w:rPr>
          <w:rFonts w:ascii="Arial" w:eastAsia="Times New Roman" w:hAnsi="Arial" w:cs="Arial"/>
          <w:noProof/>
          <w:sz w:val="24"/>
          <w:szCs w:val="24"/>
          <w:lang w:eastAsia="ro-RO"/>
        </w:rPr>
        <w:drawing>
          <wp:inline distT="0" distB="0" distL="0" distR="0" wp14:anchorId="4684046A" wp14:editId="51AA3D75">
            <wp:extent cx="2880360" cy="2065020"/>
            <wp:effectExtent l="0" t="0" r="0" b="0"/>
            <wp:docPr id="34"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0360" cy="2065020"/>
                    </a:xfrm>
                    <a:prstGeom prst="rect">
                      <a:avLst/>
                    </a:prstGeom>
                    <a:noFill/>
                    <a:ln>
                      <a:noFill/>
                    </a:ln>
                  </pic:spPr>
                </pic:pic>
              </a:graphicData>
            </a:graphic>
          </wp:inline>
        </w:drawing>
      </w:r>
      <w:r w:rsidRPr="00242122">
        <w:rPr>
          <w:rFonts w:ascii="Arial" w:eastAsia="Times New Roman" w:hAnsi="Arial" w:cs="Arial"/>
          <w:noProof/>
          <w:sz w:val="24"/>
          <w:szCs w:val="24"/>
          <w:lang w:eastAsia="ro-RO"/>
        </w:rPr>
        <w:drawing>
          <wp:inline distT="0" distB="0" distL="0" distR="0" wp14:anchorId="0B04A160" wp14:editId="4BAF9A9E">
            <wp:extent cx="2941320" cy="2049780"/>
            <wp:effectExtent l="0" t="0" r="0" b="0"/>
            <wp:docPr id="35"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41320" cy="2049780"/>
                    </a:xfrm>
                    <a:prstGeom prst="rect">
                      <a:avLst/>
                    </a:prstGeom>
                    <a:noFill/>
                    <a:ln>
                      <a:noFill/>
                    </a:ln>
                  </pic:spPr>
                </pic:pic>
              </a:graphicData>
            </a:graphic>
          </wp:inline>
        </w:drawing>
      </w:r>
    </w:p>
    <w:p w:rsidR="002967F0" w:rsidRPr="00242122" w:rsidRDefault="002967F0" w:rsidP="002967F0">
      <w:pPr>
        <w:widowControl w:val="0"/>
        <w:autoSpaceDE w:val="0"/>
        <w:autoSpaceDN w:val="0"/>
        <w:adjustRightInd w:val="0"/>
        <w:spacing w:after="0" w:line="240" w:lineRule="auto"/>
        <w:jc w:val="right"/>
        <w:rPr>
          <w:rFonts w:ascii="Arial" w:eastAsia="Times New Roman" w:hAnsi="Arial" w:cs="Arial"/>
          <w:b/>
          <w:bCs/>
          <w:sz w:val="24"/>
          <w:szCs w:val="24"/>
          <w:lang w:val="fr-FR"/>
        </w:rPr>
      </w:pPr>
      <w:r w:rsidRPr="00242122">
        <w:rPr>
          <w:rFonts w:ascii="Arial" w:eastAsia="Times New Roman" w:hAnsi="Arial" w:cs="Arial"/>
          <w:b/>
          <w:bCs/>
          <w:sz w:val="24"/>
          <w:szCs w:val="24"/>
          <w:lang w:val="fr-FR"/>
        </w:rPr>
        <w:t>Figura II.2.3.5</w:t>
      </w:r>
    </w:p>
    <w:p w:rsidR="002967F0" w:rsidRPr="00242122" w:rsidRDefault="002967F0" w:rsidP="002967F0">
      <w:pPr>
        <w:spacing w:before="120" w:after="120" w:line="240" w:lineRule="auto"/>
        <w:jc w:val="both"/>
        <w:rPr>
          <w:rFonts w:ascii="Arial" w:hAnsi="Arial" w:cs="Arial"/>
          <w:i/>
        </w:rPr>
      </w:pPr>
      <w:r w:rsidRPr="00242122">
        <w:rPr>
          <w:rFonts w:ascii="Arial" w:hAnsi="Arial" w:cs="Arial"/>
          <w:i/>
        </w:rPr>
        <w:t>(Sursa datelor: Administrația Națională „Apele Române”, Planul Național de Management actualizat 2021)</w:t>
      </w:r>
    </w:p>
    <w:p w:rsidR="002967F0" w:rsidRPr="00242122" w:rsidRDefault="002967F0" w:rsidP="002967F0">
      <w:pPr>
        <w:spacing w:before="120" w:after="0" w:line="240" w:lineRule="auto"/>
        <w:jc w:val="center"/>
        <w:rPr>
          <w:rFonts w:ascii="Arial" w:eastAsia="Times New Roman" w:hAnsi="Arial" w:cs="Arial"/>
          <w:b/>
          <w:bCs/>
          <w:i/>
          <w:iCs/>
          <w:sz w:val="24"/>
          <w:szCs w:val="24"/>
          <w:lang w:val="fr-FR" w:eastAsia="x-none"/>
        </w:rPr>
      </w:pPr>
    </w:p>
    <w:p w:rsidR="002967F0" w:rsidRPr="00242122" w:rsidRDefault="002967F0" w:rsidP="002967F0">
      <w:pPr>
        <w:spacing w:before="120" w:after="0" w:line="240" w:lineRule="auto"/>
        <w:jc w:val="center"/>
        <w:rPr>
          <w:rFonts w:ascii="Arial" w:eastAsia="Times New Roman" w:hAnsi="Arial" w:cs="Arial"/>
          <w:b/>
          <w:bCs/>
          <w:i/>
          <w:iCs/>
          <w:sz w:val="24"/>
          <w:szCs w:val="24"/>
          <w:lang w:val="fr-FR" w:eastAsia="x-none"/>
        </w:rPr>
      </w:pPr>
      <w:r w:rsidRPr="00242122">
        <w:rPr>
          <w:rFonts w:ascii="Arial" w:eastAsia="Times New Roman" w:hAnsi="Arial" w:cs="Arial"/>
          <w:b/>
          <w:bCs/>
          <w:i/>
          <w:iCs/>
          <w:sz w:val="24"/>
          <w:szCs w:val="24"/>
          <w:lang w:val="fr-FR" w:eastAsia="x-none"/>
        </w:rPr>
        <w:t>Emisia specifică de azot total din surse punctiforme și difuze la nivel de utilizare a terenului:  situația de referință 2015-2018 (stânga) și scenariu de bază 2027 (dreapta)</w:t>
      </w:r>
    </w:p>
    <w:p w:rsidR="002967F0" w:rsidRPr="00242122" w:rsidRDefault="002967F0" w:rsidP="002967F0">
      <w:pPr>
        <w:tabs>
          <w:tab w:val="left" w:pos="6900"/>
        </w:tabs>
        <w:spacing w:after="0" w:line="240" w:lineRule="auto"/>
        <w:jc w:val="center"/>
        <w:rPr>
          <w:rFonts w:ascii="Arial" w:eastAsia="Times New Roman" w:hAnsi="Arial" w:cs="Arial"/>
          <w:sz w:val="24"/>
          <w:szCs w:val="24"/>
          <w:lang w:val="fr-FR"/>
        </w:rPr>
      </w:pPr>
    </w:p>
    <w:p w:rsidR="002967F0" w:rsidRPr="00242122" w:rsidRDefault="002967F0" w:rsidP="002967F0">
      <w:pPr>
        <w:tabs>
          <w:tab w:val="left" w:pos="6900"/>
        </w:tabs>
        <w:spacing w:after="0" w:line="240" w:lineRule="auto"/>
        <w:jc w:val="center"/>
        <w:rPr>
          <w:rFonts w:ascii="Arial" w:eastAsia="Times New Roman" w:hAnsi="Arial" w:cs="Arial"/>
          <w:sz w:val="24"/>
          <w:szCs w:val="24"/>
          <w:lang w:val="en-GB"/>
        </w:rPr>
      </w:pPr>
      <w:r w:rsidRPr="00242122">
        <w:rPr>
          <w:rFonts w:ascii="Arial" w:eastAsia="Times New Roman" w:hAnsi="Arial" w:cs="Arial"/>
          <w:noProof/>
          <w:sz w:val="24"/>
          <w:szCs w:val="24"/>
          <w:lang w:eastAsia="ro-RO"/>
        </w:rPr>
        <w:drawing>
          <wp:inline distT="0" distB="0" distL="0" distR="0" wp14:anchorId="2ACB88D3" wp14:editId="5D4CCFEE">
            <wp:extent cx="2895600" cy="2042160"/>
            <wp:effectExtent l="0" t="0" r="0" b="0"/>
            <wp:docPr id="36"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95600" cy="2042160"/>
                    </a:xfrm>
                    <a:prstGeom prst="rect">
                      <a:avLst/>
                    </a:prstGeom>
                    <a:noFill/>
                    <a:ln>
                      <a:noFill/>
                    </a:ln>
                  </pic:spPr>
                </pic:pic>
              </a:graphicData>
            </a:graphic>
          </wp:inline>
        </w:drawing>
      </w:r>
      <w:r w:rsidRPr="00242122">
        <w:rPr>
          <w:rFonts w:ascii="Arial" w:eastAsia="Times New Roman" w:hAnsi="Arial" w:cs="Arial"/>
          <w:noProof/>
          <w:sz w:val="24"/>
          <w:szCs w:val="24"/>
          <w:lang w:eastAsia="ro-RO"/>
        </w:rPr>
        <w:drawing>
          <wp:inline distT="0" distB="0" distL="0" distR="0" wp14:anchorId="66D1D006" wp14:editId="1A266BF8">
            <wp:extent cx="2918460" cy="2057400"/>
            <wp:effectExtent l="0" t="0" r="0" b="0"/>
            <wp:docPr id="37"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18460" cy="2057400"/>
                    </a:xfrm>
                    <a:prstGeom prst="rect">
                      <a:avLst/>
                    </a:prstGeom>
                    <a:noFill/>
                    <a:ln>
                      <a:noFill/>
                    </a:ln>
                  </pic:spPr>
                </pic:pic>
              </a:graphicData>
            </a:graphic>
          </wp:inline>
        </w:drawing>
      </w:r>
    </w:p>
    <w:p w:rsidR="002967F0" w:rsidRPr="00242122" w:rsidRDefault="002967F0" w:rsidP="002967F0">
      <w:pPr>
        <w:widowControl w:val="0"/>
        <w:autoSpaceDE w:val="0"/>
        <w:autoSpaceDN w:val="0"/>
        <w:adjustRightInd w:val="0"/>
        <w:spacing w:after="0" w:line="240" w:lineRule="auto"/>
        <w:jc w:val="right"/>
        <w:rPr>
          <w:rFonts w:ascii="Arial" w:eastAsia="Times New Roman" w:hAnsi="Arial" w:cs="Arial"/>
          <w:b/>
          <w:bCs/>
          <w:sz w:val="24"/>
          <w:szCs w:val="24"/>
          <w:lang w:val="fr-FR"/>
        </w:rPr>
      </w:pPr>
      <w:r w:rsidRPr="00242122">
        <w:rPr>
          <w:rFonts w:ascii="Arial" w:eastAsia="Times New Roman" w:hAnsi="Arial" w:cs="Arial"/>
          <w:b/>
          <w:bCs/>
          <w:sz w:val="24"/>
          <w:szCs w:val="24"/>
          <w:lang w:val="fr-FR"/>
        </w:rPr>
        <w:t>Figura II.2.3.6</w:t>
      </w:r>
    </w:p>
    <w:p w:rsidR="002967F0" w:rsidRPr="00242122" w:rsidRDefault="002967F0" w:rsidP="002967F0">
      <w:pPr>
        <w:spacing w:before="120" w:after="120" w:line="240" w:lineRule="auto"/>
        <w:jc w:val="both"/>
        <w:rPr>
          <w:rFonts w:ascii="Arial" w:hAnsi="Arial" w:cs="Arial"/>
          <w:i/>
        </w:rPr>
      </w:pPr>
      <w:r w:rsidRPr="00242122">
        <w:rPr>
          <w:rFonts w:ascii="Arial" w:hAnsi="Arial" w:cs="Arial"/>
          <w:i/>
        </w:rPr>
        <w:t>(Sursa datelor: Administrația Națională „Apele Române”, Planul Național de Management actualizat 2021)</w:t>
      </w:r>
    </w:p>
    <w:p w:rsidR="002967F0" w:rsidRPr="00242122" w:rsidRDefault="002967F0" w:rsidP="002967F0">
      <w:pPr>
        <w:spacing w:before="120" w:after="0" w:line="240" w:lineRule="auto"/>
        <w:jc w:val="center"/>
        <w:rPr>
          <w:rFonts w:ascii="Arial" w:eastAsia="Times New Roman" w:hAnsi="Arial" w:cs="Arial"/>
          <w:b/>
          <w:bCs/>
          <w:i/>
          <w:iCs/>
          <w:sz w:val="24"/>
          <w:szCs w:val="24"/>
          <w:lang w:val="fr-FR" w:eastAsia="x-none"/>
        </w:rPr>
      </w:pPr>
    </w:p>
    <w:p w:rsidR="002967F0" w:rsidRPr="00242122" w:rsidRDefault="002967F0" w:rsidP="002967F0">
      <w:pPr>
        <w:tabs>
          <w:tab w:val="left" w:pos="6900"/>
        </w:tabs>
        <w:spacing w:after="0" w:line="240" w:lineRule="auto"/>
        <w:jc w:val="center"/>
        <w:rPr>
          <w:rFonts w:ascii="Arial" w:eastAsia="Times New Roman" w:hAnsi="Arial" w:cs="Arial"/>
          <w:sz w:val="24"/>
          <w:szCs w:val="24"/>
          <w:lang w:val="fr-FR"/>
        </w:rPr>
      </w:pPr>
    </w:p>
    <w:p w:rsidR="002967F0" w:rsidRPr="00242122" w:rsidRDefault="002967F0" w:rsidP="002967F0">
      <w:pPr>
        <w:spacing w:after="0" w:line="240" w:lineRule="auto"/>
        <w:jc w:val="center"/>
        <w:rPr>
          <w:rFonts w:ascii="Arial" w:eastAsia="Times New Roman" w:hAnsi="Arial" w:cs="Arial"/>
          <w:b/>
          <w:bCs/>
          <w:i/>
          <w:iCs/>
          <w:sz w:val="24"/>
          <w:szCs w:val="24"/>
          <w:lang w:val="fr-FR" w:eastAsia="x-none"/>
        </w:rPr>
      </w:pPr>
    </w:p>
    <w:p w:rsidR="002967F0" w:rsidRPr="00242122" w:rsidRDefault="002967F0" w:rsidP="002967F0">
      <w:pPr>
        <w:spacing w:after="0" w:line="240" w:lineRule="auto"/>
        <w:jc w:val="center"/>
        <w:rPr>
          <w:rFonts w:ascii="Arial" w:eastAsia="Times New Roman" w:hAnsi="Arial" w:cs="Arial"/>
          <w:b/>
          <w:bCs/>
          <w:i/>
          <w:iCs/>
          <w:sz w:val="24"/>
          <w:szCs w:val="24"/>
          <w:lang w:val="fr-FR" w:eastAsia="x-none"/>
        </w:rPr>
      </w:pPr>
      <w:r w:rsidRPr="00242122">
        <w:rPr>
          <w:rFonts w:ascii="Arial" w:eastAsia="Times New Roman" w:hAnsi="Arial" w:cs="Arial"/>
          <w:b/>
          <w:bCs/>
          <w:i/>
          <w:iCs/>
          <w:sz w:val="24"/>
          <w:szCs w:val="24"/>
          <w:lang w:val="fr-FR" w:eastAsia="x-none"/>
        </w:rPr>
        <w:br w:type="page"/>
      </w:r>
      <w:r w:rsidRPr="00242122">
        <w:rPr>
          <w:rFonts w:ascii="Arial" w:eastAsia="Times New Roman" w:hAnsi="Arial" w:cs="Arial"/>
          <w:b/>
          <w:bCs/>
          <w:i/>
          <w:iCs/>
          <w:sz w:val="24"/>
          <w:szCs w:val="24"/>
          <w:lang w:val="fr-FR" w:eastAsia="x-none"/>
        </w:rPr>
        <w:lastRenderedPageBreak/>
        <w:t xml:space="preserve">Emisia specifică de fosfor total din surse punctiforme și difuze la nivel de sub-bazine hidrografice; situația de referință 2015-2018 (stânga) </w:t>
      </w:r>
    </w:p>
    <w:p w:rsidR="002967F0" w:rsidRPr="00242122" w:rsidRDefault="002967F0" w:rsidP="002967F0">
      <w:pPr>
        <w:spacing w:after="0" w:line="240" w:lineRule="auto"/>
        <w:jc w:val="center"/>
        <w:rPr>
          <w:rFonts w:ascii="Arial" w:eastAsia="Times New Roman" w:hAnsi="Arial" w:cs="Arial"/>
          <w:b/>
          <w:bCs/>
          <w:i/>
          <w:iCs/>
          <w:sz w:val="24"/>
          <w:szCs w:val="24"/>
          <w:lang w:val="fr-FR" w:eastAsia="x-none"/>
        </w:rPr>
      </w:pPr>
      <w:r w:rsidRPr="00242122">
        <w:rPr>
          <w:rFonts w:ascii="Arial" w:eastAsia="Times New Roman" w:hAnsi="Arial" w:cs="Arial"/>
          <w:b/>
          <w:bCs/>
          <w:i/>
          <w:iCs/>
          <w:sz w:val="24"/>
          <w:szCs w:val="24"/>
          <w:lang w:val="fr-FR" w:eastAsia="x-none"/>
        </w:rPr>
        <w:t>și scenariu de bază 2027 (dreapta)</w:t>
      </w:r>
    </w:p>
    <w:p w:rsidR="002967F0" w:rsidRPr="00242122" w:rsidRDefault="002967F0" w:rsidP="002967F0">
      <w:pPr>
        <w:widowControl w:val="0"/>
        <w:autoSpaceDE w:val="0"/>
        <w:autoSpaceDN w:val="0"/>
        <w:adjustRightInd w:val="0"/>
        <w:spacing w:after="0" w:line="240" w:lineRule="auto"/>
        <w:jc w:val="right"/>
        <w:rPr>
          <w:rFonts w:ascii="Arial" w:eastAsia="Times New Roman" w:hAnsi="Arial" w:cs="Arial"/>
          <w:sz w:val="24"/>
          <w:szCs w:val="24"/>
          <w:lang w:val="fr-FR"/>
        </w:rPr>
      </w:pPr>
    </w:p>
    <w:p w:rsidR="002967F0" w:rsidRPr="00242122" w:rsidRDefault="002967F0" w:rsidP="002967F0">
      <w:pPr>
        <w:spacing w:after="0" w:line="240" w:lineRule="auto"/>
        <w:jc w:val="center"/>
        <w:rPr>
          <w:rFonts w:ascii="Arial" w:eastAsia="Times New Roman" w:hAnsi="Arial" w:cs="Arial"/>
          <w:b/>
          <w:bCs/>
          <w:i/>
          <w:iCs/>
          <w:sz w:val="24"/>
          <w:szCs w:val="24"/>
          <w:lang w:val="fr-FR" w:eastAsia="x-none"/>
        </w:rPr>
      </w:pPr>
    </w:p>
    <w:p w:rsidR="002967F0" w:rsidRPr="00242122" w:rsidRDefault="002967F0" w:rsidP="002967F0">
      <w:pPr>
        <w:tabs>
          <w:tab w:val="left" w:pos="6900"/>
        </w:tabs>
        <w:spacing w:after="0" w:line="240" w:lineRule="auto"/>
        <w:jc w:val="center"/>
        <w:rPr>
          <w:rFonts w:ascii="Arial" w:eastAsia="Times New Roman" w:hAnsi="Arial" w:cs="Arial"/>
          <w:noProof/>
          <w:sz w:val="24"/>
          <w:szCs w:val="24"/>
          <w:lang w:val="en-US"/>
        </w:rPr>
      </w:pPr>
      <w:r w:rsidRPr="00242122">
        <w:rPr>
          <w:rFonts w:ascii="Arial" w:eastAsia="Times New Roman" w:hAnsi="Arial" w:cs="Arial"/>
          <w:noProof/>
          <w:sz w:val="24"/>
          <w:szCs w:val="24"/>
          <w:lang w:eastAsia="ro-RO"/>
        </w:rPr>
        <w:drawing>
          <wp:inline distT="0" distB="0" distL="0" distR="0" wp14:anchorId="4F08D140" wp14:editId="20505B05">
            <wp:extent cx="2834640" cy="2125980"/>
            <wp:effectExtent l="0" t="0" r="0" b="0"/>
            <wp:docPr id="67"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34640" cy="2125980"/>
                    </a:xfrm>
                    <a:prstGeom prst="rect">
                      <a:avLst/>
                    </a:prstGeom>
                    <a:noFill/>
                    <a:ln>
                      <a:noFill/>
                    </a:ln>
                  </pic:spPr>
                </pic:pic>
              </a:graphicData>
            </a:graphic>
          </wp:inline>
        </w:drawing>
      </w:r>
      <w:r w:rsidRPr="00242122">
        <w:rPr>
          <w:rFonts w:ascii="Arial" w:eastAsia="Times New Roman" w:hAnsi="Arial" w:cs="Arial"/>
          <w:noProof/>
          <w:sz w:val="24"/>
          <w:szCs w:val="24"/>
          <w:lang w:eastAsia="ro-RO"/>
        </w:rPr>
        <w:drawing>
          <wp:inline distT="0" distB="0" distL="0" distR="0" wp14:anchorId="45C08F54" wp14:editId="0747726B">
            <wp:extent cx="3009900" cy="2133600"/>
            <wp:effectExtent l="0" t="0" r="0" b="0"/>
            <wp:docPr id="68"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09900" cy="2133600"/>
                    </a:xfrm>
                    <a:prstGeom prst="rect">
                      <a:avLst/>
                    </a:prstGeom>
                    <a:noFill/>
                    <a:ln>
                      <a:noFill/>
                    </a:ln>
                  </pic:spPr>
                </pic:pic>
              </a:graphicData>
            </a:graphic>
          </wp:inline>
        </w:drawing>
      </w:r>
    </w:p>
    <w:p w:rsidR="002967F0" w:rsidRPr="00242122" w:rsidRDefault="002967F0" w:rsidP="002967F0">
      <w:pPr>
        <w:tabs>
          <w:tab w:val="left" w:pos="6900"/>
        </w:tabs>
        <w:spacing w:after="0" w:line="240" w:lineRule="auto"/>
        <w:jc w:val="center"/>
        <w:rPr>
          <w:rFonts w:ascii="Arial" w:eastAsia="Times New Roman" w:hAnsi="Arial" w:cs="Arial"/>
          <w:noProof/>
          <w:sz w:val="24"/>
          <w:szCs w:val="24"/>
          <w:lang w:val="en-US"/>
        </w:rPr>
      </w:pPr>
    </w:p>
    <w:p w:rsidR="002967F0" w:rsidRPr="00242122" w:rsidRDefault="002967F0" w:rsidP="002967F0">
      <w:pPr>
        <w:widowControl w:val="0"/>
        <w:autoSpaceDE w:val="0"/>
        <w:autoSpaceDN w:val="0"/>
        <w:adjustRightInd w:val="0"/>
        <w:spacing w:after="0" w:line="240" w:lineRule="auto"/>
        <w:jc w:val="right"/>
        <w:rPr>
          <w:rFonts w:ascii="Arial" w:eastAsia="Times New Roman" w:hAnsi="Arial" w:cs="Arial"/>
          <w:b/>
          <w:bCs/>
          <w:sz w:val="24"/>
          <w:szCs w:val="24"/>
          <w:lang w:val="fr-FR"/>
        </w:rPr>
      </w:pPr>
      <w:r w:rsidRPr="00242122">
        <w:rPr>
          <w:rFonts w:ascii="Arial" w:eastAsia="Times New Roman" w:hAnsi="Arial" w:cs="Arial"/>
          <w:b/>
          <w:bCs/>
          <w:sz w:val="24"/>
          <w:szCs w:val="24"/>
          <w:lang w:val="fr-FR"/>
        </w:rPr>
        <w:t>Figura II.2.3.7</w:t>
      </w:r>
    </w:p>
    <w:p w:rsidR="002967F0" w:rsidRPr="00242122" w:rsidRDefault="002967F0" w:rsidP="002967F0">
      <w:pPr>
        <w:spacing w:before="120" w:after="120" w:line="240" w:lineRule="auto"/>
        <w:jc w:val="both"/>
        <w:rPr>
          <w:rFonts w:ascii="Arial" w:hAnsi="Arial" w:cs="Arial"/>
          <w:i/>
        </w:rPr>
      </w:pPr>
      <w:r w:rsidRPr="00242122">
        <w:rPr>
          <w:rFonts w:ascii="Arial" w:hAnsi="Arial" w:cs="Arial"/>
          <w:i/>
        </w:rPr>
        <w:t>(Sursa datelor: Administrația Națională „Apele Române”, Planul Național de Management actualizat 2021)</w:t>
      </w:r>
    </w:p>
    <w:p w:rsidR="002967F0" w:rsidRPr="00242122" w:rsidRDefault="002967F0" w:rsidP="002967F0">
      <w:pPr>
        <w:tabs>
          <w:tab w:val="left" w:pos="6900"/>
        </w:tabs>
        <w:spacing w:after="0" w:line="240" w:lineRule="auto"/>
        <w:jc w:val="center"/>
        <w:rPr>
          <w:rFonts w:ascii="Arial" w:eastAsia="Times New Roman" w:hAnsi="Arial" w:cs="Arial"/>
          <w:noProof/>
          <w:sz w:val="24"/>
          <w:szCs w:val="24"/>
          <w:lang w:val="fr-FR"/>
        </w:rPr>
      </w:pPr>
    </w:p>
    <w:p w:rsidR="002967F0" w:rsidRPr="00242122" w:rsidRDefault="002967F0" w:rsidP="002967F0">
      <w:pPr>
        <w:tabs>
          <w:tab w:val="left" w:pos="6900"/>
        </w:tabs>
        <w:spacing w:after="0" w:line="240" w:lineRule="auto"/>
        <w:jc w:val="center"/>
        <w:rPr>
          <w:rFonts w:ascii="Arial" w:eastAsia="Times New Roman" w:hAnsi="Arial" w:cs="Arial"/>
          <w:noProof/>
          <w:sz w:val="24"/>
          <w:szCs w:val="24"/>
          <w:lang w:val="fr-FR"/>
        </w:rPr>
      </w:pPr>
    </w:p>
    <w:p w:rsidR="002967F0" w:rsidRPr="00242122" w:rsidRDefault="002967F0" w:rsidP="002967F0">
      <w:pPr>
        <w:tabs>
          <w:tab w:val="left" w:pos="6900"/>
        </w:tabs>
        <w:spacing w:after="0" w:line="240" w:lineRule="auto"/>
        <w:jc w:val="center"/>
        <w:rPr>
          <w:rFonts w:ascii="Arial" w:eastAsia="Times New Roman" w:hAnsi="Arial" w:cs="Arial"/>
          <w:noProof/>
          <w:sz w:val="24"/>
          <w:szCs w:val="24"/>
          <w:lang w:val="fr-FR"/>
        </w:rPr>
      </w:pPr>
    </w:p>
    <w:p w:rsidR="002967F0" w:rsidRPr="00242122" w:rsidRDefault="002967F0" w:rsidP="002967F0">
      <w:pPr>
        <w:spacing w:after="0" w:line="240" w:lineRule="auto"/>
        <w:jc w:val="center"/>
        <w:rPr>
          <w:rFonts w:ascii="Arial" w:eastAsia="Times New Roman" w:hAnsi="Arial" w:cs="Arial"/>
          <w:b/>
          <w:bCs/>
          <w:i/>
          <w:iCs/>
          <w:sz w:val="24"/>
          <w:szCs w:val="24"/>
          <w:lang w:val="fr-FR" w:eastAsia="x-none"/>
        </w:rPr>
      </w:pPr>
      <w:r w:rsidRPr="00242122">
        <w:rPr>
          <w:rFonts w:ascii="Arial" w:eastAsia="Times New Roman" w:hAnsi="Arial" w:cs="Arial"/>
          <w:b/>
          <w:bCs/>
          <w:i/>
          <w:iCs/>
          <w:sz w:val="24"/>
          <w:szCs w:val="24"/>
          <w:lang w:val="fr-FR" w:eastAsia="x-none"/>
        </w:rPr>
        <w:t xml:space="preserve">Emisia specifică de fosfor total din surse punctiforme și difuze la nivel de utilizare a terenului: situația de referință 2015-2018 (stânga) </w:t>
      </w:r>
    </w:p>
    <w:p w:rsidR="002967F0" w:rsidRPr="00242122" w:rsidRDefault="002967F0" w:rsidP="002967F0">
      <w:pPr>
        <w:spacing w:after="0" w:line="240" w:lineRule="auto"/>
        <w:jc w:val="center"/>
        <w:rPr>
          <w:rFonts w:ascii="Arial" w:eastAsia="Times New Roman" w:hAnsi="Arial" w:cs="Arial"/>
          <w:sz w:val="24"/>
          <w:szCs w:val="24"/>
          <w:lang w:val="fr-FR"/>
        </w:rPr>
      </w:pPr>
      <w:r w:rsidRPr="00242122">
        <w:rPr>
          <w:rFonts w:ascii="Arial" w:eastAsia="Times New Roman" w:hAnsi="Arial" w:cs="Arial"/>
          <w:b/>
          <w:bCs/>
          <w:i/>
          <w:iCs/>
          <w:sz w:val="24"/>
          <w:szCs w:val="24"/>
          <w:lang w:val="fr-FR" w:eastAsia="x-none"/>
        </w:rPr>
        <w:t>și scenariu de bază 2027 (dreapta)</w:t>
      </w:r>
    </w:p>
    <w:p w:rsidR="002967F0" w:rsidRPr="00242122" w:rsidRDefault="002967F0" w:rsidP="002967F0">
      <w:pPr>
        <w:tabs>
          <w:tab w:val="left" w:pos="6900"/>
        </w:tabs>
        <w:spacing w:after="0" w:line="240" w:lineRule="auto"/>
        <w:jc w:val="center"/>
        <w:rPr>
          <w:rFonts w:ascii="Arial" w:eastAsia="Times New Roman" w:hAnsi="Arial" w:cs="Arial"/>
          <w:noProof/>
          <w:sz w:val="24"/>
          <w:szCs w:val="24"/>
          <w:lang w:val="fr-FR"/>
        </w:rPr>
      </w:pPr>
    </w:p>
    <w:p w:rsidR="002967F0" w:rsidRPr="00242122" w:rsidRDefault="002967F0" w:rsidP="002967F0">
      <w:pPr>
        <w:tabs>
          <w:tab w:val="left" w:pos="6900"/>
        </w:tabs>
        <w:spacing w:before="120" w:after="120" w:line="240" w:lineRule="auto"/>
        <w:jc w:val="center"/>
        <w:rPr>
          <w:rFonts w:ascii="Arial" w:eastAsia="Times New Roman" w:hAnsi="Arial" w:cs="Arial"/>
          <w:sz w:val="24"/>
          <w:szCs w:val="24"/>
          <w:lang w:val="en-GB"/>
        </w:rPr>
      </w:pPr>
      <w:r w:rsidRPr="00242122">
        <w:rPr>
          <w:rFonts w:ascii="Arial" w:eastAsia="Times New Roman" w:hAnsi="Arial" w:cs="Arial"/>
          <w:noProof/>
          <w:sz w:val="24"/>
          <w:szCs w:val="24"/>
          <w:lang w:eastAsia="ro-RO"/>
        </w:rPr>
        <w:drawing>
          <wp:inline distT="0" distB="0" distL="0" distR="0" wp14:anchorId="5AFD31BC" wp14:editId="3E69E259">
            <wp:extent cx="2956560" cy="2087880"/>
            <wp:effectExtent l="0" t="0" r="0" b="0"/>
            <wp:docPr id="69"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56560" cy="2087880"/>
                    </a:xfrm>
                    <a:prstGeom prst="rect">
                      <a:avLst/>
                    </a:prstGeom>
                    <a:noFill/>
                    <a:ln>
                      <a:noFill/>
                    </a:ln>
                  </pic:spPr>
                </pic:pic>
              </a:graphicData>
            </a:graphic>
          </wp:inline>
        </w:drawing>
      </w:r>
      <w:r w:rsidRPr="00242122">
        <w:rPr>
          <w:rFonts w:ascii="Arial" w:eastAsia="Times New Roman" w:hAnsi="Arial" w:cs="Arial"/>
          <w:noProof/>
          <w:sz w:val="24"/>
          <w:szCs w:val="24"/>
          <w:lang w:eastAsia="ro-RO"/>
        </w:rPr>
        <w:drawing>
          <wp:inline distT="0" distB="0" distL="0" distR="0" wp14:anchorId="7F1D3D21" wp14:editId="1FBF2229">
            <wp:extent cx="2956560" cy="2087880"/>
            <wp:effectExtent l="0" t="0" r="0" b="0"/>
            <wp:docPr id="70"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56560" cy="2087880"/>
                    </a:xfrm>
                    <a:prstGeom prst="rect">
                      <a:avLst/>
                    </a:prstGeom>
                    <a:noFill/>
                    <a:ln>
                      <a:noFill/>
                    </a:ln>
                  </pic:spPr>
                </pic:pic>
              </a:graphicData>
            </a:graphic>
          </wp:inline>
        </w:drawing>
      </w:r>
    </w:p>
    <w:p w:rsidR="002967F0" w:rsidRPr="00242122" w:rsidRDefault="002967F0" w:rsidP="002967F0">
      <w:pPr>
        <w:widowControl w:val="0"/>
        <w:autoSpaceDE w:val="0"/>
        <w:autoSpaceDN w:val="0"/>
        <w:adjustRightInd w:val="0"/>
        <w:spacing w:after="0" w:line="240" w:lineRule="auto"/>
        <w:jc w:val="right"/>
        <w:rPr>
          <w:rFonts w:ascii="Arial" w:eastAsia="Times New Roman" w:hAnsi="Arial" w:cs="Arial"/>
          <w:b/>
          <w:bCs/>
          <w:sz w:val="24"/>
          <w:szCs w:val="24"/>
          <w:lang w:val="fr-FR"/>
        </w:rPr>
      </w:pPr>
      <w:r w:rsidRPr="00242122">
        <w:rPr>
          <w:rFonts w:ascii="Arial" w:eastAsia="Times New Roman" w:hAnsi="Arial" w:cs="Arial"/>
          <w:b/>
          <w:bCs/>
          <w:sz w:val="24"/>
          <w:szCs w:val="24"/>
          <w:lang w:val="fr-FR"/>
        </w:rPr>
        <w:t>Figura II.2.3.8</w:t>
      </w:r>
    </w:p>
    <w:p w:rsidR="002967F0" w:rsidRPr="00242122" w:rsidRDefault="002967F0" w:rsidP="002967F0">
      <w:pPr>
        <w:spacing w:before="120" w:after="120" w:line="240" w:lineRule="auto"/>
        <w:jc w:val="both"/>
        <w:rPr>
          <w:rFonts w:ascii="Arial" w:hAnsi="Arial" w:cs="Arial"/>
          <w:i/>
        </w:rPr>
      </w:pPr>
      <w:r w:rsidRPr="00242122">
        <w:rPr>
          <w:rFonts w:ascii="Arial" w:hAnsi="Arial" w:cs="Arial"/>
          <w:i/>
        </w:rPr>
        <w:t>(Sursa datelor: Administrația Națională „Apele Române”, Planul Național de Management actualizat 2021)</w:t>
      </w:r>
    </w:p>
    <w:p w:rsidR="002967F0" w:rsidRPr="00242122" w:rsidRDefault="002967F0" w:rsidP="002967F0">
      <w:pPr>
        <w:spacing w:after="0" w:line="240" w:lineRule="auto"/>
        <w:ind w:firstLine="567"/>
        <w:jc w:val="both"/>
        <w:rPr>
          <w:rFonts w:ascii="Arial" w:hAnsi="Arial" w:cs="Arial"/>
          <w:b/>
          <w:i/>
          <w:sz w:val="24"/>
          <w:szCs w:val="24"/>
          <w:lang w:val="it-IT"/>
        </w:rPr>
      </w:pPr>
    </w:p>
    <w:p w:rsidR="002967F0" w:rsidRPr="00242122" w:rsidRDefault="002967F0" w:rsidP="002967F0">
      <w:pPr>
        <w:spacing w:after="0" w:line="240" w:lineRule="auto"/>
        <w:ind w:firstLine="567"/>
        <w:jc w:val="both"/>
        <w:rPr>
          <w:rFonts w:ascii="Arial" w:hAnsi="Arial" w:cs="Arial"/>
          <w:sz w:val="24"/>
          <w:szCs w:val="24"/>
          <w:lang w:val="it-IT"/>
        </w:rPr>
      </w:pPr>
      <w:r w:rsidRPr="00242122">
        <w:rPr>
          <w:rFonts w:ascii="Arial" w:hAnsi="Arial" w:cs="Arial"/>
          <w:b/>
          <w:i/>
          <w:sz w:val="24"/>
          <w:szCs w:val="24"/>
          <w:lang w:val="it-IT"/>
        </w:rPr>
        <w:br w:type="page"/>
      </w:r>
      <w:r w:rsidRPr="00242122">
        <w:rPr>
          <w:rFonts w:ascii="Arial" w:hAnsi="Arial" w:cs="Arial"/>
          <w:b/>
          <w:i/>
          <w:sz w:val="24"/>
          <w:szCs w:val="24"/>
          <w:lang w:val="it-IT"/>
        </w:rPr>
        <w:lastRenderedPageBreak/>
        <w:t>Poluarea cu substanțe chimice periculoase</w:t>
      </w:r>
      <w:r w:rsidRPr="00242122">
        <w:rPr>
          <w:rFonts w:ascii="Arial" w:hAnsi="Arial" w:cs="Arial"/>
          <w:sz w:val="24"/>
          <w:szCs w:val="24"/>
          <w:lang w:val="it-IT"/>
        </w:rPr>
        <w:t xml:space="preserve"> poate deteriora semnificativ starea corpurilor de apă și indirect poate avea efecte asupra stării de sănătate a populației. În conformitate cu prevederile directivelor europene în domeniul apelor, există 3 tipuri de substanțe chimice periculoase, și anume:</w:t>
      </w:r>
    </w:p>
    <w:p w:rsidR="002967F0" w:rsidRPr="00242122" w:rsidRDefault="002967F0" w:rsidP="00B12004">
      <w:pPr>
        <w:numPr>
          <w:ilvl w:val="0"/>
          <w:numId w:val="22"/>
        </w:numPr>
        <w:spacing w:after="0" w:line="240" w:lineRule="auto"/>
        <w:ind w:left="284" w:hanging="284"/>
        <w:jc w:val="both"/>
        <w:rPr>
          <w:rFonts w:ascii="Arial" w:hAnsi="Arial" w:cs="Arial"/>
          <w:sz w:val="24"/>
          <w:szCs w:val="24"/>
          <w:lang w:val="it-IT"/>
        </w:rPr>
      </w:pPr>
      <w:r w:rsidRPr="00242122">
        <w:rPr>
          <w:rFonts w:ascii="Arial" w:hAnsi="Arial" w:cs="Arial"/>
          <w:sz w:val="24"/>
          <w:szCs w:val="24"/>
          <w:lang w:val="it-IT"/>
        </w:rPr>
        <w:t>substanțe prioritare – poluanți sau grupe de poluanți care prezintă risc semnificativ asupra mediului acvatic, incluzând și apele utilizate pentru captarea apei potabile;</w:t>
      </w:r>
    </w:p>
    <w:p w:rsidR="002967F0" w:rsidRPr="00242122" w:rsidRDefault="002967F0" w:rsidP="00B12004">
      <w:pPr>
        <w:numPr>
          <w:ilvl w:val="0"/>
          <w:numId w:val="22"/>
        </w:numPr>
        <w:spacing w:after="0" w:line="240" w:lineRule="auto"/>
        <w:ind w:left="284" w:hanging="284"/>
        <w:jc w:val="both"/>
        <w:rPr>
          <w:rFonts w:ascii="Arial" w:hAnsi="Arial" w:cs="Arial"/>
          <w:sz w:val="24"/>
          <w:szCs w:val="24"/>
          <w:lang w:val="it-IT"/>
        </w:rPr>
      </w:pPr>
      <w:r w:rsidRPr="00242122">
        <w:rPr>
          <w:rFonts w:ascii="Arial" w:hAnsi="Arial" w:cs="Arial"/>
          <w:sz w:val="24"/>
          <w:szCs w:val="24"/>
          <w:lang w:val="it-IT"/>
        </w:rPr>
        <w:t>substanțe prioritare periculoase – poluanți sau grupe de poluanți care prezintă același risc ca și cele precedente și în plus sunte toxice, persistente și bioacumulabile;</w:t>
      </w:r>
    </w:p>
    <w:p w:rsidR="002967F0" w:rsidRPr="00242122" w:rsidRDefault="002967F0" w:rsidP="00B12004">
      <w:pPr>
        <w:numPr>
          <w:ilvl w:val="0"/>
          <w:numId w:val="22"/>
        </w:numPr>
        <w:spacing w:after="0" w:line="240" w:lineRule="auto"/>
        <w:ind w:left="284" w:hanging="284"/>
        <w:jc w:val="both"/>
        <w:rPr>
          <w:rFonts w:ascii="Arial" w:hAnsi="Arial" w:cs="Arial"/>
          <w:sz w:val="24"/>
          <w:szCs w:val="24"/>
          <w:lang w:val="it-IT"/>
        </w:rPr>
      </w:pPr>
      <w:r w:rsidRPr="00242122">
        <w:rPr>
          <w:rFonts w:ascii="Arial" w:hAnsi="Arial" w:cs="Arial"/>
          <w:sz w:val="24"/>
          <w:szCs w:val="24"/>
          <w:lang w:val="it-IT"/>
        </w:rPr>
        <w:t>poluanți specifici la nivel de bazin hidrografic - poluanți sau grupe de poluanți specifice unui anumit bazin hidrografic.</w:t>
      </w:r>
    </w:p>
    <w:p w:rsidR="002967F0" w:rsidRPr="00242122" w:rsidRDefault="002967F0" w:rsidP="002967F0">
      <w:pPr>
        <w:spacing w:before="120" w:after="0" w:line="240" w:lineRule="auto"/>
        <w:ind w:firstLine="562"/>
        <w:jc w:val="both"/>
        <w:rPr>
          <w:rFonts w:ascii="Arial" w:hAnsi="Arial" w:cs="Arial"/>
          <w:sz w:val="24"/>
          <w:szCs w:val="24"/>
          <w:lang w:val="it-IT"/>
        </w:rPr>
      </w:pPr>
      <w:r w:rsidRPr="00242122">
        <w:rPr>
          <w:rFonts w:ascii="Arial" w:hAnsi="Arial" w:cs="Arial"/>
          <w:sz w:val="24"/>
          <w:szCs w:val="24"/>
          <w:lang w:val="it-IT"/>
        </w:rPr>
        <w:t xml:space="preserve">Din categoria substanțelor periculoase fac parte produsele chimice artificiale, metalele, hidrocarburile aromatice policiclice, fenolii, disruptorii endocrini și pesticidele, etc. În vederea atingerii și menținerii stării bune a apelor este necesară conformarea cu standardele de calitate impuse la nivel european (Directiva 2013/39/CE), reducerea progresivă a poluării cauzate de substanțele prioritare și de poluanții specifici, cât și stoparea sau eliminarea emisiilor, descărcărilor și pierderilor de substanțe prioritare periculoase. </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 xml:space="preserve">În </w:t>
      </w:r>
      <w:r w:rsidRPr="00242122">
        <w:rPr>
          <w:rFonts w:ascii="Arial" w:hAnsi="Arial" w:cs="Arial"/>
          <w:i/>
          <w:sz w:val="24"/>
          <w:szCs w:val="24"/>
          <w:lang w:val="it-IT"/>
        </w:rPr>
        <w:t>Figura II.2.3.9</w:t>
      </w:r>
      <w:r w:rsidRPr="00242122">
        <w:rPr>
          <w:rFonts w:ascii="Arial" w:hAnsi="Arial" w:cs="Arial"/>
          <w:sz w:val="24"/>
          <w:szCs w:val="24"/>
          <w:lang w:val="it-IT"/>
        </w:rPr>
        <w:t xml:space="preserve"> este ilustrată evoluţia stării ecologice/potenţialului ecologic al corpurilor de apă cuprinse în proiectul celui de-al treilea Plan de Management, comparativ cu cel de-al doilea Plan de Management, pentru cele două cicluri de planificare aferente.</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Având în vedere rezultatele evaluării stării ecologice/potențialului ecologic și stării în cadrul Planului Național de Management actualizat 2021, comparativ cu evaluarea din Planul Național de management aprobat prin HG nr. 859/2016, se constată o ușoară scădere a numărului/procentului de corpuri în stare bună/potențial bun, respectiv la 65,72 % (Figura Figura II.2.3.9). Diferența este necesar a fi interpretată în contextul în care s-a realizat intercalibrarea metodelor de evaluare ale elementelor biologice, precum și s-a completat și dezvoltat sistemul național de evaluare a stării apelor.</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Integrarea prevederilor Directivei Cadru Apă 2000/60/CE cu alte politici sectoriale reprezintă un aspect important în scopul identificării și evidențierii sinergiilor şi  potenţialelor conflicte. Procesul este în derulare pentru a intensifica conlucrarea cu diferite sectoare precum hidroenergia şi agricultura, coordonarea dintre managementul cantitativ al resurselor de apă şi managementul inundaţiilor, în conformitate cu cerințele Directivei 2007/60/EC privind evaluarea și gestionarea riscului la inundații, precum şi mediul marin, prin Directiva privind Strategia Marină 2008/56 /EC. Acest fapt contribuie la elaborarea și completarea, strategiilor naționale și regionale, precum și la elaborarea Planurilor de management ale bazinelor/spațiilor hidrografice actualizate.</w:t>
      </w:r>
    </w:p>
    <w:p w:rsidR="002967F0" w:rsidRPr="00242122" w:rsidRDefault="002967F0" w:rsidP="002967F0">
      <w:pPr>
        <w:spacing w:before="120" w:after="120" w:line="240" w:lineRule="auto"/>
        <w:ind w:firstLine="567"/>
        <w:jc w:val="both"/>
        <w:rPr>
          <w:rFonts w:ascii="Arial" w:hAnsi="Arial" w:cs="Arial"/>
          <w:sz w:val="24"/>
          <w:szCs w:val="24"/>
          <w:lang w:val="it-IT"/>
        </w:rPr>
      </w:pPr>
      <w:r w:rsidRPr="00242122">
        <w:rPr>
          <w:rFonts w:ascii="Arial" w:hAnsi="Arial" w:cs="Arial"/>
          <w:sz w:val="24"/>
          <w:szCs w:val="24"/>
          <w:lang w:val="it-IT"/>
        </w:rPr>
        <w:t>În cadrul Planului Național de management actualizat 2021 s-au stabilit măsuri pentru fiecare categorie de probleme importante de gospodărirea apelor, pe baza progreselor înregistrate în implementarea măsurilor prevăzute în primul și al doilea Plan de management, a rezultatelor privind caracterizarea bazinelor/spaţiilor hidrografice, impactului activitățílor umane și analizei economice a utilizării apei, atât pentru apele de suprafață, cât și pentru cele subterane, având în vedere cele mai noi informații disponibile. Proiectul celui de-al treilea plan de management include, în continuarea celui de-al doilea plan de management, măsuri de bază și suplimentare care se implementează până în anul 2027 și sunt stabilite, dacă este cazul, și măsuri pentru planificarea după anul 2027, în vederea atingerii obiectivelor de mediu ale corpurilor de apă.</w:t>
      </w:r>
    </w:p>
    <w:p w:rsidR="002967F0" w:rsidRPr="00242122" w:rsidRDefault="002967F0" w:rsidP="002967F0">
      <w:pPr>
        <w:spacing w:before="120" w:after="120" w:line="240" w:lineRule="auto"/>
        <w:ind w:firstLine="567"/>
        <w:jc w:val="both"/>
        <w:rPr>
          <w:rFonts w:ascii="Arial" w:hAnsi="Arial" w:cs="Arial"/>
          <w:sz w:val="24"/>
          <w:szCs w:val="24"/>
          <w:lang w:val="it-IT"/>
        </w:rPr>
      </w:pPr>
    </w:p>
    <w:p w:rsidR="002967F0" w:rsidRPr="00242122" w:rsidRDefault="002967F0" w:rsidP="002967F0">
      <w:pPr>
        <w:spacing w:before="120" w:after="120" w:line="240" w:lineRule="auto"/>
        <w:jc w:val="both"/>
        <w:rPr>
          <w:rFonts w:ascii="Arial" w:hAnsi="Arial" w:cs="Arial"/>
          <w:sz w:val="24"/>
          <w:szCs w:val="24"/>
          <w:lang w:val="it-IT"/>
        </w:rPr>
      </w:pPr>
      <w:r w:rsidRPr="00242122">
        <w:rPr>
          <w:rFonts w:ascii="Arial" w:hAnsi="Arial" w:cs="Arial"/>
          <w:b/>
          <w:sz w:val="24"/>
          <w:szCs w:val="24"/>
        </w:rPr>
        <w:lastRenderedPageBreak/>
        <w:t>Evoluţia stării ecologice/potenţialului ecologic al corpurilor de apă de suprafaţă –Planului Național de Management actualizat 2021 comparativ cu Planul Național de Management actualizat aprobat prin HG nr. 859/2016</w:t>
      </w:r>
    </w:p>
    <w:p w:rsidR="002967F0" w:rsidRPr="00242122" w:rsidRDefault="002967F0" w:rsidP="002967F0">
      <w:pPr>
        <w:spacing w:before="120" w:after="120" w:line="240" w:lineRule="auto"/>
        <w:jc w:val="both"/>
        <w:rPr>
          <w:rFonts w:ascii="Arial" w:hAnsi="Arial" w:cs="Arial"/>
          <w:sz w:val="24"/>
          <w:szCs w:val="24"/>
          <w:lang w:val="it-IT"/>
        </w:rPr>
      </w:pPr>
      <w:r w:rsidRPr="00242122">
        <w:rPr>
          <w:rFonts w:ascii="Arial" w:hAnsi="Arial" w:cs="Arial"/>
          <w:noProof/>
          <w:lang w:eastAsia="ro-RO"/>
        </w:rPr>
        <w:drawing>
          <wp:inline distT="0" distB="0" distL="0" distR="0" wp14:anchorId="028E4C73" wp14:editId="28178B2E">
            <wp:extent cx="5911215" cy="429704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11215" cy="4297045"/>
                    </a:xfrm>
                    <a:prstGeom prst="rect">
                      <a:avLst/>
                    </a:prstGeom>
                    <a:noFill/>
                  </pic:spPr>
                </pic:pic>
              </a:graphicData>
            </a:graphic>
          </wp:inline>
        </w:drawing>
      </w:r>
    </w:p>
    <w:p w:rsidR="002967F0" w:rsidRPr="00242122" w:rsidRDefault="002967F0" w:rsidP="002967F0">
      <w:pPr>
        <w:spacing w:before="120" w:after="120" w:line="240" w:lineRule="auto"/>
        <w:ind w:firstLine="7088"/>
        <w:jc w:val="right"/>
        <w:rPr>
          <w:rFonts w:ascii="Arial" w:hAnsi="Arial" w:cs="Arial"/>
          <w:b/>
          <w:sz w:val="24"/>
          <w:szCs w:val="24"/>
          <w:lang w:val="it-IT"/>
        </w:rPr>
      </w:pPr>
      <w:r w:rsidRPr="00242122">
        <w:rPr>
          <w:rFonts w:ascii="Arial" w:hAnsi="Arial" w:cs="Arial"/>
          <w:b/>
          <w:sz w:val="24"/>
          <w:szCs w:val="24"/>
          <w:lang w:val="it-IT"/>
        </w:rPr>
        <w:t>Figura II.2.3.9</w:t>
      </w:r>
    </w:p>
    <w:p w:rsidR="002967F0" w:rsidRPr="00242122" w:rsidRDefault="002967F0" w:rsidP="002967F0">
      <w:pPr>
        <w:spacing w:before="120" w:after="120" w:line="240" w:lineRule="auto"/>
        <w:jc w:val="both"/>
        <w:rPr>
          <w:rFonts w:ascii="Arial" w:hAnsi="Arial" w:cs="Arial"/>
          <w:i/>
          <w:sz w:val="24"/>
          <w:szCs w:val="24"/>
        </w:rPr>
      </w:pPr>
      <w:r w:rsidRPr="00242122">
        <w:rPr>
          <w:rFonts w:ascii="Arial" w:hAnsi="Arial" w:cs="Arial"/>
          <w:i/>
          <w:sz w:val="24"/>
          <w:szCs w:val="24"/>
        </w:rPr>
        <w:t>(Sursa datelor: Administrația Națională „Apele Române”, Planul Național de Management actualizat 2021)</w:t>
      </w:r>
    </w:p>
    <w:p w:rsidR="002967F0" w:rsidRPr="00242122" w:rsidRDefault="002967F0" w:rsidP="002967F0">
      <w:pPr>
        <w:spacing w:before="120" w:after="120" w:line="240" w:lineRule="auto"/>
        <w:ind w:firstLine="720"/>
        <w:jc w:val="both"/>
        <w:rPr>
          <w:rFonts w:ascii="Arial" w:hAnsi="Arial" w:cs="Arial"/>
          <w:sz w:val="24"/>
          <w:szCs w:val="24"/>
        </w:rPr>
      </w:pPr>
      <w:r w:rsidRPr="00242122">
        <w:rPr>
          <w:rFonts w:ascii="Arial" w:hAnsi="Arial" w:cs="Arial"/>
          <w:sz w:val="24"/>
          <w:szCs w:val="24"/>
          <w:lang w:val="it-IT"/>
        </w:rPr>
        <w:t>Având în vedere actualizarea măsurilor planificate a se implementa în perioada 2016-2020, precum și evaluarea măsurilor implementate în perioada 2016-2018, s-au evaluat progresele înregistrate în ceea ce privește măsurile implementate. În cadrul proiectului Planului Național de management actualizat 2021 s-a realizat evaluarea progreselor înregistrate în implementarea programului de măsuri stabilit pentru al doilea ciclu de planificare (2016-2020).</w:t>
      </w:r>
      <w:r w:rsidRPr="00242122">
        <w:rPr>
          <w:rFonts w:ascii="Arial" w:hAnsi="Arial" w:cs="Arial"/>
          <w:sz w:val="24"/>
          <w:szCs w:val="24"/>
        </w:rPr>
        <w:t xml:space="preserve"> În scopul evaluării stadiului implementării programului de măsuri s-a avut în vederea realizarea măsurilor de bază și suplimentare prevăzute în anexele </w:t>
      </w:r>
      <w:r w:rsidRPr="00242122">
        <w:rPr>
          <w:rFonts w:ascii="Arial" w:hAnsi="Arial" w:cs="Arial"/>
          <w:i/>
          <w:sz w:val="24"/>
          <w:szCs w:val="24"/>
        </w:rPr>
        <w:t>Planului Național de Management</w:t>
      </w:r>
      <w:r w:rsidRPr="00242122">
        <w:rPr>
          <w:rFonts w:ascii="Arial" w:hAnsi="Arial" w:cs="Arial"/>
          <w:sz w:val="24"/>
          <w:szCs w:val="24"/>
        </w:rPr>
        <w:t xml:space="preserve"> actualizat  </w:t>
      </w:r>
      <w:r w:rsidRPr="00242122">
        <w:rPr>
          <w:rFonts w:ascii="Arial" w:hAnsi="Arial" w:cs="Arial"/>
          <w:i/>
          <w:sz w:val="24"/>
          <w:szCs w:val="24"/>
        </w:rPr>
        <w:t xml:space="preserve">aprobat prin HG nr. 859/2016, </w:t>
      </w:r>
      <w:r w:rsidRPr="00242122">
        <w:rPr>
          <w:rFonts w:ascii="Arial" w:hAnsi="Arial" w:cs="Arial"/>
          <w:sz w:val="24"/>
          <w:szCs w:val="24"/>
        </w:rPr>
        <w:t>cu termene planificate de realizare a măsurilor  în perioada 2016-2020. De asemenea, au fost luate în considerare și măsurile care erau planificate să se realizeze după anul 2021 și care au început să se implementeze în avans.</w:t>
      </w:r>
    </w:p>
    <w:p w:rsidR="002967F0" w:rsidRPr="00242122" w:rsidRDefault="002967F0" w:rsidP="002967F0">
      <w:pPr>
        <w:spacing w:before="120" w:after="120" w:line="240" w:lineRule="auto"/>
        <w:ind w:firstLine="734"/>
        <w:jc w:val="both"/>
        <w:rPr>
          <w:rFonts w:ascii="Arial" w:hAnsi="Arial" w:cs="Arial"/>
          <w:bCs/>
          <w:sz w:val="24"/>
          <w:szCs w:val="24"/>
        </w:rPr>
      </w:pPr>
      <w:r w:rsidRPr="00242122">
        <w:rPr>
          <w:rFonts w:ascii="Arial" w:hAnsi="Arial" w:cs="Arial"/>
          <w:bCs/>
          <w:sz w:val="24"/>
          <w:szCs w:val="24"/>
        </w:rPr>
        <w:t>Măsurile monitorizate se adresează tuturor presiunilor potențial semnificative pentru care se implementează măsuri de reducere a poluării, în vederea conservării sau atingerii obiectivelor de mediu ale corpurilor de apă. De asemenea, măsurile suplimentare se adresează în special activităților agricole și aglomerărilor umane, în vederea atingerii obiectivelor de mediu, acolo unde implementarea măsurile de bază nu este suficientă.</w:t>
      </w:r>
    </w:p>
    <w:p w:rsidR="002967F0" w:rsidRPr="00242122" w:rsidRDefault="002967F0" w:rsidP="002967F0">
      <w:pPr>
        <w:spacing w:after="0" w:line="240" w:lineRule="auto"/>
        <w:ind w:left="180" w:firstLine="540"/>
        <w:jc w:val="both"/>
        <w:rPr>
          <w:rFonts w:ascii="Arial" w:hAnsi="Arial" w:cs="Arial"/>
          <w:bCs/>
          <w:sz w:val="24"/>
          <w:szCs w:val="24"/>
        </w:rPr>
      </w:pPr>
    </w:p>
    <w:p w:rsidR="002967F0" w:rsidRPr="00242122" w:rsidRDefault="002967F0" w:rsidP="002967F0">
      <w:pPr>
        <w:spacing w:after="0" w:line="240" w:lineRule="auto"/>
        <w:ind w:left="180" w:hanging="180"/>
        <w:jc w:val="both"/>
        <w:rPr>
          <w:rFonts w:ascii="Arial" w:hAnsi="Arial" w:cs="Arial"/>
          <w:bCs/>
          <w:sz w:val="24"/>
          <w:szCs w:val="24"/>
        </w:rPr>
      </w:pPr>
    </w:p>
    <w:p w:rsidR="002967F0" w:rsidRPr="00242122" w:rsidRDefault="002967F0" w:rsidP="002967F0">
      <w:pPr>
        <w:spacing w:after="0" w:line="240" w:lineRule="auto"/>
        <w:ind w:left="180" w:hanging="180"/>
        <w:jc w:val="both"/>
        <w:rPr>
          <w:rFonts w:ascii="Arial" w:hAnsi="Arial" w:cs="Arial"/>
          <w:bCs/>
          <w:sz w:val="24"/>
          <w:szCs w:val="24"/>
        </w:rPr>
      </w:pPr>
      <w:r w:rsidRPr="00242122">
        <w:rPr>
          <w:rFonts w:ascii="Arial" w:hAnsi="Arial" w:cs="Arial"/>
          <w:noProof/>
          <w:lang w:eastAsia="ro-RO"/>
        </w:rPr>
        <w:lastRenderedPageBreak/>
        <mc:AlternateContent>
          <mc:Choice Requires="wpg">
            <w:drawing>
              <wp:anchor distT="0" distB="0" distL="114300" distR="114300" simplePos="0" relativeHeight="251666432" behindDoc="0" locked="0" layoutInCell="1" allowOverlap="1" wp14:anchorId="2A432E6B" wp14:editId="6E588D05">
                <wp:simplePos x="0" y="0"/>
                <wp:positionH relativeFrom="column">
                  <wp:posOffset>86360</wp:posOffset>
                </wp:positionH>
                <wp:positionV relativeFrom="paragraph">
                  <wp:posOffset>62230</wp:posOffset>
                </wp:positionV>
                <wp:extent cx="5856605" cy="1384935"/>
                <wp:effectExtent l="0" t="1270" r="0" b="4445"/>
                <wp:wrapNone/>
                <wp:docPr id="2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6605" cy="1384935"/>
                          <a:chOff x="1554" y="11287"/>
                          <a:chExt cx="10933" cy="2916"/>
                        </a:xfrm>
                      </wpg:grpSpPr>
                      <wps:wsp>
                        <wps:cNvPr id="27" name="Text Box 27"/>
                        <wps:cNvSpPr txBox="1">
                          <a:spLocks noChangeArrowheads="1"/>
                        </wps:cNvSpPr>
                        <wps:spPr bwMode="auto">
                          <a:xfrm>
                            <a:off x="1554" y="11325"/>
                            <a:ext cx="3485" cy="2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8293F" w:rsidRDefault="00B8293F" w:rsidP="002967F0">
                              <w:r w:rsidRPr="00C72300">
                                <w:rPr>
                                  <w:noProof/>
                                  <w:lang w:eastAsia="ro-RO"/>
                                </w:rPr>
                                <w:drawing>
                                  <wp:inline distT="0" distB="0" distL="0" distR="0" wp14:anchorId="122B6284" wp14:editId="256F12A9">
                                    <wp:extent cx="2026920" cy="16383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26920" cy="1638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8" name="Text Box 2"/>
                        <wps:cNvSpPr txBox="1">
                          <a:spLocks noChangeArrowheads="1"/>
                        </wps:cNvSpPr>
                        <wps:spPr bwMode="auto">
                          <a:xfrm>
                            <a:off x="5160" y="11287"/>
                            <a:ext cx="3541" cy="28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8293F" w:rsidRDefault="00B8293F" w:rsidP="002967F0">
                              <w:r w:rsidRPr="00C72300">
                                <w:rPr>
                                  <w:noProof/>
                                  <w:lang w:eastAsia="ro-RO"/>
                                </w:rPr>
                                <w:drawing>
                                  <wp:inline distT="0" distB="0" distL="0" distR="0" wp14:anchorId="31B8FF3F" wp14:editId="2124EEED">
                                    <wp:extent cx="2065020" cy="140208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65020" cy="14020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9" name="Text Box 2"/>
                        <wps:cNvSpPr txBox="1">
                          <a:spLocks noChangeArrowheads="1"/>
                        </wps:cNvSpPr>
                        <wps:spPr bwMode="auto">
                          <a:xfrm>
                            <a:off x="8822" y="11287"/>
                            <a:ext cx="3665" cy="29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8293F" w:rsidRDefault="00B8293F" w:rsidP="002967F0">
                              <w:r w:rsidRPr="00BE477E">
                                <w:rPr>
                                  <w:noProof/>
                                  <w:lang w:eastAsia="ro-RO"/>
                                </w:rPr>
                                <w:drawing>
                                  <wp:inline distT="0" distB="0" distL="0" distR="0" wp14:anchorId="32B2337A" wp14:editId="796DAF73">
                                    <wp:extent cx="2141220" cy="1287780"/>
                                    <wp:effectExtent l="0" t="0" r="0" b="0"/>
                                    <wp:docPr id="81" name="Picture 1" descr="http://www.rowater.ro/Foto/shrinked/Imagini%20lucrari%20hidrotehnice%20aflate%20in%20administrarea%20Apelor%20Romane/BARAJUL%20SURDUC,%20BAZINUL%20HIDROGRAFIC%20BA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owater.ro/Foto/shrinked/Imagini%20lucrari%20hidrotehnice%20aflate%20in%20administrarea%20Apelor%20Romane/BARAJUL%20SURDUC,%20BAZINUL%20HIDROGRAFIC%20BANAT.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41220" cy="12877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432E6B" id="Group 14" o:spid="_x0000_s1026" style="position:absolute;left:0;text-align:left;margin-left:6.8pt;margin-top:4.9pt;width:461.15pt;height:109.05pt;z-index:251666432" coordorigin="1554,11287" coordsize="10933,2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">
                <v:shapetype id="_x0000_t202" coordsize="21600,21600" o:spt="202" path="m,l,21600r21600,l21600,xe">
                  <v:stroke joinstyle="miter"/>
                  <v:path gradientshapeok="t" o:connecttype="rect"/>
                </v:shapetype>
                <v:shape id="Text Box 27" o:spid="_x0000_s1027" type="#_x0000_t202" style="position:absolute;left:1554;top:11325;width:3485;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" stroked="f">
                  <v:textbox>
                    <w:txbxContent>
                      <w:p w:rsidR="00B8293F" w:rsidRDefault="00B8293F" w:rsidP="002967F0">
                        <w:r w:rsidRPr="00C72300">
                          <w:rPr>
                            <w:noProof/>
                            <w:lang w:eastAsia="ro-RO"/>
                          </w:rPr>
                          <w:drawing>
                            <wp:inline distT="0" distB="0" distL="0" distR="0" wp14:anchorId="122B6284" wp14:editId="256F12A9">
                              <wp:extent cx="2026920" cy="16383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26920" cy="1638300"/>
                                      </a:xfrm>
                                      <a:prstGeom prst="rect">
                                        <a:avLst/>
                                      </a:prstGeom>
                                      <a:noFill/>
                                      <a:ln>
                                        <a:noFill/>
                                      </a:ln>
                                    </pic:spPr>
                                  </pic:pic>
                                </a:graphicData>
                              </a:graphic>
                            </wp:inline>
                          </w:drawing>
                        </w:r>
                      </w:p>
                    </w:txbxContent>
                  </v:textbox>
                </v:shape>
                <v:shape id="Text Box 2" o:spid="_x0000_s1028" type="#_x0000_t202" style="position:absolute;left:5160;top:11287;width:3541;height:2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" stroked="f">
                  <v:textbox>
                    <w:txbxContent>
                      <w:p w:rsidR="00B8293F" w:rsidRDefault="00B8293F" w:rsidP="002967F0">
                        <w:r w:rsidRPr="00C72300">
                          <w:rPr>
                            <w:noProof/>
                            <w:lang w:eastAsia="ro-RO"/>
                          </w:rPr>
                          <w:drawing>
                            <wp:inline distT="0" distB="0" distL="0" distR="0" wp14:anchorId="31B8FF3F" wp14:editId="2124EEED">
                              <wp:extent cx="2065020" cy="140208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65020" cy="1402080"/>
                                      </a:xfrm>
                                      <a:prstGeom prst="rect">
                                        <a:avLst/>
                                      </a:prstGeom>
                                      <a:noFill/>
                                      <a:ln>
                                        <a:noFill/>
                                      </a:ln>
                                    </pic:spPr>
                                  </pic:pic>
                                </a:graphicData>
                              </a:graphic>
                            </wp:inline>
                          </w:drawing>
                        </w:r>
                      </w:p>
                    </w:txbxContent>
                  </v:textbox>
                </v:shape>
                <v:shape id="Text Box 2" o:spid="_x0000_s1029" type="#_x0000_t202" style="position:absolute;left:8822;top:11287;width:3665;height:2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rsidR="00B8293F" w:rsidRDefault="00B8293F" w:rsidP="002967F0">
                        <w:r w:rsidRPr="00BE477E">
                          <w:rPr>
                            <w:noProof/>
                            <w:lang w:eastAsia="ro-RO"/>
                          </w:rPr>
                          <w:drawing>
                            <wp:inline distT="0" distB="0" distL="0" distR="0" wp14:anchorId="32B2337A" wp14:editId="796DAF73">
                              <wp:extent cx="2141220" cy="1287780"/>
                              <wp:effectExtent l="0" t="0" r="0" b="0"/>
                              <wp:docPr id="81" name="Picture 1" descr="http://www.rowater.ro/Foto/shrinked/Imagini%20lucrari%20hidrotehnice%20aflate%20in%20administrarea%20Apelor%20Romane/BARAJUL%20SURDUC,%20BAZINUL%20HIDROGRAFIC%20BA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owater.ro/Foto/shrinked/Imagini%20lucrari%20hidrotehnice%20aflate%20in%20administrarea%20Apelor%20Romane/BARAJUL%20SURDUC,%20BAZINUL%20HIDROGRAFIC%20BANAT.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41220" cy="1287780"/>
                                      </a:xfrm>
                                      <a:prstGeom prst="rect">
                                        <a:avLst/>
                                      </a:prstGeom>
                                      <a:noFill/>
                                      <a:ln>
                                        <a:noFill/>
                                      </a:ln>
                                    </pic:spPr>
                                  </pic:pic>
                                </a:graphicData>
                              </a:graphic>
                            </wp:inline>
                          </w:drawing>
                        </w:r>
                      </w:p>
                    </w:txbxContent>
                  </v:textbox>
                </v:shape>
              </v:group>
            </w:pict>
          </mc:Fallback>
        </mc:AlternateContent>
      </w:r>
    </w:p>
    <w:p w:rsidR="002967F0" w:rsidRPr="00242122" w:rsidRDefault="002967F0" w:rsidP="002967F0">
      <w:pPr>
        <w:spacing w:after="0" w:line="240" w:lineRule="auto"/>
        <w:ind w:left="180" w:hanging="180"/>
        <w:jc w:val="both"/>
        <w:rPr>
          <w:rFonts w:ascii="Arial" w:hAnsi="Arial" w:cs="Arial"/>
          <w:bCs/>
          <w:sz w:val="24"/>
          <w:szCs w:val="24"/>
        </w:rPr>
      </w:pPr>
    </w:p>
    <w:p w:rsidR="002967F0" w:rsidRPr="00242122" w:rsidRDefault="002967F0" w:rsidP="002967F0">
      <w:pPr>
        <w:spacing w:after="0" w:line="240" w:lineRule="auto"/>
        <w:ind w:left="180" w:hanging="180"/>
        <w:jc w:val="both"/>
        <w:rPr>
          <w:rFonts w:ascii="Arial" w:hAnsi="Arial" w:cs="Arial"/>
          <w:bCs/>
          <w:sz w:val="24"/>
          <w:szCs w:val="24"/>
        </w:rPr>
      </w:pPr>
    </w:p>
    <w:p w:rsidR="002967F0" w:rsidRPr="00242122" w:rsidRDefault="002967F0" w:rsidP="002967F0">
      <w:pPr>
        <w:spacing w:after="0" w:line="240" w:lineRule="auto"/>
        <w:ind w:left="180" w:hanging="180"/>
        <w:jc w:val="both"/>
        <w:rPr>
          <w:rFonts w:ascii="Arial" w:hAnsi="Arial" w:cs="Arial"/>
          <w:bCs/>
          <w:sz w:val="24"/>
          <w:szCs w:val="24"/>
        </w:rPr>
      </w:pPr>
    </w:p>
    <w:p w:rsidR="002967F0" w:rsidRPr="00242122" w:rsidRDefault="002967F0" w:rsidP="002967F0">
      <w:pPr>
        <w:spacing w:after="0" w:line="240" w:lineRule="auto"/>
        <w:ind w:left="180" w:hanging="180"/>
        <w:jc w:val="both"/>
        <w:rPr>
          <w:rFonts w:ascii="Arial" w:hAnsi="Arial" w:cs="Arial"/>
          <w:bCs/>
          <w:sz w:val="24"/>
          <w:szCs w:val="24"/>
        </w:rPr>
      </w:pPr>
    </w:p>
    <w:p w:rsidR="002967F0" w:rsidRPr="00242122" w:rsidRDefault="002967F0" w:rsidP="002967F0">
      <w:pPr>
        <w:spacing w:after="0" w:line="240" w:lineRule="auto"/>
        <w:ind w:left="180" w:hanging="180"/>
        <w:jc w:val="both"/>
        <w:rPr>
          <w:rFonts w:ascii="Arial" w:hAnsi="Arial" w:cs="Arial"/>
          <w:bCs/>
          <w:sz w:val="24"/>
          <w:szCs w:val="24"/>
        </w:rPr>
      </w:pPr>
    </w:p>
    <w:p w:rsidR="002967F0" w:rsidRPr="00242122" w:rsidRDefault="002967F0" w:rsidP="002967F0">
      <w:pPr>
        <w:spacing w:before="120" w:after="120" w:line="240" w:lineRule="auto"/>
        <w:ind w:firstLine="720"/>
        <w:jc w:val="both"/>
        <w:rPr>
          <w:rFonts w:ascii="Arial" w:hAnsi="Arial" w:cs="Arial"/>
          <w:sz w:val="24"/>
          <w:szCs w:val="24"/>
        </w:rPr>
      </w:pPr>
    </w:p>
    <w:p w:rsidR="002967F0" w:rsidRPr="00242122" w:rsidRDefault="002967F0" w:rsidP="002967F0">
      <w:pPr>
        <w:spacing w:before="120" w:after="120" w:line="240" w:lineRule="auto"/>
        <w:ind w:firstLine="720"/>
        <w:jc w:val="both"/>
        <w:rPr>
          <w:rFonts w:ascii="Arial" w:hAnsi="Arial" w:cs="Arial"/>
          <w:sz w:val="24"/>
          <w:szCs w:val="24"/>
        </w:rPr>
      </w:pPr>
    </w:p>
    <w:p w:rsidR="002967F0" w:rsidRPr="00242122" w:rsidRDefault="002967F0" w:rsidP="002967F0">
      <w:pPr>
        <w:spacing w:before="120" w:after="120" w:line="240" w:lineRule="auto"/>
        <w:ind w:firstLine="720"/>
        <w:jc w:val="both"/>
        <w:rPr>
          <w:rFonts w:ascii="Arial" w:hAnsi="Arial" w:cs="Arial"/>
          <w:sz w:val="24"/>
          <w:szCs w:val="24"/>
        </w:rPr>
      </w:pPr>
      <w:r w:rsidRPr="00242122">
        <w:rPr>
          <w:rFonts w:ascii="Arial" w:hAnsi="Arial" w:cs="Arial"/>
          <w:sz w:val="24"/>
          <w:szCs w:val="24"/>
        </w:rPr>
        <w:t xml:space="preserve">Până la sfârșitul anului 2021, la nivel național s-au realizat măsuri de bază și suplimentare din cadrul programului de măsuri al primului ciclu de planificare, care, din punct de vedere financiar, se situează la valoarea </w:t>
      </w:r>
      <w:r w:rsidRPr="00242122">
        <w:rPr>
          <w:rFonts w:ascii="Arial" w:hAnsi="Arial" w:cs="Arial"/>
          <w:b/>
          <w:sz w:val="24"/>
          <w:szCs w:val="24"/>
        </w:rPr>
        <w:t>cheltuielilor de investiții și alte costuri de circa 7.884  milioane Euro</w:t>
      </w:r>
      <w:r w:rsidRPr="00242122">
        <w:rPr>
          <w:rFonts w:ascii="Arial" w:hAnsi="Arial" w:cs="Arial"/>
          <w:sz w:val="24"/>
          <w:szCs w:val="24"/>
        </w:rPr>
        <w:t xml:space="preserve">, ceea ce reprezintă cca. </w:t>
      </w:r>
      <w:r w:rsidRPr="00242122">
        <w:rPr>
          <w:rFonts w:ascii="Arial" w:hAnsi="Arial" w:cs="Arial"/>
          <w:bCs/>
          <w:sz w:val="24"/>
          <w:szCs w:val="24"/>
        </w:rPr>
        <w:t>55% din totalul planificat pentru perioada 2016-2021.</w:t>
      </w:r>
      <w:r w:rsidRPr="00242122">
        <w:rPr>
          <w:rFonts w:ascii="Arial" w:hAnsi="Arial" w:cs="Arial"/>
          <w:sz w:val="24"/>
          <w:szCs w:val="24"/>
        </w:rPr>
        <w:t xml:space="preserve"> De asemenea, au fost realizate </w:t>
      </w:r>
      <w:r w:rsidRPr="00242122">
        <w:rPr>
          <w:rFonts w:ascii="Arial" w:hAnsi="Arial" w:cs="Arial"/>
          <w:b/>
          <w:bCs/>
          <w:sz w:val="24"/>
          <w:szCs w:val="24"/>
        </w:rPr>
        <w:t>costuri de operare – întreținere anuale în valoare de 438,6 milioane Euro</w:t>
      </w:r>
      <w:r w:rsidRPr="00242122">
        <w:rPr>
          <w:rFonts w:ascii="Arial" w:hAnsi="Arial" w:cs="Arial"/>
          <w:sz w:val="24"/>
          <w:szCs w:val="24"/>
        </w:rPr>
        <w:t>, suportate de către utilizatorii de apă care au implementat măsuri.</w:t>
      </w:r>
    </w:p>
    <w:p w:rsidR="002967F0" w:rsidRPr="00242122" w:rsidRDefault="002967F0" w:rsidP="002967F0">
      <w:pPr>
        <w:spacing w:after="0" w:line="240" w:lineRule="auto"/>
        <w:ind w:firstLine="720"/>
        <w:jc w:val="both"/>
        <w:rPr>
          <w:rFonts w:ascii="Arial" w:hAnsi="Arial" w:cs="Arial"/>
          <w:sz w:val="24"/>
          <w:szCs w:val="24"/>
          <w:lang w:val="pt-PT"/>
        </w:rPr>
      </w:pPr>
      <w:r w:rsidRPr="00242122">
        <w:rPr>
          <w:rFonts w:ascii="Arial" w:hAnsi="Arial" w:cs="Arial"/>
          <w:sz w:val="24"/>
          <w:szCs w:val="24"/>
          <w:lang w:val="pt-PT"/>
        </w:rPr>
        <w:t>Asigurarea finanţării măsurilor aferente întregului program de măsuri pentru perioada 2016-2020 s-a realizat în principal din:</w:t>
      </w:r>
    </w:p>
    <w:p w:rsidR="002967F0" w:rsidRPr="00242122" w:rsidRDefault="002967F0" w:rsidP="00B12004">
      <w:pPr>
        <w:numPr>
          <w:ilvl w:val="0"/>
          <w:numId w:val="26"/>
        </w:numPr>
        <w:spacing w:after="0" w:line="240" w:lineRule="auto"/>
        <w:ind w:left="360" w:hanging="360"/>
        <w:jc w:val="both"/>
        <w:rPr>
          <w:rFonts w:ascii="Arial" w:hAnsi="Arial" w:cs="Arial"/>
          <w:sz w:val="24"/>
          <w:szCs w:val="24"/>
          <w:lang w:val="pt-PT"/>
        </w:rPr>
      </w:pPr>
      <w:r w:rsidRPr="00242122">
        <w:rPr>
          <w:rFonts w:ascii="Arial" w:hAnsi="Arial" w:cs="Arial"/>
          <w:sz w:val="24"/>
          <w:szCs w:val="24"/>
          <w:lang w:val="pt-PT"/>
        </w:rPr>
        <w:t>68,39 % fonduri europene - Fonduri de Coeziune, Fondul Agricol European de Dezvoltare Rurală (FEADR), Fonduri Europene de Dezvoltare Regională (FEDR), Fondul European pentru Pescuit (FEP), Fonduri LIFE,  alte fonduri;</w:t>
      </w:r>
    </w:p>
    <w:p w:rsidR="002967F0" w:rsidRPr="00242122" w:rsidRDefault="002967F0" w:rsidP="00B12004">
      <w:pPr>
        <w:numPr>
          <w:ilvl w:val="0"/>
          <w:numId w:val="26"/>
        </w:numPr>
        <w:spacing w:after="0" w:line="240" w:lineRule="auto"/>
        <w:ind w:left="360" w:hanging="360"/>
        <w:jc w:val="both"/>
        <w:rPr>
          <w:rFonts w:ascii="Arial" w:hAnsi="Arial" w:cs="Arial"/>
          <w:sz w:val="24"/>
          <w:szCs w:val="24"/>
          <w:lang w:val="pt-PT"/>
        </w:rPr>
      </w:pPr>
      <w:r w:rsidRPr="00242122">
        <w:rPr>
          <w:rFonts w:ascii="Arial" w:hAnsi="Arial" w:cs="Arial"/>
          <w:sz w:val="24"/>
          <w:szCs w:val="24"/>
          <w:lang w:val="pt-PT"/>
        </w:rPr>
        <w:t>18,06 % fonduri naționale guvernamentale şi locale (buget stat, local, redevențe din contribuții etc.);</w:t>
      </w:r>
    </w:p>
    <w:p w:rsidR="002967F0" w:rsidRPr="00242122" w:rsidRDefault="002967F0" w:rsidP="00B12004">
      <w:pPr>
        <w:numPr>
          <w:ilvl w:val="0"/>
          <w:numId w:val="26"/>
        </w:numPr>
        <w:spacing w:after="0" w:line="240" w:lineRule="auto"/>
        <w:ind w:left="360" w:hanging="360"/>
        <w:jc w:val="both"/>
        <w:rPr>
          <w:rFonts w:ascii="Arial" w:hAnsi="Arial" w:cs="Arial"/>
          <w:sz w:val="24"/>
          <w:szCs w:val="24"/>
          <w:lang w:val="pt-PT"/>
        </w:rPr>
      </w:pPr>
      <w:r w:rsidRPr="00242122">
        <w:rPr>
          <w:rFonts w:ascii="Arial" w:hAnsi="Arial" w:cs="Arial"/>
          <w:sz w:val="24"/>
          <w:szCs w:val="24"/>
          <w:lang w:val="pt-PT"/>
        </w:rPr>
        <w:t>7,88 % surse proprii ale agentului economic;</w:t>
      </w:r>
    </w:p>
    <w:p w:rsidR="002967F0" w:rsidRPr="00242122" w:rsidRDefault="002967F0" w:rsidP="00B12004">
      <w:pPr>
        <w:numPr>
          <w:ilvl w:val="0"/>
          <w:numId w:val="26"/>
        </w:numPr>
        <w:spacing w:after="0" w:line="240" w:lineRule="auto"/>
        <w:ind w:left="360" w:hanging="360"/>
        <w:jc w:val="both"/>
        <w:rPr>
          <w:rFonts w:ascii="Arial" w:hAnsi="Arial" w:cs="Arial"/>
          <w:sz w:val="24"/>
          <w:szCs w:val="24"/>
          <w:lang w:val="pt-PT"/>
        </w:rPr>
      </w:pPr>
      <w:r w:rsidRPr="00242122">
        <w:rPr>
          <w:rFonts w:ascii="Arial" w:hAnsi="Arial" w:cs="Arial"/>
          <w:sz w:val="24"/>
          <w:szCs w:val="24"/>
          <w:lang w:val="pt-PT"/>
        </w:rPr>
        <w:t>0,04 % parteneriat Public-Privat;</w:t>
      </w:r>
    </w:p>
    <w:p w:rsidR="002967F0" w:rsidRPr="00242122" w:rsidRDefault="002967F0" w:rsidP="00B12004">
      <w:pPr>
        <w:numPr>
          <w:ilvl w:val="0"/>
          <w:numId w:val="26"/>
        </w:numPr>
        <w:spacing w:after="0" w:line="240" w:lineRule="auto"/>
        <w:ind w:left="360" w:hanging="360"/>
        <w:jc w:val="both"/>
        <w:rPr>
          <w:rFonts w:ascii="Arial" w:hAnsi="Arial" w:cs="Arial"/>
          <w:sz w:val="24"/>
          <w:szCs w:val="24"/>
          <w:lang w:val="pt-PT"/>
        </w:rPr>
      </w:pPr>
      <w:r w:rsidRPr="00242122">
        <w:rPr>
          <w:rFonts w:ascii="Arial" w:hAnsi="Arial" w:cs="Arial"/>
          <w:sz w:val="24"/>
          <w:szCs w:val="24"/>
          <w:lang w:val="pt-PT"/>
        </w:rPr>
        <w:t>5,07 % surse ale ANAR;</w:t>
      </w:r>
    </w:p>
    <w:p w:rsidR="002967F0" w:rsidRPr="00242122" w:rsidRDefault="002967F0" w:rsidP="00B12004">
      <w:pPr>
        <w:numPr>
          <w:ilvl w:val="0"/>
          <w:numId w:val="26"/>
        </w:numPr>
        <w:spacing w:after="0" w:line="240" w:lineRule="auto"/>
        <w:ind w:left="360" w:hanging="360"/>
        <w:jc w:val="both"/>
        <w:rPr>
          <w:rFonts w:ascii="Arial" w:hAnsi="Arial" w:cs="Arial"/>
          <w:sz w:val="24"/>
          <w:szCs w:val="24"/>
          <w:lang w:val="pt-PT"/>
        </w:rPr>
      </w:pPr>
      <w:r w:rsidRPr="00242122">
        <w:rPr>
          <w:rFonts w:ascii="Arial" w:hAnsi="Arial" w:cs="Arial"/>
          <w:sz w:val="24"/>
          <w:szCs w:val="24"/>
          <w:lang w:val="pt-PT"/>
        </w:rPr>
        <w:t>0,57 % alte surse.</w:t>
      </w:r>
    </w:p>
    <w:p w:rsidR="002967F0" w:rsidRPr="00242122" w:rsidRDefault="002967F0" w:rsidP="002967F0">
      <w:pPr>
        <w:spacing w:before="120" w:after="120" w:line="240" w:lineRule="auto"/>
        <w:ind w:firstLine="720"/>
        <w:jc w:val="both"/>
        <w:rPr>
          <w:rFonts w:ascii="Arial" w:hAnsi="Arial" w:cs="Arial"/>
          <w:sz w:val="24"/>
          <w:szCs w:val="24"/>
          <w:lang w:val="pt-PT"/>
        </w:rPr>
      </w:pPr>
      <w:r w:rsidRPr="00242122">
        <w:rPr>
          <w:rFonts w:ascii="Arial" w:hAnsi="Arial" w:cs="Arial"/>
          <w:sz w:val="24"/>
          <w:szCs w:val="24"/>
          <w:lang w:val="pt-PT"/>
        </w:rPr>
        <w:t>În ceea ce privește situația realizării programului de măsuri la sfârșitul anului 2020 (Figura II.2.3.10), comparativ cu cea planificată în Planurile de management actualizate 2015 ale bazinelor /spațiilor hidrografice, se observă că cele mai multe costuri revin implementării măsurilor de bază şi suplimentare pentru aglomerările umane (apă potabilă, apă uzată, nămoluri de la stații de epurare) și activitățile agro-zootehnice și industriale, precum și a altor măsuri de bază referitoare la reglementarea/autorizarea, controlul și monitorizarea surselor semnificative de poluare, precum și cele aferente alterărilor hidromorfologice.</w:t>
      </w:r>
    </w:p>
    <w:p w:rsidR="002967F0" w:rsidRPr="00242122" w:rsidRDefault="002967F0" w:rsidP="002967F0">
      <w:pPr>
        <w:spacing w:before="120" w:after="120" w:line="240" w:lineRule="auto"/>
        <w:ind w:firstLine="720"/>
        <w:jc w:val="both"/>
        <w:rPr>
          <w:rFonts w:ascii="Arial" w:hAnsi="Arial" w:cs="Arial"/>
          <w:sz w:val="24"/>
          <w:szCs w:val="24"/>
        </w:rPr>
      </w:pPr>
      <w:r w:rsidRPr="00242122">
        <w:rPr>
          <w:rFonts w:ascii="Arial" w:hAnsi="Arial" w:cs="Arial"/>
          <w:sz w:val="24"/>
          <w:szCs w:val="24"/>
        </w:rPr>
        <w:t>De asemenea, o serie de măsuri suplimentare planificate au fost realizate până în 2020 sau sunt în curs de implementare până la sfârșitul anului 2021, și anume:</w:t>
      </w:r>
    </w:p>
    <w:p w:rsidR="002967F0" w:rsidRPr="00242122" w:rsidRDefault="002967F0" w:rsidP="00B12004">
      <w:pPr>
        <w:numPr>
          <w:ilvl w:val="0"/>
          <w:numId w:val="23"/>
        </w:numPr>
        <w:spacing w:before="120" w:after="120" w:line="240" w:lineRule="auto"/>
        <w:ind w:left="187" w:hanging="187"/>
        <w:jc w:val="both"/>
        <w:rPr>
          <w:rFonts w:ascii="Arial" w:hAnsi="Arial" w:cs="Arial"/>
          <w:sz w:val="24"/>
          <w:szCs w:val="24"/>
        </w:rPr>
      </w:pPr>
      <w:r w:rsidRPr="00242122">
        <w:rPr>
          <w:rFonts w:ascii="Arial" w:hAnsi="Arial" w:cs="Arial"/>
          <w:sz w:val="24"/>
          <w:szCs w:val="24"/>
        </w:rPr>
        <w:t>măsuri constructive și tehnice aplicate aglomerărilor umane, unităților industriale și activităților agricole; de exemplu: asigurarea unor limite ale concentrațiilor de poluanți mai stringente decât cele prevăzute în legislația în vigoare, construirea platformelor comunale de depozitare și gospodărire a gunoiului de grajd sau aplicarea de măsuri peste cerințele directivelor europene în domeniul apelor (construirea de sisteme centralizate de colectare și epurare a apelor uzate în aglomerări umane mai mici de 2000 l.e.);</w:t>
      </w:r>
    </w:p>
    <w:p w:rsidR="002967F0" w:rsidRPr="00242122" w:rsidRDefault="002967F0" w:rsidP="00B12004">
      <w:pPr>
        <w:numPr>
          <w:ilvl w:val="0"/>
          <w:numId w:val="23"/>
        </w:numPr>
        <w:spacing w:before="120" w:after="120" w:line="240" w:lineRule="auto"/>
        <w:ind w:left="187" w:hanging="187"/>
        <w:jc w:val="both"/>
        <w:rPr>
          <w:rFonts w:ascii="Arial" w:hAnsi="Arial" w:cs="Arial"/>
          <w:sz w:val="24"/>
          <w:szCs w:val="24"/>
        </w:rPr>
      </w:pPr>
      <w:r w:rsidRPr="00242122">
        <w:rPr>
          <w:rFonts w:ascii="Arial" w:hAnsi="Arial" w:cs="Arial"/>
          <w:sz w:val="24"/>
          <w:szCs w:val="24"/>
        </w:rPr>
        <w:t>măsuri tehnice pentru domeniul alterărilor hidromorfologice (ex. îndepărtarea obstacolelor pentru asigurarea conectivității longitudinale, restaurarea conectivității longitudinale și laterale a corpurilor de apă, reducerea eroziunii costiere);</w:t>
      </w:r>
    </w:p>
    <w:p w:rsidR="002967F0" w:rsidRPr="00242122" w:rsidRDefault="002967F0" w:rsidP="002967F0">
      <w:pPr>
        <w:spacing w:after="0" w:line="240" w:lineRule="auto"/>
        <w:jc w:val="center"/>
        <w:rPr>
          <w:rFonts w:ascii="Arial" w:hAnsi="Arial" w:cs="Arial"/>
          <w:b/>
          <w:bCs/>
          <w:i/>
          <w:iCs/>
        </w:rPr>
      </w:pPr>
    </w:p>
    <w:p w:rsidR="002967F0" w:rsidRPr="00242122" w:rsidRDefault="002967F0" w:rsidP="002967F0">
      <w:pPr>
        <w:spacing w:after="0" w:line="240" w:lineRule="auto"/>
        <w:jc w:val="center"/>
        <w:rPr>
          <w:rFonts w:ascii="Arial" w:hAnsi="Arial" w:cs="Arial"/>
          <w:b/>
          <w:bCs/>
          <w:i/>
          <w:iCs/>
        </w:rPr>
      </w:pPr>
    </w:p>
    <w:p w:rsidR="002967F0" w:rsidRPr="00242122" w:rsidRDefault="002967F0" w:rsidP="002967F0">
      <w:pPr>
        <w:spacing w:after="0" w:line="240" w:lineRule="auto"/>
        <w:jc w:val="center"/>
        <w:rPr>
          <w:rFonts w:ascii="Arial" w:hAnsi="Arial" w:cs="Arial"/>
          <w:b/>
          <w:bCs/>
          <w:i/>
          <w:iCs/>
        </w:rPr>
      </w:pPr>
    </w:p>
    <w:p w:rsidR="002967F0" w:rsidRPr="00242122" w:rsidRDefault="002967F0" w:rsidP="002967F0">
      <w:pPr>
        <w:spacing w:after="0" w:line="240" w:lineRule="auto"/>
        <w:jc w:val="center"/>
        <w:rPr>
          <w:rFonts w:ascii="Arial" w:hAnsi="Arial" w:cs="Arial"/>
          <w:b/>
          <w:bCs/>
          <w:i/>
          <w:iCs/>
        </w:rPr>
      </w:pPr>
      <w:r w:rsidRPr="00242122">
        <w:rPr>
          <w:rFonts w:ascii="Arial" w:hAnsi="Arial" w:cs="Arial"/>
          <w:b/>
          <w:bCs/>
          <w:i/>
          <w:iCs/>
        </w:rPr>
        <w:lastRenderedPageBreak/>
        <w:t>Progrese înregistrate la nivel național în implementarea</w:t>
      </w:r>
    </w:p>
    <w:p w:rsidR="002967F0" w:rsidRPr="00242122" w:rsidRDefault="002967F0" w:rsidP="002967F0">
      <w:pPr>
        <w:spacing w:after="0" w:line="240" w:lineRule="auto"/>
        <w:jc w:val="center"/>
        <w:rPr>
          <w:rFonts w:ascii="Arial" w:hAnsi="Arial" w:cs="Arial"/>
          <w:b/>
          <w:bCs/>
          <w:i/>
          <w:iCs/>
        </w:rPr>
      </w:pPr>
      <w:r w:rsidRPr="00242122">
        <w:rPr>
          <w:rFonts w:ascii="Arial" w:hAnsi="Arial" w:cs="Arial"/>
          <w:b/>
          <w:bCs/>
          <w:i/>
          <w:iCs/>
        </w:rPr>
        <w:t>Programului de măsuri 2016-2021</w:t>
      </w:r>
    </w:p>
    <w:p w:rsidR="002967F0" w:rsidRPr="00242122" w:rsidRDefault="002967F0" w:rsidP="002967F0">
      <w:pPr>
        <w:spacing w:after="0" w:line="240" w:lineRule="auto"/>
        <w:jc w:val="center"/>
        <w:rPr>
          <w:rFonts w:ascii="Arial" w:hAnsi="Arial" w:cs="Arial"/>
          <w:b/>
          <w:bCs/>
          <w:i/>
          <w:iCs/>
        </w:rPr>
      </w:pPr>
    </w:p>
    <w:p w:rsidR="002967F0" w:rsidRPr="00242122" w:rsidRDefault="002967F0" w:rsidP="002967F0">
      <w:pPr>
        <w:jc w:val="both"/>
        <w:rPr>
          <w:rFonts w:ascii="Arial" w:hAnsi="Arial" w:cs="Arial"/>
          <w:sz w:val="24"/>
          <w:szCs w:val="24"/>
          <w:lang w:val="fr-BE"/>
        </w:rPr>
      </w:pPr>
      <w:r w:rsidRPr="00242122">
        <w:rPr>
          <w:rFonts w:ascii="Arial" w:hAnsi="Arial" w:cs="Arial"/>
          <w:noProof/>
          <w:lang w:eastAsia="ro-RO"/>
        </w:rPr>
        <w:drawing>
          <wp:inline distT="0" distB="0" distL="0" distR="0" wp14:anchorId="5626E3F6" wp14:editId="2D044AFB">
            <wp:extent cx="5922010" cy="311213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22010" cy="3112135"/>
                    </a:xfrm>
                    <a:prstGeom prst="rect">
                      <a:avLst/>
                    </a:prstGeom>
                    <a:noFill/>
                  </pic:spPr>
                </pic:pic>
              </a:graphicData>
            </a:graphic>
          </wp:inline>
        </w:drawing>
      </w:r>
    </w:p>
    <w:p w:rsidR="002967F0" w:rsidRPr="00242122" w:rsidRDefault="002967F0" w:rsidP="002967F0">
      <w:pPr>
        <w:spacing w:after="0" w:line="240" w:lineRule="auto"/>
        <w:ind w:firstLine="6480"/>
        <w:jc w:val="right"/>
        <w:rPr>
          <w:rFonts w:ascii="Arial" w:hAnsi="Arial" w:cs="Arial"/>
          <w:b/>
          <w:i/>
          <w:lang w:val="fr-FR"/>
        </w:rPr>
      </w:pPr>
      <w:r w:rsidRPr="00242122">
        <w:rPr>
          <w:rFonts w:ascii="Arial" w:hAnsi="Arial" w:cs="Arial"/>
          <w:b/>
          <w:i/>
          <w:sz w:val="24"/>
          <w:szCs w:val="24"/>
        </w:rPr>
        <w:t>Figura II.2.3.10</w:t>
      </w:r>
    </w:p>
    <w:p w:rsidR="002967F0" w:rsidRPr="00242122" w:rsidRDefault="002967F0" w:rsidP="002967F0">
      <w:pPr>
        <w:spacing w:before="120" w:after="120" w:line="240" w:lineRule="auto"/>
        <w:jc w:val="both"/>
        <w:rPr>
          <w:rFonts w:ascii="Arial" w:hAnsi="Arial" w:cs="Arial"/>
          <w:i/>
          <w:sz w:val="24"/>
          <w:szCs w:val="24"/>
        </w:rPr>
      </w:pPr>
      <w:r w:rsidRPr="00242122">
        <w:rPr>
          <w:rFonts w:ascii="Arial" w:hAnsi="Arial" w:cs="Arial"/>
          <w:i/>
          <w:sz w:val="24"/>
          <w:szCs w:val="24"/>
        </w:rPr>
        <w:t>(Sursa datelor: Administrația Națională „Apele Române”, Planul Național de Management actualizat 2021)</w:t>
      </w:r>
    </w:p>
    <w:p w:rsidR="002967F0" w:rsidRPr="00242122" w:rsidRDefault="002967F0" w:rsidP="002967F0">
      <w:pPr>
        <w:spacing w:before="120" w:after="120" w:line="240" w:lineRule="auto"/>
        <w:rPr>
          <w:rFonts w:ascii="Arial" w:hAnsi="Arial" w:cs="Arial"/>
          <w:b/>
          <w:sz w:val="24"/>
          <w:szCs w:val="24"/>
          <w:lang w:val="fr-FR"/>
        </w:rPr>
      </w:pPr>
    </w:p>
    <w:p w:rsidR="002967F0" w:rsidRPr="00242122" w:rsidRDefault="002967F0" w:rsidP="00B12004">
      <w:pPr>
        <w:numPr>
          <w:ilvl w:val="0"/>
          <w:numId w:val="23"/>
        </w:numPr>
        <w:spacing w:before="120" w:after="120" w:line="240" w:lineRule="auto"/>
        <w:ind w:left="187" w:hanging="187"/>
        <w:jc w:val="both"/>
        <w:rPr>
          <w:rFonts w:ascii="Arial" w:hAnsi="Arial" w:cs="Arial"/>
          <w:sz w:val="24"/>
          <w:szCs w:val="24"/>
        </w:rPr>
      </w:pPr>
      <w:r w:rsidRPr="00242122">
        <w:rPr>
          <w:rFonts w:ascii="Arial" w:hAnsi="Arial" w:cs="Arial"/>
          <w:sz w:val="24"/>
          <w:szCs w:val="24"/>
        </w:rPr>
        <w:t xml:space="preserve">studii de cercetare și proiecte menite să clarifice problemele și incertitudinile semnalate la elaborarea  </w:t>
      </w:r>
      <w:r w:rsidRPr="00242122">
        <w:rPr>
          <w:rFonts w:ascii="Arial" w:hAnsi="Arial" w:cs="Arial"/>
          <w:i/>
          <w:sz w:val="24"/>
          <w:szCs w:val="24"/>
        </w:rPr>
        <w:t>Planului de Management</w:t>
      </w:r>
      <w:r w:rsidRPr="00242122">
        <w:rPr>
          <w:rFonts w:ascii="Arial" w:hAnsi="Arial" w:cs="Arial"/>
          <w:sz w:val="24"/>
          <w:szCs w:val="24"/>
        </w:rPr>
        <w:t xml:space="preserve"> </w:t>
      </w:r>
      <w:r w:rsidRPr="00242122">
        <w:rPr>
          <w:rFonts w:ascii="Arial" w:hAnsi="Arial" w:cs="Arial"/>
          <w:i/>
          <w:sz w:val="24"/>
          <w:szCs w:val="24"/>
        </w:rPr>
        <w:t>aprobat prin HG nr. 859/2011</w:t>
      </w:r>
      <w:r w:rsidRPr="00242122">
        <w:rPr>
          <w:rFonts w:ascii="Arial" w:hAnsi="Arial" w:cs="Arial"/>
          <w:sz w:val="24"/>
          <w:szCs w:val="24"/>
        </w:rPr>
        <w:t>6 (debit ecologic, stare ecologică, monitorizarea suplimentară a substanțelor prioritare, monitoring investigativ pentru stabilirea fondului natural, etc.), măsuri în cadrul planurilor de management ale ariilor naturale protejate.</w:t>
      </w:r>
    </w:p>
    <w:p w:rsidR="002967F0" w:rsidRPr="00242122" w:rsidRDefault="002967F0" w:rsidP="002967F0">
      <w:pPr>
        <w:spacing w:after="0" w:line="240" w:lineRule="auto"/>
        <w:ind w:firstLine="720"/>
        <w:jc w:val="both"/>
        <w:rPr>
          <w:rFonts w:ascii="Arial" w:eastAsia="Times New Roman" w:hAnsi="Arial" w:cs="Arial"/>
          <w:sz w:val="24"/>
          <w:szCs w:val="24"/>
        </w:rPr>
      </w:pPr>
      <w:r w:rsidRPr="00242122">
        <w:rPr>
          <w:rFonts w:ascii="Arial" w:eastAsia="Times New Roman" w:hAnsi="Arial" w:cs="Arial"/>
          <w:sz w:val="24"/>
          <w:szCs w:val="24"/>
        </w:rPr>
        <w:t xml:space="preserve">Pe baza analizei progresului în implementarea măsurilor de bază și suplimentare comparativ cu situația planificată în </w:t>
      </w:r>
      <w:r w:rsidRPr="00242122">
        <w:rPr>
          <w:rFonts w:ascii="Arial" w:eastAsia="Times New Roman" w:hAnsi="Arial" w:cs="Arial"/>
          <w:i/>
          <w:sz w:val="24"/>
          <w:szCs w:val="24"/>
        </w:rPr>
        <w:t>Planul Național de Management</w:t>
      </w:r>
      <w:r w:rsidRPr="00242122">
        <w:rPr>
          <w:rFonts w:ascii="Arial" w:eastAsia="Times New Roman" w:hAnsi="Arial" w:cs="Arial"/>
          <w:sz w:val="24"/>
          <w:szCs w:val="24"/>
        </w:rPr>
        <w:t xml:space="preserve"> </w:t>
      </w:r>
      <w:r w:rsidRPr="00242122">
        <w:rPr>
          <w:rFonts w:ascii="Arial" w:eastAsia="Times New Roman" w:hAnsi="Arial" w:cs="Arial"/>
          <w:i/>
          <w:iCs/>
          <w:sz w:val="24"/>
          <w:szCs w:val="24"/>
        </w:rPr>
        <w:t>actualizat 2015</w:t>
      </w:r>
      <w:r w:rsidRPr="00242122">
        <w:rPr>
          <w:rFonts w:ascii="Arial" w:eastAsia="Times New Roman" w:hAnsi="Arial" w:cs="Arial"/>
          <w:sz w:val="24"/>
          <w:szCs w:val="24"/>
        </w:rPr>
        <w:t xml:space="preserve">, </w:t>
      </w:r>
      <w:r w:rsidRPr="00242122">
        <w:rPr>
          <w:rFonts w:ascii="Arial" w:eastAsia="Times New Roman" w:hAnsi="Arial" w:cs="Arial"/>
          <w:i/>
          <w:sz w:val="24"/>
          <w:szCs w:val="24"/>
        </w:rPr>
        <w:t xml:space="preserve">aprobat prin HG nr. 859/2016 </w:t>
      </w:r>
      <w:r w:rsidRPr="00242122">
        <w:rPr>
          <w:rFonts w:ascii="Arial" w:eastAsia="Times New Roman" w:hAnsi="Arial" w:cs="Arial"/>
          <w:sz w:val="24"/>
          <w:szCs w:val="24"/>
        </w:rPr>
        <w:t>s-a constatat faptul că:</w:t>
      </w:r>
    </w:p>
    <w:p w:rsidR="002967F0" w:rsidRPr="00242122" w:rsidRDefault="002967F0" w:rsidP="00B12004">
      <w:pPr>
        <w:numPr>
          <w:ilvl w:val="0"/>
          <w:numId w:val="25"/>
        </w:numPr>
        <w:spacing w:after="0" w:line="240" w:lineRule="auto"/>
        <w:ind w:left="360" w:firstLine="0"/>
        <w:contextualSpacing/>
        <w:jc w:val="both"/>
        <w:rPr>
          <w:rFonts w:ascii="Arial" w:eastAsia="Times New Roman" w:hAnsi="Arial" w:cs="Arial"/>
          <w:sz w:val="24"/>
          <w:szCs w:val="24"/>
          <w:lang w:val="fr-BE"/>
        </w:rPr>
      </w:pPr>
      <w:r w:rsidRPr="00242122">
        <w:rPr>
          <w:rFonts w:ascii="Arial" w:eastAsia="Times New Roman" w:hAnsi="Arial" w:cs="Arial"/>
          <w:sz w:val="24"/>
          <w:szCs w:val="24"/>
          <w:lang w:val="fr-BE"/>
        </w:rPr>
        <w:t>44,31 % din măsurile planificate au fost implementate, din care:</w:t>
      </w:r>
    </w:p>
    <w:p w:rsidR="002967F0" w:rsidRPr="00242122" w:rsidRDefault="002967F0" w:rsidP="00B12004">
      <w:pPr>
        <w:numPr>
          <w:ilvl w:val="0"/>
          <w:numId w:val="24"/>
        </w:numPr>
        <w:tabs>
          <w:tab w:val="left" w:pos="1080"/>
        </w:tabs>
        <w:spacing w:after="0" w:line="240" w:lineRule="auto"/>
        <w:ind w:left="1080"/>
        <w:contextualSpacing/>
        <w:jc w:val="both"/>
        <w:rPr>
          <w:rFonts w:ascii="Arial" w:eastAsia="Times New Roman" w:hAnsi="Arial" w:cs="Arial"/>
          <w:sz w:val="24"/>
          <w:szCs w:val="24"/>
          <w:lang w:val="fr-BE"/>
        </w:rPr>
      </w:pPr>
      <w:r w:rsidRPr="00242122">
        <w:rPr>
          <w:rFonts w:ascii="Arial" w:eastAsia="Times New Roman" w:hAnsi="Arial" w:cs="Arial"/>
          <w:sz w:val="24"/>
          <w:szCs w:val="24"/>
          <w:lang w:val="fr-BE"/>
        </w:rPr>
        <w:t>38,76 % dintre măsuri sunt identice cu cele planificate;</w:t>
      </w:r>
    </w:p>
    <w:p w:rsidR="002967F0" w:rsidRPr="00242122" w:rsidRDefault="002967F0" w:rsidP="00B12004">
      <w:pPr>
        <w:numPr>
          <w:ilvl w:val="0"/>
          <w:numId w:val="24"/>
        </w:numPr>
        <w:tabs>
          <w:tab w:val="left" w:pos="1080"/>
        </w:tabs>
        <w:spacing w:after="0" w:line="240" w:lineRule="auto"/>
        <w:ind w:left="1080"/>
        <w:jc w:val="both"/>
        <w:rPr>
          <w:rFonts w:ascii="Arial" w:eastAsia="Times New Roman" w:hAnsi="Arial" w:cs="Arial"/>
          <w:sz w:val="24"/>
          <w:szCs w:val="24"/>
          <w:lang w:val="fr-BE"/>
        </w:rPr>
      </w:pPr>
      <w:r w:rsidRPr="00242122">
        <w:rPr>
          <w:rFonts w:ascii="Arial" w:eastAsia="Times New Roman" w:hAnsi="Arial" w:cs="Arial"/>
          <w:sz w:val="24"/>
          <w:szCs w:val="24"/>
          <w:lang w:val="fr-BE"/>
        </w:rPr>
        <w:t xml:space="preserve">4,53 % dintre măsuri sunt măsuri noi, neprevăzute în </w:t>
      </w:r>
      <w:r w:rsidRPr="00242122">
        <w:rPr>
          <w:rFonts w:ascii="Arial" w:eastAsia="Times New Roman" w:hAnsi="Arial" w:cs="Arial"/>
          <w:i/>
          <w:sz w:val="24"/>
          <w:szCs w:val="24"/>
          <w:lang w:val="fr-BE"/>
        </w:rPr>
        <w:t>Planul Național de Management actualizat 2015, aprobat prin HG nr. 859/2016</w:t>
      </w:r>
      <w:r w:rsidRPr="00242122">
        <w:rPr>
          <w:rFonts w:ascii="Arial" w:eastAsia="Times New Roman" w:hAnsi="Arial" w:cs="Arial"/>
          <w:sz w:val="24"/>
          <w:szCs w:val="24"/>
          <w:lang w:val="fr-BE"/>
        </w:rPr>
        <w:t>;</w:t>
      </w:r>
    </w:p>
    <w:p w:rsidR="002967F0" w:rsidRPr="00242122" w:rsidRDefault="002967F0" w:rsidP="00B12004">
      <w:pPr>
        <w:numPr>
          <w:ilvl w:val="0"/>
          <w:numId w:val="24"/>
        </w:numPr>
        <w:tabs>
          <w:tab w:val="left" w:pos="1080"/>
        </w:tabs>
        <w:spacing w:after="0" w:line="240" w:lineRule="auto"/>
        <w:ind w:left="1080"/>
        <w:jc w:val="both"/>
        <w:rPr>
          <w:rFonts w:ascii="Arial" w:eastAsia="Times New Roman" w:hAnsi="Arial" w:cs="Arial"/>
          <w:sz w:val="24"/>
          <w:szCs w:val="24"/>
          <w:lang w:val="fr-BE"/>
        </w:rPr>
      </w:pPr>
      <w:r w:rsidRPr="00242122">
        <w:rPr>
          <w:rFonts w:ascii="Arial" w:eastAsia="Times New Roman" w:hAnsi="Arial" w:cs="Arial"/>
          <w:sz w:val="24"/>
          <w:szCs w:val="24"/>
          <w:lang w:val="fr-BE"/>
        </w:rPr>
        <w:t>1,02 % din măsuri au fost modificate având în vedere noi informații privind eficiența măsurii etc.;</w:t>
      </w:r>
    </w:p>
    <w:p w:rsidR="002967F0" w:rsidRPr="00242122" w:rsidRDefault="002967F0" w:rsidP="00B12004">
      <w:pPr>
        <w:numPr>
          <w:ilvl w:val="0"/>
          <w:numId w:val="25"/>
        </w:numPr>
        <w:spacing w:after="0" w:line="240" w:lineRule="auto"/>
        <w:ind w:left="360" w:firstLine="0"/>
        <w:contextualSpacing/>
        <w:jc w:val="both"/>
        <w:rPr>
          <w:rFonts w:ascii="Arial" w:eastAsia="Times New Roman" w:hAnsi="Arial" w:cs="Arial"/>
          <w:sz w:val="24"/>
          <w:szCs w:val="24"/>
          <w:lang w:val="fr-BE"/>
        </w:rPr>
      </w:pPr>
      <w:r w:rsidRPr="00242122">
        <w:rPr>
          <w:rFonts w:ascii="Arial" w:eastAsia="Times New Roman" w:hAnsi="Arial" w:cs="Arial"/>
          <w:sz w:val="24"/>
          <w:szCs w:val="24"/>
          <w:lang w:val="fr-BE"/>
        </w:rPr>
        <w:t>55,69 % din măsurile planificate nu au fost implementate, din care:</w:t>
      </w:r>
    </w:p>
    <w:p w:rsidR="002967F0" w:rsidRPr="00242122" w:rsidRDefault="002967F0" w:rsidP="00B12004">
      <w:pPr>
        <w:numPr>
          <w:ilvl w:val="0"/>
          <w:numId w:val="24"/>
        </w:numPr>
        <w:tabs>
          <w:tab w:val="left" w:pos="1080"/>
        </w:tabs>
        <w:spacing w:after="0" w:line="240" w:lineRule="auto"/>
        <w:ind w:left="1080"/>
        <w:jc w:val="both"/>
        <w:rPr>
          <w:rFonts w:ascii="Arial" w:eastAsia="Times New Roman" w:hAnsi="Arial" w:cs="Arial"/>
          <w:sz w:val="24"/>
          <w:szCs w:val="24"/>
          <w:lang w:val="fr-BE"/>
        </w:rPr>
      </w:pPr>
      <w:r w:rsidRPr="00242122">
        <w:rPr>
          <w:rFonts w:ascii="Arial" w:eastAsia="Times New Roman" w:hAnsi="Arial" w:cs="Arial"/>
          <w:sz w:val="24"/>
          <w:szCs w:val="24"/>
          <w:lang w:val="fr-BE"/>
        </w:rPr>
        <w:t>15,00 % nu au fost realiate din diferite motive;</w:t>
      </w:r>
    </w:p>
    <w:p w:rsidR="002967F0" w:rsidRPr="00242122" w:rsidRDefault="002967F0" w:rsidP="00B12004">
      <w:pPr>
        <w:numPr>
          <w:ilvl w:val="0"/>
          <w:numId w:val="24"/>
        </w:numPr>
        <w:tabs>
          <w:tab w:val="left" w:pos="1080"/>
        </w:tabs>
        <w:spacing w:after="0" w:line="240" w:lineRule="auto"/>
        <w:ind w:left="1080"/>
        <w:jc w:val="both"/>
        <w:rPr>
          <w:rFonts w:ascii="Arial" w:eastAsia="Times New Roman" w:hAnsi="Arial" w:cs="Arial"/>
          <w:sz w:val="24"/>
          <w:szCs w:val="24"/>
          <w:lang w:val="fr-BE"/>
        </w:rPr>
      </w:pPr>
      <w:r w:rsidRPr="00242122">
        <w:rPr>
          <w:rFonts w:ascii="Arial" w:eastAsia="Times New Roman" w:hAnsi="Arial" w:cs="Arial"/>
          <w:sz w:val="24"/>
          <w:szCs w:val="24"/>
          <w:lang w:val="fr-BE"/>
        </w:rPr>
        <w:t>4,43 % din măsuri nu au mai fost necesare datorită fie reducerii din diverse cauze obiective a poluării produse de presiunile semnificative (unele măsuri au fost abandonate, nemaifiind necesare, după reevaluarea situaţiei din unităţile economice (unităţi închise, în conservare) și atingerea obiectivelor de mediu ale corpurilor de apă, fie alte măsuri implementate în paralel pe același corp de apă au condus deja la atingerea obiectivelor de mediu;</w:t>
      </w:r>
    </w:p>
    <w:p w:rsidR="002967F0" w:rsidRPr="00242122" w:rsidRDefault="002967F0" w:rsidP="00B12004">
      <w:pPr>
        <w:numPr>
          <w:ilvl w:val="0"/>
          <w:numId w:val="24"/>
        </w:numPr>
        <w:tabs>
          <w:tab w:val="left" w:pos="1080"/>
        </w:tabs>
        <w:spacing w:after="0" w:line="240" w:lineRule="auto"/>
        <w:ind w:left="1080"/>
        <w:jc w:val="both"/>
        <w:rPr>
          <w:rFonts w:ascii="Arial" w:eastAsia="Times New Roman" w:hAnsi="Arial" w:cs="Arial"/>
          <w:sz w:val="24"/>
          <w:szCs w:val="24"/>
          <w:lang w:val="fr-BE"/>
        </w:rPr>
      </w:pPr>
      <w:r w:rsidRPr="00242122">
        <w:rPr>
          <w:rFonts w:ascii="Arial" w:eastAsia="Times New Roman" w:hAnsi="Arial" w:cs="Arial"/>
          <w:sz w:val="24"/>
          <w:szCs w:val="24"/>
          <w:lang w:val="fr-BE"/>
        </w:rPr>
        <w:t>36,26 % din măsuri au fost transferate pentru implementare în al doilea ciclu de planificare.</w:t>
      </w:r>
    </w:p>
    <w:p w:rsidR="002967F0" w:rsidRPr="00242122" w:rsidRDefault="002967F0" w:rsidP="002967F0">
      <w:pPr>
        <w:spacing w:before="120" w:after="120" w:line="240" w:lineRule="auto"/>
        <w:ind w:firstLine="720"/>
        <w:jc w:val="both"/>
        <w:rPr>
          <w:rFonts w:ascii="Arial" w:hAnsi="Arial" w:cs="Arial"/>
          <w:sz w:val="24"/>
          <w:szCs w:val="24"/>
        </w:rPr>
      </w:pPr>
      <w:r w:rsidRPr="00242122">
        <w:rPr>
          <w:rFonts w:ascii="Arial" w:hAnsi="Arial" w:cs="Arial"/>
          <w:sz w:val="24"/>
          <w:szCs w:val="24"/>
        </w:rPr>
        <w:lastRenderedPageBreak/>
        <w:t xml:space="preserve">În urma evaluării situaţiei împreună cu utilizatorii de apă şi autorităţile care implementează programul de măsuri în perioada 2016-2021, s-a constatat că, în unele cazuri, există probleme în ceea ce priveşte realizarea măsurilor la termenele stabilite, dintre care cele mai des întâlnite sunt următoarele: </w:t>
      </w:r>
    </w:p>
    <w:p w:rsidR="002967F0" w:rsidRPr="00242122" w:rsidRDefault="002967F0" w:rsidP="002967F0">
      <w:pPr>
        <w:spacing w:before="120" w:after="12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 xml:space="preserve">capacitatea tehnică și instituțională insuficientă a autorităților pentru implementarea mecanismelor necesare realizării măsurilor; </w:t>
      </w:r>
    </w:p>
    <w:p w:rsidR="002967F0" w:rsidRPr="00242122" w:rsidRDefault="002967F0" w:rsidP="002967F0">
      <w:pPr>
        <w:spacing w:before="120" w:after="12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alocarea cu întârziere a fondurilor necesare din cauza derulării cu întârziere a procedurilor de achiziții;</w:t>
      </w:r>
    </w:p>
    <w:p w:rsidR="002967F0" w:rsidRPr="00242122" w:rsidRDefault="002967F0" w:rsidP="002967F0">
      <w:pPr>
        <w:spacing w:before="120" w:after="12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proceduri anevoioase de promovare a finanţării care conduc la depăşirea termenelor prevăzute pentru demararea proiectelor;</w:t>
      </w:r>
    </w:p>
    <w:p w:rsidR="002967F0" w:rsidRPr="00242122" w:rsidRDefault="002967F0" w:rsidP="002967F0">
      <w:pPr>
        <w:spacing w:before="120" w:after="12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alocarea de fonduri insuficiente de la bugetul de stat și local pentru măsurile ce trebuiau realizate în al doilea ciclu de planificare, având în vedere contextul economic european și mondial;</w:t>
      </w:r>
    </w:p>
    <w:p w:rsidR="002967F0" w:rsidRPr="00242122" w:rsidRDefault="002967F0" w:rsidP="002967F0">
      <w:pPr>
        <w:spacing w:before="120" w:after="12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dificultății în realizarea tehnică a lucrărilor de execuție de către contractanți (diminuarea potențialului pieței muncii în sectorul construcțiilor);</w:t>
      </w:r>
    </w:p>
    <w:p w:rsidR="002967F0" w:rsidRPr="00242122" w:rsidRDefault="002967F0" w:rsidP="002967F0">
      <w:pPr>
        <w:spacing w:before="120" w:after="120" w:line="240" w:lineRule="auto"/>
        <w:ind w:left="360" w:hanging="360"/>
        <w:jc w:val="both"/>
        <w:rPr>
          <w:rFonts w:ascii="Arial" w:hAnsi="Arial" w:cs="Arial"/>
          <w:sz w:val="24"/>
          <w:szCs w:val="24"/>
        </w:rPr>
      </w:pPr>
      <w:r w:rsidRPr="00242122">
        <w:rPr>
          <w:rFonts w:ascii="Arial" w:hAnsi="Arial" w:cs="Arial"/>
          <w:sz w:val="24"/>
          <w:szCs w:val="24"/>
        </w:rPr>
        <w:t>•</w:t>
      </w:r>
      <w:r w:rsidRPr="00242122">
        <w:rPr>
          <w:rFonts w:ascii="Arial" w:hAnsi="Arial" w:cs="Arial"/>
          <w:sz w:val="24"/>
          <w:szCs w:val="24"/>
        </w:rPr>
        <w:tab/>
        <w:t>întârzieri în implementarea măsurilor din cauza problemelor legate de regimul juridic al terenurilor pe care se execută lucrările, etc.</w:t>
      </w:r>
    </w:p>
    <w:p w:rsidR="002967F0" w:rsidRPr="00242122" w:rsidRDefault="002967F0" w:rsidP="002967F0">
      <w:pPr>
        <w:spacing w:before="120" w:after="120" w:line="240" w:lineRule="auto"/>
        <w:ind w:firstLine="720"/>
        <w:jc w:val="both"/>
        <w:rPr>
          <w:rFonts w:ascii="Arial" w:hAnsi="Arial" w:cs="Arial"/>
          <w:sz w:val="24"/>
          <w:szCs w:val="24"/>
        </w:rPr>
      </w:pPr>
      <w:r w:rsidRPr="00242122">
        <w:rPr>
          <w:rFonts w:ascii="Arial" w:hAnsi="Arial" w:cs="Arial"/>
          <w:sz w:val="24"/>
          <w:szCs w:val="24"/>
        </w:rPr>
        <w:t>În concluzie, principalele cauze care contribuie la nedemararea sau desfășurarea cu întârziere a anumitor măsuri de bază și suplimentare sunt atribuite în principal alocării cu întârziere a fondurilor necesare de la bugetul de stat sau insuficiența fondurilor de la bugetul local, dar și surselor limitate de finanțare europeană destinate implementării măsurilor specifice Directivei Cadru Apă.</w:t>
      </w:r>
    </w:p>
    <w:p w:rsidR="002967F0" w:rsidRPr="00242122" w:rsidRDefault="002967F0" w:rsidP="002967F0">
      <w:pPr>
        <w:spacing w:before="120" w:after="120" w:line="240" w:lineRule="auto"/>
        <w:ind w:firstLine="630"/>
        <w:jc w:val="both"/>
        <w:rPr>
          <w:rFonts w:ascii="Arial" w:hAnsi="Arial" w:cs="Arial"/>
          <w:sz w:val="24"/>
          <w:szCs w:val="24"/>
        </w:rPr>
      </w:pPr>
      <w:r w:rsidRPr="00242122">
        <w:rPr>
          <w:rFonts w:ascii="Arial" w:hAnsi="Arial" w:cs="Arial"/>
          <w:sz w:val="24"/>
          <w:szCs w:val="24"/>
        </w:rPr>
        <w:t>Administrația Națională „Apele Române”, autoritatea competentă în domeniul managementul resurselor de apă, monitorizează în continuare stadiul implementării programului de măsuri, conform cerințelor Directivei Cadru Apă, și intervine, în măsura responsabilităților, pentru conștientizarea / impulsionarea utilizatorilor de apă în vederea realizării măsurilor planificate în cadrul Planurilor de Management actualizate (2021) ale bazinelor/spaţiilor hidrografice.</w:t>
      </w:r>
    </w:p>
    <w:p w:rsidR="002967F0" w:rsidRPr="00242122" w:rsidRDefault="002967F0" w:rsidP="002967F0">
      <w:pPr>
        <w:rPr>
          <w:rFonts w:ascii="Arial" w:hAnsi="Arial" w:cs="Arial"/>
          <w:color w:val="FF0000"/>
        </w:rPr>
      </w:pPr>
    </w:p>
    <w:p w:rsidR="002967F0" w:rsidRPr="00242122" w:rsidRDefault="002967F0" w:rsidP="002967F0">
      <w:pPr>
        <w:pStyle w:val="Listparagraf1"/>
        <w:spacing w:before="120" w:after="120" w:line="240" w:lineRule="auto"/>
        <w:ind w:left="0"/>
        <w:jc w:val="both"/>
        <w:rPr>
          <w:rFonts w:ascii="Arial" w:hAnsi="Arial" w:cs="Arial"/>
          <w:b/>
          <w:sz w:val="24"/>
          <w:szCs w:val="24"/>
          <w:lang w:val="ro-RO"/>
        </w:rPr>
      </w:pPr>
      <w:r w:rsidRPr="00242122">
        <w:rPr>
          <w:rFonts w:ascii="Arial" w:hAnsi="Arial" w:cs="Arial"/>
          <w:b/>
          <w:sz w:val="24"/>
          <w:szCs w:val="24"/>
          <w:lang w:val="ro-RO"/>
        </w:rPr>
        <w:t>II.2.4 Politici, acțiuni și măsuri pentru îmbunătățirea stării de calitate a apelor</w:t>
      </w:r>
    </w:p>
    <w:p w:rsidR="002967F0" w:rsidRPr="00242122" w:rsidRDefault="002967F0" w:rsidP="002967F0">
      <w:pPr>
        <w:pStyle w:val="Listparagraf1"/>
        <w:spacing w:before="120" w:after="120" w:line="240" w:lineRule="auto"/>
        <w:ind w:left="1428"/>
        <w:jc w:val="both"/>
        <w:rPr>
          <w:rFonts w:ascii="Arial" w:hAnsi="Arial" w:cs="Arial"/>
          <w:b/>
          <w:sz w:val="24"/>
          <w:szCs w:val="24"/>
        </w:rPr>
      </w:pP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Măsurile impuse de legislaţia naţională care implementează Directivele Europene au ca obiectiv general conformarea cu cerinţele Uniunii Europene în domeniul calităţii apei, prin îndeplinirea obligaţiilor asumate prin Tratatul de Aderare la Uniunea Europeană şi documentul “Poziţia Comună a Uniunii Europene (CONF-RO 52/04), Bruxelles, 24 Noiembrie 2004, Capitolul 22 Mediu”. Documentele naţionale de aplicare cuprind atât planurile de implementare a directivelor europene în domeniul calităţii apei, cât şi documentele strategice naţionale care asigură cadrul de realizare a acestora.</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Managementul resurselor de apă necesită o abordare integrată a prevederilor Directivei Cadru Apă 2000/60/CE cu cele ale altor directive europene în domeniul apelor, precum și cu alte politici și strategii relevante ale anumitor sectoare, respectiv Directiva 2007/60/CE privind evaluarea și gestionarea riscului la inundații, Directiva Cadru Strategia pentru Mediul Marin 2008/56/CE, sectorul hidroenergetic, protecția naturii, schimbările climatice, etc.</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În ultima perioadă, Uniunea Europeană a adoptat o serie de strategii care stau la baza fundamentării activităților economice europene pentru viitor având în vedere și </w:t>
      </w:r>
      <w:r w:rsidRPr="00242122">
        <w:rPr>
          <w:rFonts w:ascii="Arial" w:hAnsi="Arial" w:cs="Arial"/>
          <w:sz w:val="24"/>
          <w:szCs w:val="24"/>
        </w:rPr>
        <w:lastRenderedPageBreak/>
        <w:t xml:space="preserve">protecția mediului. </w:t>
      </w:r>
      <w:r w:rsidRPr="00242122">
        <w:rPr>
          <w:rFonts w:ascii="Arial" w:hAnsi="Arial" w:cs="Arial"/>
          <w:b/>
          <w:bCs/>
          <w:sz w:val="24"/>
          <w:szCs w:val="24"/>
        </w:rPr>
        <w:t xml:space="preserve">Pactul ecologic European </w:t>
      </w:r>
      <w:r w:rsidRPr="00242122">
        <w:rPr>
          <w:rFonts w:ascii="Arial" w:hAnsi="Arial" w:cs="Arial"/>
          <w:sz w:val="24"/>
          <w:szCs w:val="24"/>
        </w:rPr>
        <w:t>(Green Deal)</w:t>
      </w:r>
      <w:r w:rsidRPr="00242122">
        <w:rPr>
          <w:rStyle w:val="FootnoteReference"/>
          <w:rFonts w:ascii="Arial" w:hAnsi="Arial" w:cs="Arial"/>
          <w:sz w:val="24"/>
          <w:szCs w:val="24"/>
        </w:rPr>
        <w:footnoteReference w:id="1"/>
      </w:r>
      <w:r w:rsidRPr="00242122">
        <w:rPr>
          <w:rFonts w:ascii="Arial" w:hAnsi="Arial" w:cs="Arial"/>
          <w:sz w:val="24"/>
          <w:szCs w:val="24"/>
        </w:rPr>
        <w:t xml:space="preserve">  are ca scop  principal  să  facă Uniunea Europeană neutră din punct de vedere climatic până în 2050, prin stabilirea unor ținte specifice și a unor politici în domeniu. Pactul urmărește, de asemenea, să protejeze, să conserve și să consolideze capitalul natural al UE, precum și să protejeze sănătatea și bunăstarea cetățenilor împotriva riscurilor legate de mediu și a impacturilor aferente. Astfel, fiecare stat membru UE va avea în vedere să implementeze noile prevederi ale Pactului Ecologic European, respectiv ale planurilor de acține specifice fiecărui domeniu.</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b/>
          <w:bCs/>
          <w:sz w:val="24"/>
          <w:szCs w:val="24"/>
        </w:rPr>
        <w:t>Planului de acțiune „Către poluarea zero a aerului, apei și solului”</w:t>
      </w:r>
      <w:r w:rsidRPr="00242122">
        <w:rPr>
          <w:rStyle w:val="FootnoteReference"/>
          <w:rFonts w:ascii="Arial" w:hAnsi="Arial" w:cs="Arial"/>
          <w:b/>
          <w:bCs/>
          <w:sz w:val="24"/>
          <w:szCs w:val="24"/>
        </w:rPr>
        <w:footnoteReference w:id="2"/>
      </w:r>
      <w:r w:rsidRPr="00242122">
        <w:rPr>
          <w:rFonts w:ascii="Arial" w:hAnsi="Arial" w:cs="Arial"/>
          <w:b/>
          <w:bCs/>
          <w:sz w:val="24"/>
          <w:szCs w:val="24"/>
        </w:rPr>
        <w:t xml:space="preserve"> </w:t>
      </w:r>
      <w:r w:rsidRPr="00242122">
        <w:rPr>
          <w:rFonts w:ascii="Arial" w:hAnsi="Arial" w:cs="Arial"/>
          <w:sz w:val="24"/>
          <w:szCs w:val="24"/>
        </w:rPr>
        <w:t>are ca obiectiv principal oferirea unei orientări pentru includerea prevenirii poluării în toate politicile relevante ale UE, maximizarea sinergiilor într-un mod eficient și proporțional, intensificarea punerii în aplicare și identificarea posibilelor lipsurilor sau compromisuri. Planul stabilește obiective cheie pentru anul 2030 de reducere a poluării la sursă, în comparație cu situația actuală, la niveluri care nu mai sunt considerate dăunătoare sănătății și ecosistemelor naturale și care respectă limitele cu care planeta noastră poate face față, creând astfel un mediu fără toxicitate. Conform legislației UE, țintele Green Deal și în sinergie cu alte inițiative, până în anul 2030, se referă la îmbunătățirea calității apei prin reducerea cu 50 % a pierderilor de nutrienți, cu 50 % a plasticelor eliberate în mare și cu 30 % a microplastice eliberate în mediu, precum și cu 50 % a deșeurilor municipale. Reutilizarea nămolului este adecvată pentru a contribui la realizarea obiectivelor de mediu ale corpurilor de apă prin reducerea poluării</w:t>
      </w:r>
      <w:r w:rsidRPr="00242122">
        <w:rPr>
          <w:rFonts w:ascii="Arial" w:hAnsi="Arial" w:cs="Arial"/>
          <w:sz w:val="24"/>
          <w:szCs w:val="24"/>
          <w:vertAlign w:val="superscript"/>
        </w:rPr>
        <w:footnoteReference w:id="3"/>
      </w:r>
      <w:r w:rsidRPr="00242122">
        <w:rPr>
          <w:rFonts w:ascii="Arial" w:hAnsi="Arial" w:cs="Arial"/>
          <w:sz w:val="24"/>
          <w:szCs w:val="24"/>
        </w:rPr>
        <w:t>, economia circulară (valorificare), eficiența resurselor (recuperare fosfor)</w:t>
      </w:r>
      <w:r w:rsidRPr="00242122">
        <w:rPr>
          <w:rStyle w:val="FootnoteReference"/>
          <w:rFonts w:ascii="Arial" w:hAnsi="Arial" w:cs="Arial"/>
          <w:sz w:val="24"/>
          <w:szCs w:val="24"/>
        </w:rPr>
        <w:footnoteReference w:id="4"/>
      </w:r>
      <w:r w:rsidRPr="00242122">
        <w:rPr>
          <w:rFonts w:ascii="Arial" w:hAnsi="Arial" w:cs="Arial"/>
          <w:sz w:val="24"/>
          <w:szCs w:val="24"/>
        </w:rPr>
        <w:t xml:space="preserve">, producția durabilă de alimente  (utilizare în agricultură) și reducerea emisiilor de GES.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În cadrul Pactului Ecologic European este promovat conceptul de „înverzirea politicii agricole commune” și se propune elaborarea </w:t>
      </w:r>
      <w:r w:rsidRPr="00242122">
        <w:rPr>
          <w:rFonts w:ascii="Arial" w:hAnsi="Arial" w:cs="Arial"/>
          <w:b/>
          <w:bCs/>
          <w:sz w:val="24"/>
          <w:szCs w:val="24"/>
        </w:rPr>
        <w:t>Strategiei „De la fermă la consumator”</w:t>
      </w:r>
      <w:r w:rsidRPr="00242122">
        <w:rPr>
          <w:rStyle w:val="FootnoteReference"/>
          <w:rFonts w:ascii="Arial" w:hAnsi="Arial" w:cs="Arial"/>
          <w:b/>
          <w:bCs/>
          <w:sz w:val="24"/>
          <w:szCs w:val="24"/>
        </w:rPr>
        <w:footnoteReference w:id="5"/>
      </w:r>
      <w:r w:rsidRPr="00242122">
        <w:rPr>
          <w:rFonts w:ascii="Arial" w:hAnsi="Arial" w:cs="Arial"/>
          <w:sz w:val="24"/>
          <w:szCs w:val="24"/>
        </w:rPr>
        <w:t xml:space="preserve"> care va consolida eforturile depuse de fermierii și pescarii europeni în vederea combaterii schimbărilor climatice, a protejării mediului și a conservării biodiversității. Planurile strategice naționale trebuie să fie elaborate în corelare cu obiectivele ambițioase ale Pactului ecologic european și ale strategiei „De la fermă la consumator”.</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De asemenea, la nivelul UE Comisia a aprobat în februarie 2021 </w:t>
      </w:r>
      <w:r w:rsidRPr="00242122">
        <w:rPr>
          <w:rFonts w:ascii="Arial" w:hAnsi="Arial" w:cs="Arial"/>
          <w:b/>
          <w:bCs/>
          <w:sz w:val="24"/>
          <w:szCs w:val="24"/>
        </w:rPr>
        <w:t>o nouă strategie privind adaptarea la schimbările climatice</w:t>
      </w:r>
      <w:r w:rsidRPr="00242122">
        <w:rPr>
          <w:rStyle w:val="FootnoteReference"/>
          <w:rFonts w:ascii="Arial" w:hAnsi="Arial" w:cs="Arial"/>
          <w:b/>
          <w:bCs/>
          <w:sz w:val="24"/>
          <w:szCs w:val="24"/>
        </w:rPr>
        <w:footnoteReference w:id="6"/>
      </w:r>
      <w:r w:rsidRPr="00242122">
        <w:rPr>
          <w:rFonts w:ascii="Arial" w:hAnsi="Arial" w:cs="Arial"/>
          <w:b/>
          <w:bCs/>
          <w:sz w:val="24"/>
          <w:szCs w:val="24"/>
        </w:rPr>
        <w:t xml:space="preserve"> </w:t>
      </w:r>
      <w:r w:rsidRPr="00242122">
        <w:rPr>
          <w:rFonts w:ascii="Arial" w:hAnsi="Arial" w:cs="Arial"/>
          <w:sz w:val="24"/>
          <w:szCs w:val="24"/>
        </w:rPr>
        <w:t xml:space="preserve"> care prezintă o viziune pe termen lung pentru ca UE să devină o societate rezilientă la schimbările climatice și pe deplin adaptată </w:t>
      </w:r>
      <w:r w:rsidRPr="00242122">
        <w:rPr>
          <w:rFonts w:ascii="Arial" w:hAnsi="Arial" w:cs="Arial"/>
          <w:sz w:val="24"/>
          <w:szCs w:val="24"/>
        </w:rPr>
        <w:lastRenderedPageBreak/>
        <w:t>la efectele inevitabile ale schimbărilor climatice până în 2050. Activitatea privind adaptarea la schimbările climatice va continua să influențeze investițiile publice și private, inclusiv în ceea ce privește soluțiile inspirate de natură.</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Prin aplicarea strategiilor și planurilor de acțiune se așteaptă ca funcțiile naturale ale apelor subterane și de suprafață să fie restabilite, fiind esențial pentru conservarea și refacerea biodiversității în lacuri, râuri, zonele umede și în apele costiere și marine, precum și pentru prevenirea și limitarea pagubelor provocate de inundații.</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În acest context, Comisia a realizat un </w:t>
      </w:r>
      <w:r w:rsidRPr="00242122">
        <w:rPr>
          <w:rFonts w:ascii="Arial" w:hAnsi="Arial" w:cs="Arial"/>
          <w:b/>
          <w:bCs/>
          <w:sz w:val="24"/>
          <w:szCs w:val="24"/>
        </w:rPr>
        <w:t>Plan de investiții pentru o Europă durabilă</w:t>
      </w:r>
      <w:r w:rsidRPr="00242122">
        <w:rPr>
          <w:rStyle w:val="FootnoteReference"/>
          <w:rFonts w:ascii="Arial" w:hAnsi="Arial" w:cs="Arial"/>
          <w:b/>
          <w:bCs/>
          <w:sz w:val="24"/>
          <w:szCs w:val="24"/>
        </w:rPr>
        <w:footnoteReference w:id="7"/>
      </w:r>
      <w:r w:rsidRPr="00242122">
        <w:rPr>
          <w:rFonts w:ascii="Arial" w:hAnsi="Arial" w:cs="Arial"/>
          <w:b/>
          <w:bCs/>
          <w:sz w:val="24"/>
          <w:szCs w:val="24"/>
        </w:rPr>
        <w:t xml:space="preserve"> </w:t>
      </w:r>
      <w:r w:rsidRPr="00242122">
        <w:rPr>
          <w:rFonts w:ascii="Arial" w:hAnsi="Arial" w:cs="Arial"/>
          <w:sz w:val="24"/>
          <w:szCs w:val="24"/>
        </w:rPr>
        <w:t>în vederea sprijinirii investițiilor durabile cu favorizarea investițiilor ecologice. Comisia a propus un obiectiv de 2% pentru integrarea aspectelor legate de schimbările climatice în toate programele UE. În propunerile Comisiei privind Politica Agricolă Comună (PAC) pentru perioada 2021-2027 se prevede că cel puțin 40 % din bugetul total al PAC și cel puțin 30 % din Fondul pentru pescuit și afaceri maritime ar trebui să contribuie la combaterea schimbărilor climatice.</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Acest cadru European ambițios va influența realizarea și atingerea obiectivelor în cadrul Planurilor de management actualizate ale bazinelor hidrografice (2022-2027).</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Procesul de integrare a managementului resurselor de apă din districtul bazinului hidrografic al Dunării cu alte politici, este promovat de către Declarația Dunării din 2010 și de documentele Uniunii Europene pentru salvgardarea resurselor de apă ale Europei (Blueprint - 2012). Aceste documente sunt avute în vedere și de România, în calitate de stat semnatar al Convenției privind cooperarea pentru protecţia şi utilizarea durabilă a fluviului Dunărea (Convenţia pentru protecţia fluviului Dunărea) și ca stat membru al Uniunii Europene.</w:t>
      </w:r>
    </w:p>
    <w:p w:rsidR="002967F0" w:rsidRPr="00242122" w:rsidRDefault="002967F0" w:rsidP="002967F0">
      <w:pPr>
        <w:spacing w:before="120" w:after="120" w:line="240" w:lineRule="auto"/>
        <w:ind w:right="-42" w:firstLine="720"/>
        <w:jc w:val="both"/>
        <w:rPr>
          <w:rFonts w:ascii="Arial" w:hAnsi="Arial" w:cs="Arial"/>
          <w:sz w:val="24"/>
          <w:szCs w:val="24"/>
        </w:rPr>
      </w:pPr>
      <w:r w:rsidRPr="00242122">
        <w:rPr>
          <w:rFonts w:ascii="Arial" w:hAnsi="Arial" w:cs="Arial"/>
          <w:sz w:val="24"/>
          <w:szCs w:val="24"/>
        </w:rPr>
        <w:t xml:space="preserve">Conform art. 13 al Directivei Cadru Apă, Statele Membre trebuie să realizeze un </w:t>
      </w:r>
      <w:r w:rsidRPr="00242122">
        <w:rPr>
          <w:rFonts w:ascii="Arial" w:hAnsi="Arial" w:cs="Arial"/>
          <w:i/>
          <w:sz w:val="24"/>
          <w:szCs w:val="24"/>
        </w:rPr>
        <w:t>Plan de Management pentru fiecare district hidrografic</w:t>
      </w:r>
      <w:r w:rsidRPr="00242122">
        <w:rPr>
          <w:rFonts w:ascii="Arial" w:hAnsi="Arial" w:cs="Arial"/>
          <w:sz w:val="24"/>
          <w:szCs w:val="24"/>
        </w:rPr>
        <w:t xml:space="preserve">, iar dacă sunt localizate într-un district internaţional, trebuie să asigure coordonarea pentru producerea unui singur </w:t>
      </w:r>
      <w:r w:rsidRPr="00242122">
        <w:rPr>
          <w:rFonts w:ascii="Arial" w:hAnsi="Arial" w:cs="Arial"/>
          <w:i/>
          <w:sz w:val="24"/>
          <w:szCs w:val="24"/>
        </w:rPr>
        <w:t>Plan de Management</w:t>
      </w:r>
      <w:r w:rsidRPr="00242122">
        <w:rPr>
          <w:rFonts w:ascii="Arial" w:hAnsi="Arial" w:cs="Arial"/>
          <w:sz w:val="24"/>
          <w:szCs w:val="24"/>
        </w:rPr>
        <w:t>. România, fiind localizată în bazinul Dunării (</w:t>
      </w:r>
      <w:r w:rsidRPr="00242122">
        <w:rPr>
          <w:rFonts w:ascii="Arial" w:hAnsi="Arial" w:cs="Arial"/>
          <w:i/>
          <w:sz w:val="24"/>
          <w:szCs w:val="24"/>
        </w:rPr>
        <w:t>Figura II. 2.4.1</w:t>
      </w:r>
      <w:r w:rsidRPr="00242122">
        <w:rPr>
          <w:rFonts w:ascii="Arial" w:hAnsi="Arial" w:cs="Arial"/>
          <w:sz w:val="24"/>
          <w:szCs w:val="24"/>
        </w:rPr>
        <w:t xml:space="preserve">), similar ciclurilor de planificare anterioare, contribuie la elaborarea </w:t>
      </w:r>
      <w:r w:rsidRPr="00242122">
        <w:rPr>
          <w:rFonts w:ascii="Arial" w:hAnsi="Arial" w:cs="Arial"/>
          <w:i/>
          <w:sz w:val="24"/>
          <w:szCs w:val="24"/>
        </w:rPr>
        <w:t>Planului de Management al Districtului Hidrografic al Fluviului Dunărea</w:t>
      </w:r>
      <w:r w:rsidRPr="00242122">
        <w:rPr>
          <w:rFonts w:ascii="Arial" w:hAnsi="Arial" w:cs="Arial"/>
          <w:b/>
          <w:sz w:val="24"/>
          <w:szCs w:val="24"/>
        </w:rPr>
        <w:t xml:space="preserve"> </w:t>
      </w:r>
      <w:r w:rsidRPr="00242122">
        <w:rPr>
          <w:rFonts w:ascii="Arial" w:hAnsi="Arial" w:cs="Arial"/>
          <w:sz w:val="24"/>
          <w:szCs w:val="24"/>
        </w:rPr>
        <w:t>– actualizarea 2021</w:t>
      </w:r>
      <w:r w:rsidRPr="00242122">
        <w:rPr>
          <w:rFonts w:ascii="Arial" w:hAnsi="Arial" w:cs="Arial"/>
          <w:b/>
          <w:sz w:val="24"/>
          <w:szCs w:val="24"/>
        </w:rPr>
        <w:t xml:space="preserve"> </w:t>
      </w:r>
      <w:r w:rsidRPr="00242122">
        <w:rPr>
          <w:rFonts w:ascii="Arial" w:hAnsi="Arial" w:cs="Arial"/>
          <w:sz w:val="24"/>
          <w:szCs w:val="24"/>
        </w:rPr>
        <w:t xml:space="preserve">ce se realizează sub coordonarea Comisiei Internaționale pentru Protecția Fluviului Dunărea (ICPDR). În acest scop statele semnatare ale Convenţiei Internaţionale pentru Protecţia Fluviului Dunărea au stabilit că </w:t>
      </w:r>
      <w:r w:rsidRPr="00242122">
        <w:rPr>
          <w:rFonts w:ascii="Arial" w:hAnsi="Arial" w:cs="Arial"/>
          <w:i/>
          <w:sz w:val="24"/>
          <w:szCs w:val="24"/>
        </w:rPr>
        <w:t>Planul de Management al Districtului Hidrografic al Dunării</w:t>
      </w:r>
      <w:r w:rsidRPr="00242122">
        <w:rPr>
          <w:rFonts w:ascii="Arial" w:hAnsi="Arial" w:cs="Arial"/>
          <w:sz w:val="24"/>
          <w:szCs w:val="24"/>
        </w:rPr>
        <w:t xml:space="preserve"> să fie format din trei părţi (partea A, partea B și partea C). Informații privind structura Planului de Management al Districtului Hidrografic al Fluviului Dunărea 2015 au fost prezentate detaliat în Planul Național de Management actualizat, aprobat prin </w:t>
      </w:r>
      <w:r w:rsidRPr="00242122">
        <w:rPr>
          <w:rFonts w:ascii="Arial" w:hAnsi="Arial" w:cs="Arial"/>
          <w:i/>
          <w:iCs/>
          <w:sz w:val="24"/>
          <w:szCs w:val="24"/>
        </w:rPr>
        <w:t>Hotărârea de Guvern nr. 859/2016 pentru aprobarea Planului Național de Management actualizat aferent porţiunii din bazinul hidrografic internaţional al fluviului Dunărea care este cuprinsă în teritoriul României</w:t>
      </w:r>
      <w:r w:rsidRPr="00242122">
        <w:rPr>
          <w:rFonts w:ascii="Arial" w:hAnsi="Arial" w:cs="Arial"/>
          <w:sz w:val="24"/>
          <w:szCs w:val="24"/>
        </w:rPr>
        <w:t xml:space="preserve">. </w:t>
      </w:r>
    </w:p>
    <w:p w:rsidR="00822C3C" w:rsidRDefault="00822C3C" w:rsidP="002967F0">
      <w:pPr>
        <w:spacing w:before="120" w:after="120" w:line="240" w:lineRule="auto"/>
        <w:ind w:right="-42" w:firstLine="720"/>
        <w:jc w:val="both"/>
        <w:rPr>
          <w:rFonts w:ascii="Arial" w:hAnsi="Arial" w:cs="Arial"/>
          <w:b/>
          <w:i/>
          <w:lang w:val="fr-BE"/>
        </w:rPr>
      </w:pPr>
    </w:p>
    <w:p w:rsidR="00822C3C" w:rsidRDefault="00822C3C" w:rsidP="002967F0">
      <w:pPr>
        <w:spacing w:before="120" w:after="120" w:line="240" w:lineRule="auto"/>
        <w:ind w:right="-42" w:firstLine="720"/>
        <w:jc w:val="both"/>
        <w:rPr>
          <w:rFonts w:ascii="Arial" w:hAnsi="Arial" w:cs="Arial"/>
          <w:b/>
          <w:i/>
          <w:lang w:val="fr-BE"/>
        </w:rPr>
      </w:pPr>
    </w:p>
    <w:p w:rsidR="00822C3C" w:rsidRDefault="00822C3C" w:rsidP="002967F0">
      <w:pPr>
        <w:spacing w:before="120" w:after="120" w:line="240" w:lineRule="auto"/>
        <w:ind w:right="-42" w:firstLine="720"/>
        <w:jc w:val="both"/>
        <w:rPr>
          <w:rFonts w:ascii="Arial" w:hAnsi="Arial" w:cs="Arial"/>
          <w:b/>
          <w:i/>
          <w:lang w:val="fr-BE"/>
        </w:rPr>
      </w:pPr>
    </w:p>
    <w:p w:rsidR="00822C3C" w:rsidRDefault="00822C3C" w:rsidP="002967F0">
      <w:pPr>
        <w:spacing w:before="120" w:after="120" w:line="240" w:lineRule="auto"/>
        <w:ind w:right="-42" w:firstLine="720"/>
        <w:jc w:val="both"/>
        <w:rPr>
          <w:rFonts w:ascii="Arial" w:hAnsi="Arial" w:cs="Arial"/>
          <w:b/>
          <w:i/>
          <w:lang w:val="fr-BE"/>
        </w:rPr>
      </w:pPr>
    </w:p>
    <w:p w:rsidR="00822C3C" w:rsidRDefault="00822C3C" w:rsidP="002967F0">
      <w:pPr>
        <w:spacing w:before="120" w:after="120" w:line="240" w:lineRule="auto"/>
        <w:ind w:right="-42" w:firstLine="720"/>
        <w:jc w:val="both"/>
        <w:rPr>
          <w:rFonts w:ascii="Arial" w:hAnsi="Arial" w:cs="Arial"/>
          <w:b/>
          <w:i/>
          <w:lang w:val="fr-BE"/>
        </w:rPr>
      </w:pPr>
    </w:p>
    <w:p w:rsidR="00822C3C" w:rsidRDefault="00822C3C" w:rsidP="002967F0">
      <w:pPr>
        <w:spacing w:before="120" w:after="120" w:line="240" w:lineRule="auto"/>
        <w:ind w:right="-42" w:firstLine="720"/>
        <w:jc w:val="both"/>
        <w:rPr>
          <w:rFonts w:ascii="Arial" w:hAnsi="Arial" w:cs="Arial"/>
          <w:b/>
          <w:i/>
          <w:lang w:val="fr-BE"/>
        </w:rPr>
      </w:pPr>
    </w:p>
    <w:p w:rsidR="002967F0" w:rsidRPr="00822C3C" w:rsidRDefault="00822C3C" w:rsidP="00822C3C">
      <w:pPr>
        <w:spacing w:before="120" w:after="120" w:line="240" w:lineRule="auto"/>
        <w:ind w:right="-43"/>
        <w:rPr>
          <w:rFonts w:ascii="Arial" w:hAnsi="Arial" w:cs="Arial"/>
          <w:b/>
          <w:bCs/>
          <w:lang w:val="fr-BE"/>
        </w:rPr>
      </w:pPr>
      <w:r w:rsidRPr="00242122">
        <w:rPr>
          <w:rFonts w:ascii="Arial" w:hAnsi="Arial" w:cs="Arial"/>
          <w:b/>
          <w:bCs/>
          <w:i/>
          <w:lang w:val="fr-BE"/>
        </w:rPr>
        <w:lastRenderedPageBreak/>
        <w:t>Figura II. 2.4.1</w:t>
      </w:r>
      <w:r>
        <w:rPr>
          <w:rFonts w:ascii="Arial" w:hAnsi="Arial" w:cs="Arial"/>
          <w:b/>
          <w:bCs/>
          <w:lang w:val="fr-BE"/>
        </w:rPr>
        <w:t xml:space="preserve"> - </w:t>
      </w:r>
      <w:r w:rsidR="002967F0" w:rsidRPr="00242122">
        <w:rPr>
          <w:rFonts w:ascii="Arial" w:hAnsi="Arial" w:cs="Arial"/>
          <w:b/>
          <w:i/>
          <w:lang w:val="fr-BE"/>
        </w:rPr>
        <w:t>Districtul Hidrografic al Fluviului Dunărea</w:t>
      </w:r>
    </w:p>
    <w:p w:rsidR="002967F0" w:rsidRPr="00242122" w:rsidRDefault="00822C3C" w:rsidP="002967F0">
      <w:pPr>
        <w:spacing w:before="120" w:after="120" w:line="240" w:lineRule="auto"/>
        <w:ind w:right="-43"/>
        <w:jc w:val="both"/>
        <w:rPr>
          <w:rFonts w:ascii="Arial" w:hAnsi="Arial" w:cs="Arial"/>
          <w:i/>
          <w:iCs/>
        </w:rPr>
      </w:pPr>
      <w:r w:rsidRPr="00242122">
        <w:rPr>
          <w:rFonts w:ascii="Arial" w:hAnsi="Arial" w:cs="Arial"/>
          <w:b/>
          <w:bCs/>
          <w:noProof/>
          <w:lang w:eastAsia="ro-RO"/>
        </w:rPr>
        <w:drawing>
          <wp:anchor distT="0" distB="0" distL="114300" distR="114300" simplePos="0" relativeHeight="251669504" behindDoc="1" locked="0" layoutInCell="1" allowOverlap="1" wp14:anchorId="7FAE6E67" wp14:editId="61CE5A3B">
            <wp:simplePos x="0" y="0"/>
            <wp:positionH relativeFrom="margin">
              <wp:posOffset>-24130</wp:posOffset>
            </wp:positionH>
            <wp:positionV relativeFrom="margin">
              <wp:posOffset>1042035</wp:posOffset>
            </wp:positionV>
            <wp:extent cx="5982335" cy="4391025"/>
            <wp:effectExtent l="19050" t="19050" r="18415" b="28575"/>
            <wp:wrapSquare wrapText="bothSides"/>
            <wp:docPr id="7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82335" cy="43910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2967F0" w:rsidRPr="00242122">
        <w:rPr>
          <w:rFonts w:ascii="Arial" w:hAnsi="Arial" w:cs="Arial"/>
          <w:i/>
          <w:iCs/>
        </w:rPr>
        <w:t>(Sursa datelor: Administrația Națională „Apele Române”, Planul Național de management actualizat 2021)</w:t>
      </w:r>
    </w:p>
    <w:p w:rsidR="002967F0" w:rsidRDefault="002967F0" w:rsidP="002967F0">
      <w:pPr>
        <w:spacing w:before="120" w:after="120" w:line="240" w:lineRule="auto"/>
        <w:ind w:right="-42"/>
        <w:jc w:val="both"/>
        <w:rPr>
          <w:rFonts w:ascii="Arial" w:hAnsi="Arial" w:cs="Arial"/>
          <w:sz w:val="24"/>
          <w:szCs w:val="24"/>
        </w:rPr>
      </w:pPr>
    </w:p>
    <w:p w:rsidR="00A50F51" w:rsidRDefault="00A50F51" w:rsidP="00822C3C">
      <w:pPr>
        <w:spacing w:before="120" w:after="120" w:line="240" w:lineRule="auto"/>
        <w:ind w:right="-42" w:firstLine="630"/>
        <w:jc w:val="both"/>
        <w:rPr>
          <w:rFonts w:ascii="Arial" w:hAnsi="Arial" w:cs="Arial"/>
          <w:sz w:val="24"/>
          <w:szCs w:val="24"/>
        </w:rPr>
      </w:pPr>
    </w:p>
    <w:p w:rsidR="00822C3C" w:rsidRPr="00242122" w:rsidRDefault="00822C3C" w:rsidP="00822C3C">
      <w:pPr>
        <w:spacing w:before="120" w:after="120" w:line="240" w:lineRule="auto"/>
        <w:ind w:right="-42" w:firstLine="630"/>
        <w:jc w:val="both"/>
        <w:rPr>
          <w:rFonts w:ascii="Arial" w:hAnsi="Arial" w:cs="Arial"/>
          <w:sz w:val="24"/>
          <w:szCs w:val="24"/>
        </w:rPr>
      </w:pPr>
      <w:r w:rsidRPr="00242122">
        <w:rPr>
          <w:rFonts w:ascii="Arial" w:hAnsi="Arial" w:cs="Arial"/>
          <w:sz w:val="24"/>
          <w:szCs w:val="24"/>
        </w:rPr>
        <w:t xml:space="preserve">Similar ciclurilor de planificare anterioare, se menţionează că principalele probleme de gospodărire a apelor, obiectivele de management, precum şi măsurile aferente stabilite la nivelul Districtului Hidrografic Internaţional al Dunării ce sunt prezentate în </w:t>
      </w:r>
      <w:r w:rsidRPr="00242122">
        <w:rPr>
          <w:rFonts w:ascii="Arial" w:hAnsi="Arial" w:cs="Arial"/>
          <w:i/>
          <w:sz w:val="24"/>
          <w:szCs w:val="24"/>
        </w:rPr>
        <w:t>Planul de Management actualizat 2021 al Districtului Hidrografic Internaţional al Dunării (partea A)</w:t>
      </w:r>
      <w:r w:rsidRPr="00242122">
        <w:rPr>
          <w:rFonts w:ascii="Arial" w:hAnsi="Arial" w:cs="Arial"/>
          <w:sz w:val="24"/>
          <w:szCs w:val="24"/>
        </w:rPr>
        <w:t xml:space="preserve"> sunt preluate la nivel naţional.</w:t>
      </w:r>
    </w:p>
    <w:p w:rsidR="00822C3C" w:rsidRDefault="00822C3C" w:rsidP="00822C3C">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În România, elaborarea strategiei şi politicii naţionale în domeniul gospodăririi apelor, asigurarea coordonării pentru aplicarea reglementărilor interne și internaţionale din acest domeniu se realizează de către Ministerul Mediului, Apelor și Pădurilor – Direcția Managementul Resurselor de Apă. Gestionarea cantitativă și calitativă a resurselor de apă, administrarea lucrărilor de gospodărire a apelor, precum și aplicarea </w:t>
      </w:r>
    </w:p>
    <w:p w:rsidR="002967F0" w:rsidRPr="00242122" w:rsidRDefault="002967F0" w:rsidP="00822C3C">
      <w:pPr>
        <w:spacing w:before="120" w:after="120" w:line="240" w:lineRule="auto"/>
        <w:jc w:val="both"/>
        <w:rPr>
          <w:rFonts w:ascii="Arial" w:hAnsi="Arial" w:cs="Arial"/>
          <w:sz w:val="24"/>
          <w:szCs w:val="24"/>
        </w:rPr>
      </w:pPr>
      <w:r w:rsidRPr="00242122">
        <w:rPr>
          <w:rFonts w:ascii="Arial" w:hAnsi="Arial" w:cs="Arial"/>
          <w:sz w:val="24"/>
          <w:szCs w:val="24"/>
        </w:rPr>
        <w:t>strategiei şi politicii naţionale, cu respectarea reglementărilor naţionale în domeniu, se realizează de Administraţia Naţională "Apele Române", prin Administraţiile Bazinale de Apă din subordinea acesteia. Cadrul legislativ pentru gestionarea durabilă a resurselor de apă este asigurat prin Legea Apelor nr.107/1996, cu modificările și completările ulterioare.</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În România conform Legii Apelor, Schema Directoare de Amenajare și Management ale Bazinelor Hidrografice este instrumentul principal de planificare, dezvoltare şi gestionare a resurselor de apă la nivelul districtului de bazin hidrografic şi este alcatuită </w:t>
      </w:r>
      <w:r w:rsidRPr="00242122">
        <w:rPr>
          <w:rFonts w:ascii="Arial" w:hAnsi="Arial" w:cs="Arial"/>
          <w:sz w:val="24"/>
          <w:szCs w:val="24"/>
        </w:rPr>
        <w:lastRenderedPageBreak/>
        <w:t>din Planul de amenajare a bazinului hidrografic (PABH) - componentă de gospodarire cantitativă şi Planul de management al bazinului hidrografic (PMBH) - componenta de gospodărire calitativă. Schemele Directoare de Amenajare și Management ale Bazinelor Hidrografice se întocmesc în conformitate cu Ordinul ministrului mediului şi gospodăririi apelor nr. 1.258/2006 care aprobă Metodologia şi Instrucţiunile tehnice de elaborare.</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Strategia şi politica naţională în domeniul gospodăririi apelor are drept scop realizarea unei politici de gospodărire durabilă a apelor prin asigurarea protecţiei cantitativă și calitativă a apelor, apărarea împotriva acţiunilor distructive ale apelor, precum și valorificarea potenţialului apelor în raport cu cerinţele dezvoltării durabile a societăţii şi în acord cu directivele europene în domeniul apelor. Având în vedere evoluția politicilor europene în domeniul managementului apelor, strategia de gospodărire a apelor este necesar a fi revizuită, procesul fiind în curs de realizare.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În prezent se urmăreşte gospodărirea durabilă a apelor pe baza aplicării legislaţiei Uniunii Europene şi în special a principiilor Directivei Cadru pentru Apă și Directivei Inundaţii, care au fost transpuse prin Legea Apelor 107/1996 cu modificările și completările ulterioare. În acest context, instrumentele de realizare a politicii şi strategiei în domeniul apelor includ Schema Directoare de Amenajare şi Management ale Bazinelor Hidrografice, managementul integrat al apelor pe bazine hidrografice și adaptarea capacităţii instituţionale la cerinţele managementului integrat. Pentru realizarea fiecărui obiectiv specific propus au fost planificate numeroase acţiuni. Unele dintre acestea au fost realizate până în prezent, altele sunt în curs de realizare sau vor fi realizate în etapa următoare.</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Acţiunile necesare pentru îmbunătăţirea stării apelor de suprafaţă şi a apelor subterane au fost stabilite în cadrul Planurilor de Management ale Bazinelor Hidrografice, ca parte a Planului de Management al districtului internaţional al Dunării, întocmit în conformitate cu prevederile Directivei Cadru Apa. Primele Planuri de Management ale bazinelor/spațiilor hidrografice, precum și Planul Naţional de Management, au fost aprobate prin H.G. nr. 80/26.01.2011 </w:t>
      </w:r>
      <w:r w:rsidRPr="00242122">
        <w:rPr>
          <w:rFonts w:ascii="Arial" w:hAnsi="Arial" w:cs="Arial"/>
          <w:i/>
          <w:sz w:val="24"/>
          <w:szCs w:val="24"/>
        </w:rPr>
        <w:t>pentru aprobarea Planului naţional de management aferent porţiunii din bazinul hidrografic internaţional al fluviului Dunărea care este cuprinsă în teritoriul României</w:t>
      </w:r>
      <w:r w:rsidRPr="00242122">
        <w:rPr>
          <w:rFonts w:ascii="Arial" w:hAnsi="Arial" w:cs="Arial"/>
          <w:sz w:val="24"/>
          <w:szCs w:val="24"/>
        </w:rPr>
        <w:t xml:space="preserve">, Monitorul Oficial nr. 265/14.04.2011. Conform ciclului de planificare următor de 6 ani, România a elaborat și făcut public la 22 decembrie 2014 proiectul Planului Național de Management aferent porţiunii din bazinul hidrografic internaţional al fluviului Dunărea care este cuprinsă în teritoriul României, pentru perioada 2016-2021. Ca și în cazul primului ciclu de planificare 2009-2015, în elaborarea proiectelor Planurilor de Management la nivel bazinal și național s-au luat în considerare recomandările ghidurilor și documentelor dezvoltate în cadrul Strategiei Comune de Implementare a Directivei Cadru Apă, precum și cerințele formulate în Ghidul de raportare a Directivei Cadru Apă 2016, elaborat de Comisia Europeană împreună cu Statele Membre în anul 2014. </w:t>
      </w:r>
    </w:p>
    <w:p w:rsidR="002967F0" w:rsidRPr="00242122" w:rsidRDefault="002967F0" w:rsidP="002967F0">
      <w:pPr>
        <w:spacing w:before="120" w:after="120" w:line="240" w:lineRule="auto"/>
        <w:ind w:firstLine="567"/>
        <w:jc w:val="both"/>
        <w:rPr>
          <w:rFonts w:ascii="Arial" w:hAnsi="Arial" w:cs="Arial"/>
          <w:b/>
          <w:i/>
          <w:sz w:val="24"/>
          <w:szCs w:val="24"/>
        </w:rPr>
      </w:pPr>
      <w:r w:rsidRPr="00242122">
        <w:rPr>
          <w:rFonts w:ascii="Arial" w:hAnsi="Arial" w:cs="Arial"/>
          <w:sz w:val="24"/>
          <w:szCs w:val="24"/>
        </w:rPr>
        <w:t xml:space="preserve">La sfârşitul anului 2015, cele 11 Planuri de Management Bazinale, au fost avizate de către Comitetele de Bazin, și au fost publicate la 22 decembrie 2015 pe website-urile Administraţiilor Bazinale de Apă și al Administrației Naționale ”Apele Române”, în conformitate cu prevederile Directivei Cadru Apă. Planul Naţional de Management aferent porţiunii româneşti a bazinului hidrografic internaţional al fluviului Dunărea, precum și cele 11 Planuri de management ale bazinelor hidrografice, elaborate în conformitate cu cerinţele art. 13 al  Directivei Cadru Apă 2000/60/CE, au fost actualizate și aprobate prin </w:t>
      </w:r>
      <w:r w:rsidRPr="00242122">
        <w:rPr>
          <w:rFonts w:ascii="Arial" w:hAnsi="Arial" w:cs="Arial"/>
          <w:b/>
          <w:i/>
          <w:sz w:val="24"/>
          <w:szCs w:val="24"/>
        </w:rPr>
        <w:t xml:space="preserve">Hotărârea de Guvern nr. 859 din 16 noiembrie 2016 pentru aprobarea Planului naţional de management actualizat aferent porţiunii din bazinul hidrografic internaţional al fluviului Dunărea care este cuprinsă în teritoriul României și publicat în Monitorul Oficial nr. 1.004 din 14 decembrie 2016.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lastRenderedPageBreak/>
        <w:t>Planul  Naţional de Management actualizat aferent porţiunii româneşti a bazinului hidrografic internaţional al fluviului Dunărea a fost raportat în Sistemul European Informatic pentru Apă (WISE) și anvelopa de raportare a fost închisă (via Agenţia Europeană de Mediu - Reportnet) la data de 16 decembrie 2016. Versiunea finală a planului de management se regăsește  la adresa:  https://rowater.ro/wp-content/uploads/2020/12/Planul-National-de-Management-actualizat.pdf</w:t>
      </w:r>
    </w:p>
    <w:p w:rsidR="002967F0" w:rsidRPr="00242122" w:rsidRDefault="002967F0" w:rsidP="002967F0">
      <w:pPr>
        <w:spacing w:before="120" w:after="120" w:line="240" w:lineRule="auto"/>
        <w:ind w:firstLine="720"/>
        <w:jc w:val="both"/>
        <w:rPr>
          <w:rFonts w:ascii="Arial" w:hAnsi="Arial" w:cs="Arial"/>
          <w:sz w:val="24"/>
          <w:szCs w:val="24"/>
        </w:rPr>
      </w:pPr>
      <w:r w:rsidRPr="00242122">
        <w:rPr>
          <w:rFonts w:ascii="Arial" w:hAnsi="Arial" w:cs="Arial"/>
          <w:sz w:val="24"/>
          <w:szCs w:val="24"/>
        </w:rPr>
        <w:t xml:space="preserve">Pentru următorul ciclu de planificare de 6 ani a fost pregătit </w:t>
      </w:r>
      <w:r w:rsidRPr="00242122">
        <w:rPr>
          <w:rFonts w:ascii="Arial" w:hAnsi="Arial" w:cs="Arial"/>
          <w:b/>
          <w:bCs/>
          <w:sz w:val="24"/>
          <w:szCs w:val="24"/>
        </w:rPr>
        <w:t>Planul Național de Management actualizat 2021 aferent porţiunii din bazinul hidrografic internaţional al fluviului Dunărea care este cuprinsă în teritoriul României</w:t>
      </w:r>
      <w:r w:rsidRPr="00242122">
        <w:rPr>
          <w:rFonts w:ascii="Arial" w:hAnsi="Arial" w:cs="Arial"/>
          <w:sz w:val="24"/>
          <w:szCs w:val="24"/>
        </w:rPr>
        <w:t xml:space="preserve"> (denumit în continuare Planul Național de Management actualizat 2021) care este realizat în conformitate cu prevederile legale europene și naționale. Ca și în cazul primului și celui de-al doilea ciclu de planificare, în elaborarea Planurilor de Management actualizate 2021 la nivel bazinal și național s-au luat în considerare recomandările ghidurilor și documentelor dezvoltate în cadrul Strategiei Comune de Implementare a Directivei Cadru Apă și de recomandările Comisiei Europene din raportul privind evaluarea celui de-al doilea plan de management. De asemenea, s-a ținut cont inclusiv de cerințele formulate în Ghidul de raportare a Directivei Cadru Apă 2022, elaborat de Comisia Europeană împreună cu Statele Membre.</w:t>
      </w:r>
      <w:r w:rsidRPr="00242122">
        <w:rPr>
          <w:rFonts w:ascii="Arial" w:hAnsi="Arial" w:cs="Arial"/>
        </w:rPr>
        <w:t xml:space="preserve"> </w:t>
      </w:r>
      <w:r w:rsidRPr="00242122">
        <w:rPr>
          <w:rFonts w:ascii="Arial" w:hAnsi="Arial" w:cs="Arial"/>
          <w:sz w:val="24"/>
          <w:szCs w:val="24"/>
        </w:rPr>
        <w:t>În comparație cu planurile precedente, Planul de Management actualizat 2021 conține date și informații actualizate, precum și dezvoltări/îmbunătățiri ale metodologiilor utilizate și ale rezultatelor obținute și care sunt prezentate în cadrul capitolelor respective.</w:t>
      </w:r>
    </w:p>
    <w:p w:rsidR="002967F0" w:rsidRPr="00242122" w:rsidRDefault="002967F0" w:rsidP="002967F0">
      <w:pPr>
        <w:spacing w:before="120" w:after="120" w:line="240" w:lineRule="auto"/>
        <w:ind w:firstLine="708"/>
        <w:jc w:val="both"/>
        <w:rPr>
          <w:rFonts w:ascii="Arial" w:hAnsi="Arial" w:cs="Arial"/>
          <w:sz w:val="24"/>
          <w:szCs w:val="24"/>
        </w:rPr>
      </w:pPr>
      <w:r w:rsidRPr="00242122">
        <w:rPr>
          <w:rFonts w:ascii="Arial" w:hAnsi="Arial" w:cs="Arial"/>
          <w:sz w:val="24"/>
          <w:szCs w:val="24"/>
        </w:rPr>
        <w:t xml:space="preserve">În conformitate cu Calendarul şi programul de lucru privind activităţile de participare a publicului în scopul realizării celui de-al 3-lea plan de management al bazinului/spaţiului hidrografic și celui de-al 2-lea plan de management al riscului la inundații (actualizat decembrie 2020), consultarea publicului cu privire la proiectele Planurilor de Management actualizate ale bazinelor/spațiilor hidrografice şi a proiectului Planului Naţional de Management actualizat s-a realizat în perioada 30 iunie  - 30 decembrie 2021). Proiectul Planul Național de Management actualizat 2021 este publicat la următorul link: </w:t>
      </w:r>
      <w:hyperlink r:id="rId98" w:history="1">
        <w:r w:rsidRPr="00242122">
          <w:rPr>
            <w:rStyle w:val="Hyperlink"/>
            <w:rFonts w:ascii="Arial" w:hAnsi="Arial" w:cs="Arial"/>
            <w:sz w:val="24"/>
            <w:szCs w:val="24"/>
          </w:rPr>
          <w:t>https://rowater.ro/despre-noi/descrierea-activitatii/managementul-european-integrat-resurse-de-apa/planurile-de-management-ale-bazinelor-hidrografice/planuri-de-management-nationale/</w:t>
        </w:r>
      </w:hyperlink>
      <w:r w:rsidRPr="00242122">
        <w:rPr>
          <w:rFonts w:ascii="Arial" w:hAnsi="Arial" w:cs="Arial"/>
          <w:sz w:val="24"/>
          <w:szCs w:val="24"/>
        </w:rPr>
        <w:t>.</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Revizuirea proiectelor Planurilor de Management actualizate ale bazinelor/spațiilor hidrografice şi a proiectului Planului Naţional de Management se realiează având în vedere și parcurgerea procedurii de aprobare și publicare. Ca și în cazul planurilor de management precedente, și al treilea Plan de Management va fi supus procedurii de Evaluare Strategică de Mediu (SEA) şi de obţinere a avizului de mediu în vederea aprobării acestuia prin Hotărâre de Guvern.</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Prin implementarea şi monitorizarea programelor de măsuri se vor atinge obiectivele de mediu pentru corpurile de apă, respectiv starea ecologică bună și potenţialul ecologic bun. În vederea evaluării stadiului implementării programului de măsuri stabilit în cadrul Planurilor de Management ale bazinelor/spațiilor hidrografice (2016-2021) s-a avut în vederea realizarea măsurilor de bază și suplimentare prevăzute în anexele Planului Național de Management actualizat aprobat prin HG nr. 859/2016, cu termene planificate de realizare a măsurilor în perioada 2016-2020.. De asemenea, au fost luate în considerare și măsurile care erau planificate să se realizeze după anul 2021 și care au început să se implementeze în avans.</w:t>
      </w:r>
      <w:r w:rsidRPr="00242122" w:rsidDel="00CF6224">
        <w:rPr>
          <w:rFonts w:ascii="Arial" w:hAnsi="Arial" w:cs="Arial"/>
          <w:sz w:val="24"/>
          <w:szCs w:val="24"/>
        </w:rPr>
        <w:t xml:space="preserve">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În perioada 2016-2021 au fost realizate măsuri pentru reducerea presiunilor, cu precădere măsuri  de bază (art. 11.3.a) pentru aglomerări umane (apă potabilă, apă uzată, nămoluri de la stațiile de epurare urbane) și pentru activitățile industriale și agro-zootehnice, precum și alte măsuri de bază (art. 11.3b-l) referitoare la aplicarea recuperării costurilor pentru servicii de apă, reglementarea/autorizarea, controlul și monitorizarea </w:t>
      </w:r>
      <w:r w:rsidRPr="00242122">
        <w:rPr>
          <w:rFonts w:ascii="Arial" w:hAnsi="Arial" w:cs="Arial"/>
          <w:sz w:val="24"/>
          <w:szCs w:val="24"/>
        </w:rPr>
        <w:lastRenderedPageBreak/>
        <w:t>surselor semnificative de poluare și a alterărilor hidromorfologice.. De asemenea, o serie de măsuri suplimentare planificate au fost realizate până în 2020 sau sunt în curs de implementare până la sfârșitul anului 2021.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În vederea atingerii obiectivelor de mediu și menținerii stării bune a corpurilor de apă de suprafață și subterane, în perioada 2022-2027 se continuă implementarea măsurilor</w:t>
      </w:r>
      <w:r w:rsidRPr="00242122">
        <w:rPr>
          <w:rFonts w:ascii="Arial" w:hAnsi="Arial" w:cs="Arial"/>
        </w:rPr>
        <w:t xml:space="preserve"> </w:t>
      </w:r>
      <w:r w:rsidRPr="00242122">
        <w:rPr>
          <w:rFonts w:ascii="Arial" w:hAnsi="Arial" w:cs="Arial"/>
          <w:sz w:val="24"/>
          <w:szCs w:val="24"/>
        </w:rPr>
        <w:t>de bază</w:t>
      </w:r>
      <w:r w:rsidRPr="00242122">
        <w:rPr>
          <w:rFonts w:ascii="Arial" w:hAnsi="Arial" w:cs="Arial"/>
          <w:b/>
          <w:sz w:val="24"/>
          <w:szCs w:val="24"/>
        </w:rPr>
        <w:t xml:space="preserve"> </w:t>
      </w:r>
      <w:r w:rsidRPr="00242122">
        <w:rPr>
          <w:rFonts w:ascii="Arial" w:hAnsi="Arial" w:cs="Arial"/>
          <w:sz w:val="24"/>
          <w:szCs w:val="24"/>
        </w:rPr>
        <w:t>și suplimentare pentru aglomerările umane, activitățile industriale și agricole, precum și pentru alterările hidromorfologice, al căror termen de realizare este perioada 2022-2027. Tipurile de măsuri sunt similare cu cele implementate pe parcursul celui de-al doilea ciclu de planificare, respectiv în principal măsuri pentru implementarea cerințelor directivelor europene, la care sunt adăugate noi tipuri de măsuri recomandate de Comisia Europeană în ghidurile Strategiei comune pentru implementarea Directivei cadru Apă (CIS WFD): măsuri de stocare naturală a apelor (NWRM), măsuri de reducere a pierderilor de apă, măsuri de reutilizare a apelor, măsuri în contextul schimbărilor climatice, etc.</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Inundațiile reprezintă o amenințare la siguranța și sănătatea umană. </w:t>
      </w:r>
      <w:r w:rsidRPr="00242122">
        <w:rPr>
          <w:rFonts w:ascii="Arial" w:hAnsi="Arial" w:cs="Arial"/>
          <w:b/>
          <w:bCs/>
          <w:sz w:val="24"/>
          <w:szCs w:val="24"/>
        </w:rPr>
        <w:t>Directiva 2007/60/CE privind evaluarea și gestionarea riscului la inundații</w:t>
      </w:r>
      <w:r w:rsidRPr="00242122">
        <w:rPr>
          <w:rFonts w:ascii="Arial" w:hAnsi="Arial" w:cs="Arial"/>
          <w:sz w:val="24"/>
          <w:szCs w:val="24"/>
        </w:rPr>
        <w:t xml:space="preserve"> și programul de acțiune al ICPDR cu privire la apărarea împotriva inundațiilor au stabilit cadrul pentru managementul inundațiilor în bazinul Dunării. </w:t>
      </w:r>
      <w:r w:rsidRPr="00242122">
        <w:rPr>
          <w:rFonts w:ascii="Arial" w:hAnsi="Arial" w:cs="Arial"/>
          <w:bCs/>
          <w:iCs/>
          <w:sz w:val="24"/>
          <w:szCs w:val="24"/>
        </w:rPr>
        <w:t xml:space="preserve">Directiva Inundații </w:t>
      </w:r>
      <w:r w:rsidRPr="00242122">
        <w:rPr>
          <w:rFonts w:ascii="Arial" w:hAnsi="Arial" w:cs="Arial"/>
          <w:sz w:val="24"/>
          <w:szCs w:val="24"/>
        </w:rPr>
        <w:t xml:space="preserve">este al doilea pilon de bază al legislației europene în domeniul apelor și </w:t>
      </w:r>
      <w:r w:rsidRPr="00242122">
        <w:rPr>
          <w:rFonts w:ascii="Arial" w:hAnsi="Arial" w:cs="Arial"/>
          <w:bCs/>
          <w:iCs/>
          <w:sz w:val="24"/>
          <w:szCs w:val="24"/>
        </w:rPr>
        <w:t>are ca obiectiv reducerea riscurilor şi a consecinţelor negative pe care le au inundaţiile în Statele Membre.</w:t>
      </w:r>
      <w:r w:rsidRPr="00242122">
        <w:rPr>
          <w:rFonts w:ascii="Arial" w:hAnsi="Arial" w:cs="Arial"/>
          <w:sz w:val="24"/>
          <w:szCs w:val="24"/>
        </w:rPr>
        <w:t xml:space="preserve"> Instrumentul de implementare al Directivei Inundații, reglementat prin articolul 7 este reprezentat de </w:t>
      </w:r>
      <w:r w:rsidRPr="00242122">
        <w:rPr>
          <w:rFonts w:ascii="Arial" w:hAnsi="Arial" w:cs="Arial"/>
          <w:i/>
          <w:sz w:val="24"/>
          <w:szCs w:val="24"/>
        </w:rPr>
        <w:t>Planul de Management al Riscului la Inundații</w:t>
      </w:r>
      <w:r w:rsidRPr="00242122">
        <w:rPr>
          <w:rFonts w:ascii="Arial" w:hAnsi="Arial" w:cs="Arial"/>
          <w:sz w:val="24"/>
          <w:szCs w:val="24"/>
        </w:rPr>
        <w:t xml:space="preserve"> (PMRI) și constituie una din componentele de gestionare cantitativă a resurselor de apă. El are ca scop fundamentarea măsurilor, acţiunilor, soluţiilor şi lucrărilor pentru diminuarea efectelor potențiale negative ale inundațiilor privind sănătatea umană, mediu, patrimoniul cultural și activitatea economică, prin măsuri structurale și nestructurale.</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La nivel național prevederile Directivei Inundații au fost transpuse în legislația națională prin modificarea și completarea Legii Apelor. Primul Plan de management al riscului la inundații aferent celor 11 administrații bazinale de apă și fluviului Dunărea de pe teritoriul României a fost aprobat prin HG nr. 972/2016.</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Deși în conformitate cu prevederile legislative naționale Planurile de Management al Riscului la Inundații sunt elaborate și aprobate ca documente separate, sunt realizate corelări între cele 2 tipuri de planuri (PMBH, PMRI). Măsurile pentru protecția împotriva  inundațiilor pot afecta starea apelor de suprafață (ex. diguri și poldere), însă unele măsuri pot sprijini atingerea obiectivelor Directivei Inundații, cât și ale Directivei Cadru Apă (de ex. prin reconectarea zonelor umede adiacente și a luncii inundabile). Pentru a asigura cele mai bune soluții posibile, este necesară o elaborare coordonată a celui de-al treilea plan de Management și al doilea Plan de management al riscului la inundații până în anul 2021.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În vederea stabilirii acţiunilor concrete pentru implementarea Directivei 60/2007 privind evaluarea şi gestionarea riscurilor la inundaţii, s-a elaborat Strategia naţională de management al riscului la inundaţii pe termen mediu si lung, aprobată prin H.G.  nr. 846/2010. Strategia are ca obiectiv principal prevenirea şi reducerea consecinţelor inundaţiilor asupra vieţii şi sănătăţii oamenilor, activităţilor socio-economice şi a mediului. Pe baza Strategiei Naționale de Management al Riscului la Inundații s-au elaborat Planurile pentru Prevenirea, Protecția și Diminuarea Efectelor Inundațiilor (PPPDEI), conform cerințelor Directivei 2007/60/CE  (Directiva Inundații), în scopul reducerii riscului de producere a dezastrelor naturale (inundaţii) cu efect asupra populației, prin implementarea măsurilor preventive în cele mai vulnerabile zone, pe termen mediu (2020). Pe baza acestora se vor actualiza/dezvolta Planurile de Amenajare ale bazinelor </w:t>
      </w:r>
      <w:r w:rsidRPr="00242122">
        <w:rPr>
          <w:rFonts w:ascii="Arial" w:hAnsi="Arial" w:cs="Arial"/>
          <w:sz w:val="24"/>
          <w:szCs w:val="24"/>
        </w:rPr>
        <w:lastRenderedPageBreak/>
        <w:t xml:space="preserve">hidrografice şi Planurile de Management al Riscului la Inundaţii. De asemenea, </w:t>
      </w:r>
      <w:r w:rsidRPr="00242122">
        <w:rPr>
          <w:rFonts w:ascii="Arial" w:hAnsi="Arial" w:cs="Arial"/>
          <w:b/>
          <w:bCs/>
          <w:sz w:val="24"/>
          <w:szCs w:val="24"/>
        </w:rPr>
        <w:t>Strategia naţională de management al riscului la inundaţii pe termen mediu si lung</w:t>
      </w:r>
      <w:r w:rsidRPr="00242122">
        <w:rPr>
          <w:rFonts w:ascii="Arial" w:hAnsi="Arial" w:cs="Arial"/>
          <w:sz w:val="24"/>
          <w:szCs w:val="24"/>
        </w:rPr>
        <w:t xml:space="preserve"> (SNMRI) promovează aplicarea măsurilor de restaurare a zonelor naturale inundabile în scopul reactivării capacităţii zonelor umede şi a luncilor inundabile de a reţine apa şi de a diminua impactul inundaţiilor, respectiv păstrarea zonelor inundabile actuale, cu vulnerabilitate scăzută, pentru atenuarea naturală a undelor de viitură, cu respectarea principiilor strategiei.</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Având în vedere implementarea SNMRI, menționăm că se află în derulare proiectul „Întărirea capacității autorității publice centrale în domeniul managementului apelor în scopul implementării Strategiei Naționale de Management al Riscului la Inundații (SNMRI) pe termen mediu și lung”. Obiectivul general al proiectului îl constituie fundamentarea și sprijinirea măsurilor de implementare ce vizează adaptarea structurilor, optimizarea proceselor și pregătirea resurselor umane necesare îndeplinirii obligațiilor asumate prin Legea Apelor nr. 107/1996 cu modificările și completările ulterioare, a HG 846/2010 privind aprobarea Strategiei Naționale de Management al Riscului la Inundații pe termen mediu și lung, a HG 972/2016 privind aprobarea Planurilor de Management al Riscului la Inundații, precum și a cerințelor Directivei 2007/60/EC privind evaluarea și gestionarea riscului la inundații în scopul consolidării capacității autorităților și instituțiilor publice din domeniul gospodăririi apelor și al managementului riscului la inundații.</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Rezultatele proiectului constituie fundamentul deciziilor strategice ce vizează reducerea riscurilor de dezastre și, implicit, creșterea siguranței cetățeanului și a mediului de afaceri. Totodată se urmărește optimizarea cadrului legal și instituțional, identificarea suprapunerilor legislative dar și a lipsurilor legislatiei din domeniul managementului riscurilor, stabilirea rolurilor și competențelor autorităților publice centrale și locale. Termenul de finalizare al proiectului este Martie 2023.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În prezent este în curs de pregătire cel de-al doilea Plan de management al riscului la inundații 2021. Acesta se va realiza în cadrul proiectului finanțat prin POCA 2014-2020 </w:t>
      </w:r>
      <w:r w:rsidRPr="00242122">
        <w:rPr>
          <w:rFonts w:ascii="Arial" w:hAnsi="Arial" w:cs="Arial"/>
          <w:i/>
          <w:iCs/>
          <w:sz w:val="24"/>
          <w:szCs w:val="24"/>
        </w:rPr>
        <w:t>„Întărirea capacității autorității publice centrale în domeniul apelor în scopul implementării etapelor a 2-a și a 3-a ale Ciclului II al Directivei Inundații – RO-FLOODS</w:t>
      </w:r>
      <w:r w:rsidRPr="00242122">
        <w:rPr>
          <w:rFonts w:ascii="Arial" w:hAnsi="Arial" w:cs="Arial"/>
          <w:sz w:val="24"/>
          <w:szCs w:val="24"/>
        </w:rPr>
        <w:t xml:space="preserve">”, lider de proiect fiind MMAP, ANAR participând în calitate de partener. Proiectul se desfășoară cu asistență tehnică din cadrul Băncii Mondiale.  </w:t>
      </w:r>
    </w:p>
    <w:p w:rsidR="002967F0" w:rsidRPr="00242122" w:rsidRDefault="002967F0" w:rsidP="002967F0">
      <w:pPr>
        <w:spacing w:before="120" w:after="120" w:line="240" w:lineRule="auto"/>
        <w:jc w:val="both"/>
        <w:rPr>
          <w:rFonts w:ascii="Arial" w:hAnsi="Arial" w:cs="Arial"/>
          <w:sz w:val="24"/>
          <w:szCs w:val="24"/>
        </w:rPr>
      </w:pPr>
      <w:r w:rsidRPr="00242122">
        <w:rPr>
          <w:rFonts w:ascii="Arial" w:hAnsi="Arial" w:cs="Arial"/>
          <w:sz w:val="24"/>
          <w:szCs w:val="24"/>
        </w:rPr>
        <w:t xml:space="preserve">De asemenea, proiectul RO-FLOODS va contribui esențial la atingerea țintelor stabilite și identificate în cadrul Strategiei de Management al Riscului la Inundații, în cadrul proiectului finanțat prin POCA 2014-2020 </w:t>
      </w:r>
      <w:r w:rsidRPr="00242122">
        <w:rPr>
          <w:rFonts w:ascii="Arial" w:hAnsi="Arial" w:cs="Arial"/>
          <w:i/>
          <w:iCs/>
          <w:sz w:val="24"/>
          <w:szCs w:val="24"/>
        </w:rPr>
        <w:t>„Întărirea capacității autorității publice centrale în domeniul managementului apelor în scopul implementării Strategiei Naționale de Management la Inundații (SNMRI) pe termen mediu și lung</w:t>
      </w:r>
      <w:r w:rsidRPr="00242122">
        <w:rPr>
          <w:rFonts w:ascii="Arial" w:hAnsi="Arial" w:cs="Arial"/>
          <w:sz w:val="24"/>
          <w:szCs w:val="24"/>
        </w:rPr>
        <w:t>”. În cadrul proiectului se va elabora o nouă Strategie privind managementul riscului la inundații.</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În vederea realizării obiectivelor strategice anuale, Guvernul României elaborează și implementează Planul de acţiuni pentru implementarea Programului Naţional de Reformă (PNR) și a Recomandărilor Specifice de Ţară (RST). Programul Naţional de Reformă (PNR) constituie o platformă-cadru pentru definirea priorităţilor de dezvoltare care ghidează evoluţia României până în anul 2020, în vederea atingerii obiectivelor Strategiei Europa 2020, dar şi pentru definirea unor reforme structurale care să răspundă provocărilor identificate de Comisia Europeană pentru România. PNR 2017 a fost elaborat în conformitate cu orientările europene, cu priorităţile stabilite prin Analiza Anuală a Creşterii 2017 (AAC)</w:t>
      </w:r>
      <w:r w:rsidRPr="00242122">
        <w:rPr>
          <w:rStyle w:val="FootnoteReference"/>
          <w:rFonts w:ascii="Arial" w:hAnsi="Arial" w:cs="Arial"/>
          <w:sz w:val="24"/>
          <w:szCs w:val="24"/>
        </w:rPr>
        <w:footnoteReference w:id="8"/>
      </w:r>
      <w:r w:rsidRPr="00242122">
        <w:rPr>
          <w:rFonts w:ascii="Arial" w:hAnsi="Arial" w:cs="Arial"/>
          <w:sz w:val="24"/>
          <w:szCs w:val="24"/>
        </w:rPr>
        <w:t xml:space="preserve">, fiind luate în considerare Recomandările Specifice de </w:t>
      </w:r>
      <w:r w:rsidRPr="00242122">
        <w:rPr>
          <w:rFonts w:ascii="Arial" w:hAnsi="Arial" w:cs="Arial"/>
          <w:sz w:val="24"/>
          <w:szCs w:val="24"/>
        </w:rPr>
        <w:lastRenderedPageBreak/>
        <w:t>Ţară 2016 (RST)</w:t>
      </w:r>
      <w:r w:rsidRPr="00242122">
        <w:rPr>
          <w:rStyle w:val="FootnoteReference"/>
          <w:rFonts w:ascii="Arial" w:hAnsi="Arial" w:cs="Arial"/>
          <w:sz w:val="24"/>
          <w:szCs w:val="24"/>
        </w:rPr>
        <w:footnoteReference w:id="9"/>
      </w:r>
      <w:r w:rsidRPr="00242122">
        <w:rPr>
          <w:rFonts w:ascii="Arial" w:hAnsi="Arial" w:cs="Arial"/>
          <w:sz w:val="24"/>
          <w:szCs w:val="24"/>
        </w:rPr>
        <w:t>, precum şi Raportul de ţară al României din 2017</w:t>
      </w:r>
      <w:r w:rsidRPr="00242122">
        <w:rPr>
          <w:rStyle w:val="FootnoteReference"/>
          <w:rFonts w:ascii="Arial" w:hAnsi="Arial" w:cs="Arial"/>
          <w:sz w:val="24"/>
          <w:szCs w:val="24"/>
        </w:rPr>
        <w:footnoteReference w:id="10"/>
      </w:r>
      <w:r w:rsidRPr="00242122">
        <w:rPr>
          <w:rFonts w:ascii="Arial" w:hAnsi="Arial" w:cs="Arial"/>
          <w:sz w:val="24"/>
          <w:szCs w:val="24"/>
        </w:rPr>
        <w:t xml:space="preserve">. În ceea ce privește managementul apelor, în PNR 2017 sunt monitorizate cu atenție aspectele referitoare la protecţia resurselor de apă, realizarea şi reabilitarea staţiilor de tratare, canalizare şi a staţiilor de epurare, precum și îmbunătăţirea sistemelor de protecţie împotriva riscului de inundaţii.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b/>
          <w:bCs/>
          <w:sz w:val="24"/>
          <w:szCs w:val="24"/>
        </w:rPr>
        <w:t>Directiva 2008/56/CE de instituire a unui cadru de acţiune comunitară în domeniul politicii privind mediul marin</w:t>
      </w:r>
      <w:r w:rsidRPr="00242122">
        <w:rPr>
          <w:rFonts w:ascii="Arial" w:hAnsi="Arial" w:cs="Arial"/>
          <w:sz w:val="24"/>
          <w:szCs w:val="24"/>
        </w:rPr>
        <w:t xml:space="preserve"> (Directiva-Cadru „Strategia pentru mediul marin”) are scopul de a proteja mai eficient mediul marin în Europa, cu obiectivul de a obține o stare bună a apelor marine ale UE până în anul 2020. Acțiunile întreprinse în cadrul districtul bazinului hidrografic al Dunării vor reduce poluarea din sursele continentale și vor proteja ecosistemele din apele costiere și tranzitorii ale regiunii Mării Negre. Directiva Cadru Apă și Directiva Cadru Strategia pentru Mediul Marin sunt strâns interconectate, ceea ce necesită o coordonare a activităților aferente.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În conformitate cu cerințele Directivei, transpusă prin  Ordonanța de Urgență nr. 71 din 30 iunie 2010, cu modificările şi completările ulterioare aduse de Legea nr. 6/2011 și Legea nr. 205/2013, statele membre trebuie să identifice și să pună în aplicare măsurile necesare menținerii și atingerii “Stării bune de mediu” în cadrul mediului marin. Aceste măsuri sunt necesar a fi elaborate pe baza evaluării inițiale a mediului marin și ținând cont de obiectivele de mediu.</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La nivel național, măsurile propuse în cadrul </w:t>
      </w:r>
      <w:r w:rsidRPr="00242122">
        <w:rPr>
          <w:rFonts w:ascii="Arial" w:hAnsi="Arial" w:cs="Arial"/>
          <w:i/>
          <w:sz w:val="24"/>
          <w:szCs w:val="24"/>
        </w:rPr>
        <w:t xml:space="preserve">Planului de Management al </w:t>
      </w:r>
      <w:r w:rsidRPr="00242122">
        <w:rPr>
          <w:rFonts w:ascii="Arial" w:hAnsi="Arial" w:cs="Arial"/>
          <w:bCs/>
          <w:i/>
          <w:iCs/>
          <w:sz w:val="24"/>
          <w:szCs w:val="24"/>
        </w:rPr>
        <w:t>fluviului Dunărea, Deltei Dunării, Spaţiului hidrografic Dobrogea şi Apelor Costiere</w:t>
      </w:r>
      <w:r w:rsidRPr="00242122">
        <w:rPr>
          <w:rFonts w:ascii="Arial" w:hAnsi="Arial" w:cs="Arial"/>
          <w:sz w:val="24"/>
          <w:szCs w:val="24"/>
        </w:rPr>
        <w:t>, pentru implementarea cerințelor Directivei Cadru Apă 2000/60/CE, respectiv măsurile care se adresează poluării corpurilor de apă costiere și tranzitorii</w:t>
      </w:r>
      <w:r w:rsidRPr="00242122">
        <w:rPr>
          <w:rFonts w:ascii="Arial" w:hAnsi="Arial" w:cs="Arial"/>
        </w:rPr>
        <w:t xml:space="preserve"> </w:t>
      </w:r>
      <w:r w:rsidRPr="00242122">
        <w:rPr>
          <w:rFonts w:ascii="Arial" w:hAnsi="Arial" w:cs="Arial"/>
          <w:sz w:val="24"/>
          <w:szCs w:val="24"/>
        </w:rPr>
        <w:t xml:space="preserve">cu substanțe periculoase, nutrienți și substanțe organice din surse punctiforme sau difuze, vor face parte integrantă din </w:t>
      </w:r>
      <w:r w:rsidRPr="00242122">
        <w:rPr>
          <w:rFonts w:ascii="Arial" w:hAnsi="Arial" w:cs="Arial"/>
          <w:i/>
          <w:sz w:val="24"/>
          <w:szCs w:val="24"/>
        </w:rPr>
        <w:t xml:space="preserve">Programul de Măsuri </w:t>
      </w:r>
      <w:r w:rsidRPr="00242122">
        <w:rPr>
          <w:rFonts w:ascii="Arial" w:hAnsi="Arial" w:cs="Arial"/>
          <w:i/>
          <w:iCs/>
          <w:sz w:val="24"/>
          <w:szCs w:val="24"/>
        </w:rPr>
        <w:t xml:space="preserve">actualizat </w:t>
      </w:r>
      <w:r w:rsidRPr="00242122">
        <w:rPr>
          <w:rFonts w:ascii="Arial" w:hAnsi="Arial" w:cs="Arial"/>
          <w:i/>
          <w:sz w:val="24"/>
          <w:szCs w:val="24"/>
        </w:rPr>
        <w:t>aferent</w:t>
      </w:r>
      <w:r w:rsidRPr="00242122">
        <w:rPr>
          <w:rFonts w:ascii="Arial" w:hAnsi="Arial" w:cs="Arial"/>
          <w:sz w:val="24"/>
          <w:szCs w:val="24"/>
        </w:rPr>
        <w:t xml:space="preserve"> implementării Directivei Cadru Strategia pentru Mediul Marin.</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În perioada 2019-2022, Administrația Națională „Apele Române” (ANAR) participă, în calitate de partener, alături de liderul de proiect Ministerul Mediului, Apelor și Pădurilor, la realizarea proiectului „Îmbunătățirea capacității autorității publice centrale în domeniul protecției mediului marin în ceea ce privește monitorizarea, evaluarea, planificarea, implementarea și raportarea cerințelor stabilite în Directiva Cadru Strategia Marină și pentru gospodărirea integrată a zonei costiere”, co-finanțat prin Programul Operațional Capacitate Administrativă 2014-2020 (POCA), cod SIPOCA 608.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 Obiectivul general al proiectului îl constituie fundamentarea și sprijinirea măsurilor de implementare ce vizează adaptarea structurilor, optimizarea proceselor și pregătirea resurselor umane necesare îndeplinirii obligațiilor asumate prin Legea Apelor nr. 107/1996 cu modificările și completările ulterioare, a HG 846/2010 privind aprobarea Strategiei Naționale de Management al Riscului la Inundații pe termen mediu și lung, a HG 972/2016 privind aprobarea Planurilor de Management al Riscului la Inundații, precum și a cerințelor Directivei 2007/60/EC privind evaluarea și gestionarea riscului la inundații în scopul consolidării capacității autorităților și instituțiilor publice din domeniul gospodăririi apelor și al managementului riscului la inundații.</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 De asemenea, se vizează completarea lipsurilor în legatură cu implementarea cerințelor directivei identificate în rapoartele de evaluare conform art.12 (ciclul I de raportare încheiat în 2012 și ciclul II încheiat în 2018) într-un mod etapizat în relație cu posibilitățile tehnice, instituționale și organizatorice dezvoltate pe parcurs. Experiența implementării cerințelor directivei în România face dovada concretă a necesității unui </w:t>
      </w:r>
      <w:r w:rsidRPr="00242122">
        <w:rPr>
          <w:rFonts w:ascii="Arial" w:hAnsi="Arial" w:cs="Arial"/>
          <w:sz w:val="24"/>
          <w:szCs w:val="24"/>
        </w:rPr>
        <w:lastRenderedPageBreak/>
        <w:t>proces continuu în care dialogul dintre Comisia Europeană și Statele Membre ajută la îmbunătățiri permanente ale abordărilor pentru noile criterii ale fiecărui descriptor.</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Ca și rezultate finale, se are în vedere elaborarea unui program de măsuri pentru atingerea obiectivelor Directivei-cadru Strategia pentru mediul marin, respectiv atingerea stării ecologice bune a Mării Negre; a unei Strategii naționale privind gospodărirea integrată a zonei costiere, inclusiv a Planului de gospodărire integrată a zonei costiere, precum și întocmirea unui proiect de Hotărâre de Guvern privind stabilirea programului de monitoring integrat al zonei costiere.</w:t>
      </w:r>
    </w:p>
    <w:p w:rsidR="002967F0" w:rsidRPr="00242122" w:rsidRDefault="002967F0" w:rsidP="002967F0">
      <w:pPr>
        <w:spacing w:before="120" w:after="120" w:line="240" w:lineRule="auto"/>
        <w:ind w:firstLine="630"/>
        <w:jc w:val="both"/>
        <w:rPr>
          <w:rFonts w:ascii="Arial" w:hAnsi="Arial" w:cs="Arial"/>
          <w:sz w:val="24"/>
          <w:szCs w:val="24"/>
        </w:rPr>
      </w:pPr>
      <w:r w:rsidRPr="00242122">
        <w:rPr>
          <w:rFonts w:ascii="Arial" w:hAnsi="Arial" w:cs="Arial"/>
          <w:sz w:val="24"/>
          <w:szCs w:val="24"/>
        </w:rPr>
        <w:t xml:space="preserve">În vederea promovării adaptării la schimbările climatice, prevenirii și gestionării riscurilor, prin POIM 2014-2020, Axa Prioritară 5 „Promovarea adaptării la schimbările climatice, prevenirea și gestionarea riscurilor”, pentru reducerea efectelor și a pagubelor asupra populației, cauzate de fenomenele naturale asociate principalelor riscuri accentuate de schimbările climatice, în principal de inundații și eroziune costieră, se desfășoară proiectul “Reducerea eroziunii costiere faza II (2014-2020)”, prin care se realizează 30,54 km de plajă/ faleză protejată. Scopul acestui proiect este prevenirea eroziunii costiere, prin acțiuni specifice de limitare a efectelor negative ale acesteia asupra zonelor de coastă ale litoralului românesc. Se va sprijini astfel dezvoltarea unui mediu corespunzător creșterii valorii conservative a habitatelor marine în zonele proiectului, asigurarea condițiilor pentru păstrarea și susținerea dezvoltării viitoare a speciilor marine cu valoare conservativă mare.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La nivel internațional, măsurile propuse în cadrul </w:t>
      </w:r>
      <w:r w:rsidRPr="00242122">
        <w:rPr>
          <w:rFonts w:ascii="Arial" w:hAnsi="Arial" w:cs="Arial"/>
          <w:i/>
          <w:sz w:val="24"/>
          <w:szCs w:val="24"/>
        </w:rPr>
        <w:t>Planului de Management al Districtului Internațional al Dunării</w:t>
      </w:r>
      <w:r w:rsidRPr="00242122">
        <w:rPr>
          <w:rFonts w:ascii="Arial" w:hAnsi="Arial" w:cs="Arial"/>
          <w:sz w:val="24"/>
          <w:szCs w:val="24"/>
        </w:rPr>
        <w:t xml:space="preserve"> vor contribui în cea mai mare parte la reducerea aportului poluării zonei costiere și marine și vor fi luate în considerare la actualizarea </w:t>
      </w:r>
      <w:r w:rsidRPr="00242122">
        <w:rPr>
          <w:rFonts w:ascii="Arial" w:hAnsi="Arial" w:cs="Arial"/>
          <w:i/>
          <w:sz w:val="24"/>
          <w:szCs w:val="24"/>
        </w:rPr>
        <w:t xml:space="preserve">Programul de Măsuri </w:t>
      </w:r>
      <w:r w:rsidRPr="00242122">
        <w:rPr>
          <w:rFonts w:ascii="Arial" w:hAnsi="Arial" w:cs="Arial"/>
          <w:sz w:val="24"/>
          <w:szCs w:val="24"/>
        </w:rPr>
        <w:t xml:space="preserve">aferent implementării Directivei Cadru Strategia pentru Mediul Marin. În decembrie 2012, </w:t>
      </w:r>
      <w:r w:rsidRPr="00242122">
        <w:rPr>
          <w:rFonts w:ascii="Arial" w:hAnsi="Arial" w:cs="Arial"/>
          <w:b/>
          <w:bCs/>
          <w:sz w:val="24"/>
          <w:szCs w:val="24"/>
        </w:rPr>
        <w:t>Strategia Comisiei Internaționale pentru Protecția Fluviului Dunărea (ICPDR) privind adaptarea la schimbările climatice</w:t>
      </w:r>
      <w:r w:rsidRPr="00242122">
        <w:rPr>
          <w:rFonts w:ascii="Arial" w:hAnsi="Arial" w:cs="Arial"/>
          <w:sz w:val="24"/>
          <w:szCs w:val="24"/>
        </w:rPr>
        <w:t xml:space="preserve"> a fost finalizată și adoptată, aceasta fiind actiualizată în anul 2018</w:t>
      </w:r>
      <w:r w:rsidRPr="00242122">
        <w:rPr>
          <w:rStyle w:val="FootnoteReference"/>
          <w:rFonts w:ascii="Arial" w:hAnsi="Arial" w:cs="Arial"/>
          <w:sz w:val="24"/>
          <w:szCs w:val="24"/>
        </w:rPr>
        <w:footnoteReference w:id="11"/>
      </w:r>
      <w:r w:rsidRPr="00242122">
        <w:rPr>
          <w:rFonts w:ascii="Arial" w:hAnsi="Arial" w:cs="Arial"/>
          <w:sz w:val="24"/>
          <w:szCs w:val="24"/>
        </w:rPr>
        <w:t xml:space="preserve">. Strategia are ca scop oferirea cadrului și orientărilor privind integrarea adaptării la schimbările climatice în procesele de planificare la nivelul bazinului hidrografic al Dunării. În România, Strategia naţională privind schimbările climatice a fost adoptată prin Hotărârea Guvernului nr. 529/2013 pentru aprobarea Strategiei naţionale a României privind schimbările climatice 2013-2020, prin implementarea acesteia urmărindu-se reducerea emisiilor de gaze cu efect de seră și adaptarea la efectele negative, inevitabile ale schimbărilor climatice asupra sistemelor naturale și antropice. În prezent această strategie națională și planul de acțiune aferent se află în curs de actualzaire, pentru includerea obiectivelor privind schimbările climatice din cadrul Pactului Ecologic European. </w:t>
      </w:r>
    </w:p>
    <w:p w:rsidR="002967F0" w:rsidRPr="00242122" w:rsidRDefault="002967F0" w:rsidP="002967F0">
      <w:pPr>
        <w:spacing w:before="120" w:after="120" w:line="240" w:lineRule="auto"/>
        <w:ind w:firstLine="567"/>
        <w:jc w:val="both"/>
        <w:rPr>
          <w:rFonts w:ascii="Arial" w:hAnsi="Arial" w:cs="Arial"/>
          <w:sz w:val="24"/>
          <w:szCs w:val="24"/>
          <w:lang w:eastAsia="x-none"/>
        </w:rPr>
      </w:pPr>
      <w:r w:rsidRPr="00242122">
        <w:rPr>
          <w:rFonts w:ascii="Arial" w:hAnsi="Arial" w:cs="Arial"/>
          <w:sz w:val="24"/>
          <w:szCs w:val="24"/>
        </w:rPr>
        <w:t>Este de așteptat ca deficitul de apă și seceta să devină relevante în timp pentru  managementul resurselor de apă din bazinul hidrografic, în acest sens acordându-se o atenție sporită schimbărilor climatice. La nivelul țărilor dunărene, deficitul de apă și seceta nu sunt considerate ca fiind probleme importante de gospodărirea apei pentru majoritatea țărilor, dar o serie de țări le iau în considerare la nivel național. În România, potrivit datelor EUROSTAT, indicele de exploatare al apei WEI+ pentru România se află sub limita de 20% care constituie pragul de vertizare pentru deficitul de apă și cu mult sub 40% care constituie limita pentru deficitul sever de apă. Astfel, d</w:t>
      </w:r>
      <w:r w:rsidRPr="00242122">
        <w:rPr>
          <w:rFonts w:ascii="Arial" w:hAnsi="Arial" w:cs="Arial"/>
          <w:sz w:val="24"/>
          <w:szCs w:val="24"/>
          <w:lang w:eastAsia="x-none"/>
        </w:rPr>
        <w:t xml:space="preserve">in datele transmise în perioada 1990-2017 de România la Eurostat și preluate de către Agenția Europenă de Mediu a reieșit faptul că la nivelul  României a fost identificat un stres/deficit relativ scăzut al apei, </w:t>
      </w:r>
      <w:r w:rsidRPr="00242122">
        <w:rPr>
          <w:rFonts w:ascii="Arial" w:hAnsi="Arial" w:cs="Arial"/>
          <w:sz w:val="24"/>
          <w:szCs w:val="24"/>
          <w:lang w:eastAsia="x-none"/>
        </w:rPr>
        <w:lastRenderedPageBreak/>
        <w:t>valoarea medie anuală a WEI+ situându-se în jurul unor valori minime de 1,6 % în anii 2005-2006 și o valoare maximă de 17,5 % în anul 1990 (</w:t>
      </w:r>
      <w:r w:rsidRPr="00242122">
        <w:rPr>
          <w:rFonts w:ascii="Arial" w:hAnsi="Arial" w:cs="Arial"/>
          <w:i/>
          <w:iCs/>
          <w:sz w:val="24"/>
          <w:szCs w:val="24"/>
          <w:lang w:eastAsia="x-none"/>
        </w:rPr>
        <w:t>Figura II. 2.4.2</w:t>
      </w:r>
      <w:r w:rsidRPr="00242122">
        <w:rPr>
          <w:rFonts w:ascii="Arial" w:hAnsi="Arial" w:cs="Arial"/>
          <w:sz w:val="24"/>
          <w:szCs w:val="24"/>
          <w:lang w:eastAsia="x-none"/>
        </w:rPr>
        <w:t>).</w:t>
      </w:r>
    </w:p>
    <w:p w:rsidR="002967F0" w:rsidRPr="00242122" w:rsidRDefault="002967F0" w:rsidP="002967F0">
      <w:pPr>
        <w:spacing w:before="120" w:after="120" w:line="240" w:lineRule="auto"/>
        <w:jc w:val="center"/>
        <w:rPr>
          <w:rFonts w:ascii="Arial" w:hAnsi="Arial" w:cs="Arial"/>
          <w:b/>
          <w:bCs/>
          <w:lang w:eastAsia="x-none"/>
        </w:rPr>
      </w:pPr>
      <w:r w:rsidRPr="00242122">
        <w:rPr>
          <w:rFonts w:ascii="Arial" w:hAnsi="Arial" w:cs="Arial"/>
          <w:b/>
          <w:bCs/>
          <w:lang w:eastAsia="x-none"/>
        </w:rPr>
        <w:t>Evoluția WEI+ în România în perioada 1990-2017</w:t>
      </w:r>
    </w:p>
    <w:p w:rsidR="002967F0" w:rsidRPr="00242122" w:rsidRDefault="002967F0" w:rsidP="002967F0">
      <w:pPr>
        <w:spacing w:before="120" w:after="120" w:line="240" w:lineRule="auto"/>
        <w:jc w:val="both"/>
        <w:rPr>
          <w:rFonts w:ascii="Arial" w:hAnsi="Arial" w:cs="Arial"/>
          <w:sz w:val="24"/>
          <w:szCs w:val="24"/>
        </w:rPr>
      </w:pPr>
      <w:r w:rsidRPr="00242122">
        <w:rPr>
          <w:rFonts w:ascii="Arial" w:hAnsi="Arial" w:cs="Arial"/>
          <w:noProof/>
          <w:lang w:eastAsia="ro-RO"/>
        </w:rPr>
        <w:drawing>
          <wp:inline distT="0" distB="0" distL="0" distR="0" wp14:anchorId="44686A2B" wp14:editId="74BDBA33">
            <wp:extent cx="5943600" cy="3101340"/>
            <wp:effectExtent l="0" t="0" r="0" b="0"/>
            <wp:docPr id="7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3101340"/>
                    </a:xfrm>
                    <a:prstGeom prst="rect">
                      <a:avLst/>
                    </a:prstGeom>
                    <a:noFill/>
                    <a:ln>
                      <a:noFill/>
                    </a:ln>
                  </pic:spPr>
                </pic:pic>
              </a:graphicData>
            </a:graphic>
          </wp:inline>
        </w:drawing>
      </w:r>
    </w:p>
    <w:p w:rsidR="002967F0" w:rsidRPr="00242122" w:rsidRDefault="002967F0" w:rsidP="002967F0">
      <w:pPr>
        <w:spacing w:before="120" w:after="120" w:line="240" w:lineRule="auto"/>
        <w:ind w:firstLine="567"/>
        <w:jc w:val="right"/>
        <w:rPr>
          <w:rFonts w:ascii="Arial" w:hAnsi="Arial" w:cs="Arial"/>
          <w:b/>
          <w:bCs/>
          <w:i/>
          <w:iCs/>
          <w:lang w:eastAsia="x-none"/>
        </w:rPr>
      </w:pPr>
      <w:r w:rsidRPr="00242122">
        <w:rPr>
          <w:rFonts w:ascii="Arial" w:hAnsi="Arial" w:cs="Arial"/>
          <w:b/>
          <w:bCs/>
          <w:i/>
          <w:iCs/>
          <w:lang w:eastAsia="x-none"/>
        </w:rPr>
        <w:t>Figura II. 2.4.2</w:t>
      </w:r>
    </w:p>
    <w:p w:rsidR="002967F0" w:rsidRPr="00242122" w:rsidRDefault="002967F0" w:rsidP="002967F0">
      <w:pPr>
        <w:spacing w:before="120" w:after="120" w:line="240" w:lineRule="auto"/>
        <w:jc w:val="both"/>
        <w:rPr>
          <w:rFonts w:ascii="Arial" w:hAnsi="Arial" w:cs="Arial"/>
          <w:sz w:val="24"/>
          <w:szCs w:val="24"/>
        </w:rPr>
      </w:pPr>
      <w:r w:rsidRPr="00242122">
        <w:rPr>
          <w:rFonts w:ascii="Arial" w:hAnsi="Arial" w:cs="Arial"/>
          <w:sz w:val="24"/>
          <w:szCs w:val="24"/>
        </w:rPr>
        <w:t>Sursa datelor:</w:t>
      </w:r>
      <w:r w:rsidRPr="00242122">
        <w:rPr>
          <w:rFonts w:ascii="Arial" w:hAnsi="Arial" w:cs="Arial"/>
        </w:rPr>
        <w:t xml:space="preserve"> </w:t>
      </w:r>
      <w:r w:rsidRPr="00242122">
        <w:rPr>
          <w:rFonts w:ascii="Arial" w:hAnsi="Arial" w:cs="Arial"/>
          <w:sz w:val="24"/>
          <w:szCs w:val="24"/>
        </w:rPr>
        <w:t xml:space="preserve">EUROSTAT, Development of the water exploitation index plus (WEI+), </w:t>
      </w:r>
      <w:hyperlink r:id="rId100" w:anchor="tab-chart_3" w:history="1">
        <w:r w:rsidRPr="00242122">
          <w:rPr>
            <w:rStyle w:val="Hyperlink"/>
            <w:rFonts w:ascii="Arial" w:hAnsi="Arial" w:cs="Arial"/>
            <w:sz w:val="24"/>
            <w:szCs w:val="24"/>
          </w:rPr>
          <w:t>https://www.eea.europa.eu/data-and-maps/daviz/water-exploitation-index-plus#tab-chart_3</w:t>
        </w:r>
      </w:hyperlink>
      <w:r w:rsidRPr="00242122">
        <w:rPr>
          <w:rFonts w:ascii="Arial" w:hAnsi="Arial" w:cs="Arial"/>
          <w:sz w:val="24"/>
          <w:szCs w:val="24"/>
        </w:rPr>
        <w:t xml:space="preserve"> </w:t>
      </w:r>
    </w:p>
    <w:p w:rsidR="002967F0" w:rsidRPr="00242122" w:rsidRDefault="002967F0" w:rsidP="002967F0">
      <w:pPr>
        <w:autoSpaceDE w:val="0"/>
        <w:autoSpaceDN w:val="0"/>
        <w:adjustRightInd w:val="0"/>
        <w:spacing w:before="120" w:after="120" w:line="240" w:lineRule="auto"/>
        <w:ind w:firstLine="720"/>
        <w:jc w:val="both"/>
        <w:rPr>
          <w:rFonts w:ascii="Arial" w:hAnsi="Arial" w:cs="Arial"/>
          <w:sz w:val="24"/>
          <w:szCs w:val="24"/>
        </w:rPr>
      </w:pPr>
      <w:r w:rsidRPr="00242122">
        <w:rPr>
          <w:rFonts w:ascii="Arial" w:hAnsi="Arial" w:cs="Arial"/>
          <w:sz w:val="24"/>
          <w:szCs w:val="24"/>
        </w:rPr>
        <w:t xml:space="preserve">Seceta hidrologică se manifestă prin menținerea unui deficit al resurselor de apă pe o perioadă relativ îndelungată și continuă. Seceta hidrologică are ca efect scăderea debitelor râurilor fiind rezultatul acțiunii conjugate și simultane a unui complex de cauze (scăderea cantității de precipitații, creșterea temperaturii aerului, scăderea nivelului apelor freatice). Seceta hidrologică ia în considerare persistenţa debitelor mici, a volumelor mici de apă din lacurile de acumulare, a nivelurilor scăzute a apelor subterane din ultimele luni sau ani. Deşi seceta hidrologică este un fenomen natural, ea poate fi accentuată ca urmare a activităţilor umane. De regulă, seceta hidrologică este în strânsă legatură cu seceta meteorologică între care există o relaţie directă. Valorile tendințelor de secetă hidrologică în România, determinate pe baza indicelui Palmer (IPSS şi IPSH), pentru intervalul de timp 1961-2012, în România, sugerează existența unei tendințe de secetă de la moderată la extremă pe areale din vestul extrem, Câmpia Română, Bărăgan și nordul Dobrogei și a unei tendințe spre excedent (surplus de apă) de la moderat la extrem al resurselor de apă în regiuni din nord-vestul României și sudul Dobrogei, mai ales în vestul extrem și sud-vestul României. </w:t>
      </w:r>
    </w:p>
    <w:p w:rsidR="002967F0" w:rsidRPr="00242122" w:rsidRDefault="002967F0" w:rsidP="002967F0">
      <w:pPr>
        <w:autoSpaceDE w:val="0"/>
        <w:autoSpaceDN w:val="0"/>
        <w:adjustRightInd w:val="0"/>
        <w:spacing w:before="120" w:after="120" w:line="240" w:lineRule="auto"/>
        <w:ind w:firstLine="720"/>
        <w:jc w:val="both"/>
        <w:rPr>
          <w:rFonts w:ascii="Arial" w:hAnsi="Arial" w:cs="Arial"/>
          <w:sz w:val="24"/>
          <w:szCs w:val="24"/>
        </w:rPr>
      </w:pPr>
      <w:r w:rsidRPr="00242122">
        <w:rPr>
          <w:rFonts w:ascii="Arial" w:hAnsi="Arial" w:cs="Arial"/>
          <w:sz w:val="24"/>
          <w:szCs w:val="24"/>
        </w:rPr>
        <w:t>Potrivit raportului Băncii Mondiale</w:t>
      </w:r>
      <w:r w:rsidRPr="00242122">
        <w:rPr>
          <w:rStyle w:val="FootnoteReference"/>
          <w:rFonts w:ascii="Arial" w:hAnsi="Arial" w:cs="Arial"/>
          <w:sz w:val="24"/>
          <w:szCs w:val="24"/>
        </w:rPr>
        <w:footnoteReference w:id="12"/>
      </w:r>
      <w:r w:rsidRPr="00242122">
        <w:rPr>
          <w:rFonts w:ascii="Arial" w:hAnsi="Arial" w:cs="Arial"/>
          <w:sz w:val="24"/>
          <w:szCs w:val="24"/>
        </w:rPr>
        <w:t>, ”</w:t>
      </w:r>
      <w:r w:rsidRPr="00242122">
        <w:rPr>
          <w:rFonts w:ascii="Arial" w:hAnsi="Arial" w:cs="Arial"/>
          <w:i/>
          <w:iCs/>
          <w:sz w:val="24"/>
          <w:szCs w:val="24"/>
        </w:rPr>
        <w:t>dintre țările din bazinul Dunării, se preconizează că România va fi cea mai afectată de schimbările climatice în ansamblu. [...] este așteptată o creștere a frecvenţei și magnitudinii secetelor în mai multe zone ale ţării, în special în zona sud-estică, care are cea mai mare concentraţie de terenuri arabile și infrastructură de irigaţii în ţară. Un climat semi-arid se va instala treptat aici în următoarele două-trei decenii</w:t>
      </w:r>
      <w:r w:rsidRPr="00242122">
        <w:rPr>
          <w:rFonts w:ascii="Arial" w:hAnsi="Arial" w:cs="Arial"/>
          <w:sz w:val="24"/>
          <w:szCs w:val="24"/>
        </w:rPr>
        <w:t>”.</w:t>
      </w:r>
    </w:p>
    <w:p w:rsidR="002967F0" w:rsidRPr="00242122" w:rsidRDefault="002967F0" w:rsidP="002967F0">
      <w:pPr>
        <w:autoSpaceDE w:val="0"/>
        <w:autoSpaceDN w:val="0"/>
        <w:adjustRightInd w:val="0"/>
        <w:spacing w:before="120" w:after="120" w:line="240" w:lineRule="auto"/>
        <w:ind w:firstLine="720"/>
        <w:jc w:val="both"/>
        <w:rPr>
          <w:rFonts w:ascii="Arial" w:hAnsi="Arial" w:cs="Arial"/>
          <w:sz w:val="24"/>
          <w:szCs w:val="24"/>
        </w:rPr>
      </w:pPr>
      <w:r w:rsidRPr="00242122">
        <w:rPr>
          <w:rFonts w:ascii="Arial" w:hAnsi="Arial" w:cs="Arial"/>
          <w:sz w:val="24"/>
          <w:szCs w:val="24"/>
        </w:rPr>
        <w:lastRenderedPageBreak/>
        <w:t>Pe baza scenariilor climatice previzible pentru perioadele 2011-2040 şi 2021-2050 şi efectele cuantificabile asupra temperaturii medii multianuale şi precipitațiilor medii multianuale în România, bazinele hidrografice identificate ca fiind supuse, în mod frecvent, fenomenului de secetă hidrologică, atât în prezent cât și în viitor luând în considerare efectele schimbărilor climatice, sunt cele care se află  pe teritoriul Administrațiilor Bazinale de Apă Jiu, Olt, Argeş – Vedea,  Ialomiţa -Buzău, Siret, Prut – Bârlad şi Dobrogea – Litoral.</w:t>
      </w:r>
    </w:p>
    <w:p w:rsidR="002967F0" w:rsidRPr="00242122" w:rsidRDefault="002967F0" w:rsidP="002967F0">
      <w:pPr>
        <w:autoSpaceDE w:val="0"/>
        <w:autoSpaceDN w:val="0"/>
        <w:adjustRightInd w:val="0"/>
        <w:spacing w:before="120" w:after="120" w:line="240" w:lineRule="auto"/>
        <w:ind w:firstLine="720"/>
        <w:jc w:val="both"/>
        <w:rPr>
          <w:rFonts w:ascii="Arial" w:hAnsi="Arial" w:cs="Arial"/>
          <w:bCs/>
          <w:sz w:val="24"/>
          <w:szCs w:val="24"/>
        </w:rPr>
      </w:pPr>
      <w:r w:rsidRPr="00242122">
        <w:rPr>
          <w:rFonts w:ascii="Arial" w:hAnsi="Arial" w:cs="Arial"/>
          <w:bCs/>
          <w:sz w:val="24"/>
          <w:szCs w:val="24"/>
        </w:rPr>
        <w:t>În România, în cadrul</w:t>
      </w:r>
      <w:r w:rsidRPr="00242122">
        <w:rPr>
          <w:rFonts w:ascii="Arial" w:hAnsi="Arial" w:cs="Arial"/>
          <w:b/>
          <w:bCs/>
          <w:sz w:val="24"/>
          <w:szCs w:val="24"/>
        </w:rPr>
        <w:t xml:space="preserve"> </w:t>
      </w:r>
      <w:bookmarkStart w:id="16" w:name="_Hlk75341217"/>
      <w:r w:rsidRPr="00242122">
        <w:rPr>
          <w:rFonts w:ascii="Arial" w:hAnsi="Arial" w:cs="Arial"/>
          <w:b/>
          <w:bCs/>
          <w:i/>
          <w:sz w:val="24"/>
          <w:szCs w:val="24"/>
        </w:rPr>
        <w:t>Strategiei naţionale privind reducerea efectelor secetei, prevenirea şi combaterea degradării terenurilor şi deşertificării, pe termen scurt, mediu şi lung</w:t>
      </w:r>
      <w:bookmarkEnd w:id="16"/>
      <w:r w:rsidRPr="00242122">
        <w:rPr>
          <w:rFonts w:ascii="Arial" w:hAnsi="Arial" w:cs="Arial"/>
          <w:b/>
          <w:bCs/>
          <w:sz w:val="24"/>
          <w:szCs w:val="24"/>
        </w:rPr>
        <w:t xml:space="preserve"> </w:t>
      </w:r>
      <w:r w:rsidRPr="00242122">
        <w:rPr>
          <w:rFonts w:ascii="Arial" w:hAnsi="Arial" w:cs="Arial"/>
          <w:bCs/>
          <w:sz w:val="24"/>
          <w:szCs w:val="24"/>
        </w:rPr>
        <w:t xml:space="preserve">sunt menţionate măsuri care să permită gestionarea situaţiilor de urgenţă generate de secetă hidrologică. Scopul general al </w:t>
      </w:r>
      <w:r w:rsidRPr="00242122">
        <w:rPr>
          <w:rFonts w:ascii="Arial" w:hAnsi="Arial" w:cs="Arial"/>
          <w:bCs/>
          <w:i/>
          <w:sz w:val="24"/>
          <w:szCs w:val="24"/>
        </w:rPr>
        <w:t>Strategiei</w:t>
      </w:r>
      <w:r w:rsidRPr="00242122">
        <w:rPr>
          <w:rFonts w:ascii="Arial" w:hAnsi="Arial" w:cs="Arial"/>
          <w:bCs/>
          <w:sz w:val="24"/>
          <w:szCs w:val="24"/>
        </w:rPr>
        <w:t xml:space="preserve"> este de a indica acţiunile de întreprins pe termen scurt, mediu şi lung, pentru a reduce vulnerabilitatea comunităţilor locale, ecosistemelor naturale şi a activităţilor socio-economice şi de a diminua efectele de ordin social, economic şi de mediu ale acestora.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Gestionarea situațiilor de urgență generate de seceta hidrologică este stabilită prin </w:t>
      </w:r>
      <w:r w:rsidRPr="00242122">
        <w:rPr>
          <w:rFonts w:ascii="Arial" w:hAnsi="Arial" w:cs="Arial"/>
          <w:b/>
          <w:bCs/>
          <w:sz w:val="24"/>
          <w:szCs w:val="24"/>
        </w:rPr>
        <w:t xml:space="preserve">Regulamentul privind gestionarea situațiilor de urgență generate de inundații, fenomene periculoase, accidente la construcții hidrotehnice și poluări accidentale, </w:t>
      </w:r>
      <w:r w:rsidRPr="00242122">
        <w:rPr>
          <w:rFonts w:ascii="Arial" w:hAnsi="Arial" w:cs="Arial"/>
          <w:sz w:val="24"/>
          <w:szCs w:val="24"/>
        </w:rPr>
        <w:t>aprobat prin Ordinul comun al ministrului mediului, apelor și pădurilor și ministrul administrației și internelor nr. 1422/192/2012, care prevede întocmirea unor Rapoarte operative ce cuprind: zona în care s-a impus introducerea restricțiilor, situația hidrometeorologică care a determinat introducerea restricțiilor, măsuri întreprinse pentru suplimentarea debitelor pe râuri din acumulările situate în zonă, programul de restricții, măsuri de raționalizare a folosinței apei și transmiterea de rapoarte  operative zilnice până la revenirea la situația normală. De asemenea, în cadrul Normelor metodologice pentru elaborarea regulamentelor de exploatare bazinale și a regulamentelor – cadru pentru  exploatarea barajelor, lacurilor de acumulare și prizelor de alimentare cu apă, aprobate prin Ordinul nr. 76/2006, sunt prevăzute măsuri operative care sunt prevăzute în Regulamentele de exploatare ale barajelor şi lacurilor de acumulare la ape mici.</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Fiecare bazin/spațiu hidrografic întocmește </w:t>
      </w:r>
      <w:r w:rsidRPr="00242122">
        <w:rPr>
          <w:rFonts w:ascii="Arial" w:hAnsi="Arial" w:cs="Arial"/>
          <w:b/>
          <w:bCs/>
          <w:sz w:val="24"/>
          <w:szCs w:val="24"/>
        </w:rPr>
        <w:t>“Planuri de restricţii şi folosire a apei în perioade deficitare“</w:t>
      </w:r>
      <w:r w:rsidRPr="00242122">
        <w:rPr>
          <w:rFonts w:ascii="Arial" w:hAnsi="Arial" w:cs="Arial"/>
          <w:sz w:val="24"/>
          <w:szCs w:val="24"/>
        </w:rPr>
        <w:t>, cu termene și responsabilități, care se actualizează ori de câte ori este necesar. Planul de restricţii se elaborează conform Ordinului nr. 9/2006 al ministrului mediului şi gospodăririi apelor pentru aprobarea Metodologiei privind elaborarea planurilor de restricţii şi folosire a apei în perioadele deficitare. Planul de restricţii are ca scop stabilirea restricţiilor temporare în folosirea apelor în situaţiile când din cauze obiective (secetă/calamităţi naturale) debitele de apă contractate nu pot fi asigurate tuturor utilizatorilor.</w:t>
      </w:r>
    </w:p>
    <w:p w:rsidR="002967F0" w:rsidRPr="00242122" w:rsidRDefault="002967F0" w:rsidP="002967F0">
      <w:pPr>
        <w:spacing w:before="120" w:after="120" w:line="240" w:lineRule="auto"/>
        <w:ind w:firstLine="720"/>
        <w:jc w:val="both"/>
        <w:rPr>
          <w:rFonts w:ascii="Arial" w:hAnsi="Arial" w:cs="Arial"/>
        </w:rPr>
      </w:pPr>
      <w:r w:rsidRPr="00242122">
        <w:rPr>
          <w:rFonts w:ascii="Arial" w:hAnsi="Arial" w:cs="Arial"/>
        </w:rPr>
        <w:t xml:space="preserve">Comisia Europeană a prezentat în anul 2018 o viziune asupra modalităților prin care se poate realiza neutralitatea climatică până în 2050 care ar trebui să constituie baza strategiei pe termen lung a UE. Pentru a stabili în mod clar condițiile de care depinde asigurarea unei tranziții eficiente și echitabile, pentru a le oferi investitorilor previzibilitate și pentru a asigura ireversibilitatea procesului de tranziție, </w:t>
      </w:r>
      <w:r w:rsidRPr="00242122">
        <w:rPr>
          <w:rFonts w:ascii="Arial" w:hAnsi="Arial" w:cs="Arial"/>
          <w:bCs/>
        </w:rPr>
        <w:t>UE a adoptat, în martie iunie 2021,</w:t>
      </w:r>
      <w:r w:rsidRPr="00242122">
        <w:rPr>
          <w:rFonts w:ascii="Arial" w:hAnsi="Arial" w:cs="Arial"/>
          <w:b/>
          <w:bCs/>
        </w:rPr>
        <w:t xml:space="preserve"> </w:t>
      </w:r>
      <w:r w:rsidRPr="00242122">
        <w:rPr>
          <w:rFonts w:ascii="Arial" w:hAnsi="Arial" w:cs="Arial"/>
          <w:iCs/>
        </w:rPr>
        <w:t>primul act legislativ european privind clima, respectiv</w:t>
      </w:r>
      <w:r w:rsidRPr="00242122">
        <w:rPr>
          <w:rFonts w:ascii="Arial" w:hAnsi="Arial" w:cs="Arial"/>
        </w:rPr>
        <w:t xml:space="preserve"> </w:t>
      </w:r>
      <w:r w:rsidRPr="00242122">
        <w:rPr>
          <w:rFonts w:ascii="Arial" w:hAnsi="Arial" w:cs="Arial"/>
          <w:b/>
          <w:bCs/>
          <w:iCs/>
        </w:rPr>
        <w:t>Legea europeană a climei</w:t>
      </w:r>
      <w:r w:rsidRPr="00242122">
        <w:rPr>
          <w:rStyle w:val="FootnoteReference"/>
          <w:rFonts w:ascii="Arial" w:hAnsi="Arial" w:cs="Arial"/>
          <w:iCs/>
        </w:rPr>
        <w:footnoteReference w:id="13"/>
      </w:r>
      <w:r w:rsidRPr="00242122">
        <w:rPr>
          <w:rFonts w:ascii="Arial" w:hAnsi="Arial" w:cs="Arial"/>
          <w:b/>
          <w:bCs/>
        </w:rPr>
        <w:t>.</w:t>
      </w:r>
      <w:r w:rsidRPr="00242122">
        <w:rPr>
          <w:rFonts w:ascii="Arial" w:hAnsi="Arial" w:cs="Arial"/>
        </w:rPr>
        <w:t xml:space="preserve"> Pe lângă obiectivul de neutralitate climatică și al obiectivului ambițios al Uniunii de a depune eforturi pentru a obține emisii negative după 2050, legislația europeană privind clima stabilește un obiectiv obligatoriu al Uniunii în materie de climă de reducere a emisiilor nete de gaze cu efect de seră (emisii după deducerea absorbțiilor) cu cel puțin 55% până în 2030, comparativ cu 1990. Prin actul legislativ privind clima </w:t>
      </w:r>
      <w:r w:rsidRPr="00242122">
        <w:rPr>
          <w:rFonts w:ascii="Arial" w:hAnsi="Arial" w:cs="Arial"/>
        </w:rPr>
        <w:lastRenderedPageBreak/>
        <w:t>se va asigura și faptul că toate politicile UE contribuie la obiectivul neutralității climatice și că toate sectoarele își îndeplinesc rolul care le revine în această privință</w:t>
      </w:r>
      <w:r w:rsidRPr="00242122">
        <w:rPr>
          <w:rFonts w:ascii="Arial" w:hAnsi="Arial" w:cs="Arial"/>
          <w:vertAlign w:val="superscript"/>
        </w:rPr>
        <w:footnoteReference w:id="14"/>
      </w:r>
      <w:r w:rsidRPr="00242122">
        <w:rPr>
          <w:rFonts w:ascii="Arial" w:hAnsi="Arial" w:cs="Arial"/>
        </w:rPr>
        <w:t>.</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rPr>
        <w:t xml:space="preserve">De asemenea, la nivelul UE </w:t>
      </w:r>
      <w:bookmarkStart w:id="17" w:name="_Hlk81491304"/>
      <w:r w:rsidRPr="00242122">
        <w:rPr>
          <w:rFonts w:ascii="Arial" w:hAnsi="Arial" w:cs="Arial"/>
        </w:rPr>
        <w:t>Comisia a aprobat în februarie 2021</w:t>
      </w:r>
      <w:bookmarkEnd w:id="17"/>
      <w:r w:rsidRPr="00242122">
        <w:rPr>
          <w:rFonts w:ascii="Arial" w:hAnsi="Arial" w:cs="Arial"/>
        </w:rPr>
        <w:t xml:space="preserve"> o </w:t>
      </w:r>
      <w:r w:rsidRPr="00242122">
        <w:rPr>
          <w:rFonts w:ascii="Arial" w:hAnsi="Arial" w:cs="Arial"/>
          <w:b/>
          <w:bCs/>
        </w:rPr>
        <w:t>nouă strategie privind adaptarea la schimbările climatice</w:t>
      </w:r>
      <w:r w:rsidRPr="00242122">
        <w:rPr>
          <w:rFonts w:ascii="Arial" w:hAnsi="Arial" w:cs="Arial"/>
          <w:b/>
          <w:bCs/>
          <w:vertAlign w:val="superscript"/>
        </w:rPr>
        <w:footnoteReference w:id="15"/>
      </w:r>
      <w:r w:rsidRPr="00242122">
        <w:rPr>
          <w:rFonts w:ascii="Arial" w:hAnsi="Arial" w:cs="Arial"/>
        </w:rPr>
        <w:t xml:space="preserve"> care prezintă o viziune pe termen lung pentru ca UE să devină o societate rezilientă la schimbările climatice și pe deplin adaptată la efectele inevitabile ale schimbărilor climatice până în 2050. Activitatea privind adaptarea la schimbările climatice va continua să influențeze investițiile publice și private, inclusiv în ceea ce privește soluțiile inspirate de natură.</w:t>
      </w:r>
    </w:p>
    <w:p w:rsidR="002967F0" w:rsidRPr="00242122" w:rsidRDefault="002967F0" w:rsidP="002967F0">
      <w:pPr>
        <w:spacing w:before="120" w:after="120" w:line="240" w:lineRule="auto"/>
        <w:ind w:firstLine="720"/>
        <w:jc w:val="both"/>
        <w:rPr>
          <w:rFonts w:ascii="Arial" w:hAnsi="Arial" w:cs="Arial"/>
        </w:rPr>
      </w:pPr>
      <w:r w:rsidRPr="00242122">
        <w:rPr>
          <w:rFonts w:ascii="Arial" w:hAnsi="Arial" w:cs="Arial"/>
        </w:rPr>
        <w:t xml:space="preserve">În acest context, Comisia a realizat un </w:t>
      </w:r>
      <w:r w:rsidRPr="00242122">
        <w:rPr>
          <w:rFonts w:ascii="Arial" w:hAnsi="Arial" w:cs="Arial"/>
          <w:b/>
          <w:bCs/>
          <w:i/>
        </w:rPr>
        <w:t>Plan de investiții pentru o Europă durabilă</w:t>
      </w:r>
      <w:r w:rsidRPr="00242122">
        <w:rPr>
          <w:rFonts w:ascii="Arial" w:hAnsi="Arial" w:cs="Arial"/>
          <w:b/>
          <w:bCs/>
          <w:i/>
          <w:vertAlign w:val="superscript"/>
        </w:rPr>
        <w:footnoteReference w:id="16"/>
      </w:r>
      <w:r w:rsidRPr="00242122">
        <w:rPr>
          <w:rFonts w:ascii="Arial" w:hAnsi="Arial" w:cs="Arial"/>
        </w:rPr>
        <w:t xml:space="preserve"> în vederea sprijinirii investițiilor durabile cu favorizarea investițiilor ecologice. </w:t>
      </w:r>
      <w:r w:rsidRPr="00242122">
        <w:rPr>
          <w:rFonts w:ascii="Arial" w:hAnsi="Arial" w:cs="Arial"/>
          <w:bCs/>
        </w:rPr>
        <w:t>În perioada 2021-2027 UE va investi  din valoarea totală a bugetului de minim 1000 miliarde Euro cca. 25% pentru acțiuni climatice și și legate de mediu efectuate în cadrul diferitelor programe de finanțare (Fondul European Agricol pentru Dezvoltare Rurală, Fondul de Coeziune, Fondul European de Dezvoltare Regională, Programul Orizont 2020, Programul LIFE) și fonduri private, un rol-cheie urmând a fi jucat de Banca Europeană de Investiții</w:t>
      </w:r>
      <w:r w:rsidRPr="00242122">
        <w:rPr>
          <w:rFonts w:ascii="Arial" w:hAnsi="Arial" w:cs="Arial"/>
        </w:rPr>
        <w:t xml:space="preserve">. În propunerile Comisiei privind Politica Agricolă Comună (PAC) pentru perioada 2021-2027 se prevede că cel puțin 40 % din bugetul total al PAC și cel puțin 30 % din Fondul pentru pescuit și afaceri maritime ar trebui să contribuie la combaterea schimbărilor climatice. </w:t>
      </w:r>
    </w:p>
    <w:p w:rsidR="002967F0" w:rsidRPr="00242122" w:rsidRDefault="002967F0" w:rsidP="002967F0">
      <w:pPr>
        <w:spacing w:before="120" w:after="120" w:line="240" w:lineRule="auto"/>
        <w:ind w:firstLine="720"/>
        <w:jc w:val="both"/>
        <w:rPr>
          <w:rFonts w:ascii="Arial" w:hAnsi="Arial" w:cs="Arial"/>
        </w:rPr>
      </w:pPr>
      <w:r w:rsidRPr="00242122">
        <w:rPr>
          <w:rFonts w:ascii="Arial" w:hAnsi="Arial" w:cs="Arial"/>
        </w:rPr>
        <w:t>Acest cadru european ambițios va influența realizarea și atingerea obiectivelor în cadrul Planurilor de Management actualizate ale bazinelor/spațiilor hidrografice (2022-2027).</w:t>
      </w:r>
    </w:p>
    <w:p w:rsidR="002967F0" w:rsidRPr="00242122" w:rsidRDefault="002967F0" w:rsidP="002967F0">
      <w:pPr>
        <w:spacing w:before="120" w:after="120" w:line="240" w:lineRule="auto"/>
        <w:ind w:firstLine="562"/>
        <w:jc w:val="both"/>
        <w:rPr>
          <w:rFonts w:ascii="Arial" w:hAnsi="Arial" w:cs="Arial"/>
          <w:sz w:val="24"/>
          <w:szCs w:val="24"/>
        </w:rPr>
      </w:pPr>
      <w:r w:rsidRPr="00242122">
        <w:rPr>
          <w:rFonts w:ascii="Arial" w:hAnsi="Arial" w:cs="Arial"/>
          <w:sz w:val="24"/>
          <w:szCs w:val="24"/>
        </w:rPr>
        <w:t>La nivelul districtului bazinului hidrografic al Dunării, cât și în România, sunt planificate sau sunt deja în curs de implementare măsuri specifice pentru adaptarea la schimbările climatice referitoare la deficitul de apă, cum ar fi: creșterea eficienței irigării, reducerea pierderilor din rețelele de distribuție a apei, cartografierea episoadelor de secetă și prognoză, educarea publicului cu privire la măsurile de economisire a apei, instrumente economice pentru plăți, reutilizarea apelor uzate, aplicarea de instrumente de stimulare (principiul utilizatorului plătește, penalități pentru consum excesiv), etc. În ceea ce privește managementul apelor și seceta, se are în vedere aplicarea de măsuri specifice la nivel national și bazinal, cum ar fi:</w:t>
      </w:r>
    </w:p>
    <w:p w:rsidR="002967F0" w:rsidRPr="00242122" w:rsidRDefault="002967F0" w:rsidP="00B12004">
      <w:pPr>
        <w:numPr>
          <w:ilvl w:val="0"/>
          <w:numId w:val="28"/>
        </w:numPr>
        <w:spacing w:after="0" w:line="240" w:lineRule="auto"/>
        <w:ind w:left="360"/>
        <w:jc w:val="both"/>
        <w:rPr>
          <w:rFonts w:ascii="Arial" w:hAnsi="Arial" w:cs="Arial"/>
          <w:sz w:val="24"/>
          <w:szCs w:val="24"/>
        </w:rPr>
      </w:pPr>
      <w:r w:rsidRPr="00242122">
        <w:rPr>
          <w:rFonts w:ascii="Arial" w:hAnsi="Arial" w:cs="Arial"/>
          <w:sz w:val="24"/>
          <w:szCs w:val="24"/>
        </w:rPr>
        <w:t>îmbunătățirea cunoștințelor, creșterea schimbului de informații dintre comunitatea științifică și factorii de decizie din domeniul apelor;</w:t>
      </w:r>
    </w:p>
    <w:p w:rsidR="002967F0" w:rsidRPr="00242122" w:rsidRDefault="002967F0" w:rsidP="00B12004">
      <w:pPr>
        <w:numPr>
          <w:ilvl w:val="0"/>
          <w:numId w:val="28"/>
        </w:numPr>
        <w:spacing w:after="0" w:line="240" w:lineRule="auto"/>
        <w:ind w:left="360"/>
        <w:jc w:val="both"/>
        <w:rPr>
          <w:rFonts w:ascii="Arial" w:hAnsi="Arial" w:cs="Arial"/>
          <w:sz w:val="24"/>
          <w:szCs w:val="24"/>
        </w:rPr>
      </w:pPr>
      <w:bookmarkStart w:id="18" w:name="_Hlk76636248"/>
      <w:r w:rsidRPr="00242122">
        <w:rPr>
          <w:rFonts w:ascii="Arial" w:hAnsi="Arial" w:cs="Arial"/>
          <w:sz w:val="24"/>
          <w:szCs w:val="24"/>
        </w:rPr>
        <w:t>elaborarea studiilor de vulnerabilitate a resurselor de apă la impactul schimbărilor climatice</w:t>
      </w:r>
      <w:bookmarkEnd w:id="18"/>
      <w:r w:rsidRPr="00242122">
        <w:rPr>
          <w:rFonts w:ascii="Arial" w:hAnsi="Arial" w:cs="Arial"/>
          <w:sz w:val="24"/>
          <w:szCs w:val="24"/>
        </w:rPr>
        <w:t>;</w:t>
      </w:r>
    </w:p>
    <w:p w:rsidR="002967F0" w:rsidRPr="00242122" w:rsidRDefault="002967F0" w:rsidP="00B12004">
      <w:pPr>
        <w:numPr>
          <w:ilvl w:val="0"/>
          <w:numId w:val="28"/>
        </w:numPr>
        <w:spacing w:after="0" w:line="240" w:lineRule="auto"/>
        <w:ind w:left="360"/>
        <w:jc w:val="both"/>
        <w:rPr>
          <w:rFonts w:ascii="Arial" w:hAnsi="Arial" w:cs="Arial"/>
          <w:sz w:val="24"/>
          <w:szCs w:val="24"/>
        </w:rPr>
      </w:pPr>
      <w:r w:rsidRPr="00242122">
        <w:rPr>
          <w:rFonts w:ascii="Arial" w:hAnsi="Arial" w:cs="Arial"/>
          <w:sz w:val="24"/>
          <w:szCs w:val="24"/>
        </w:rPr>
        <w:t xml:space="preserve">actualizarea evaluării </w:t>
      </w:r>
      <w:bookmarkStart w:id="19" w:name="_Hlk76636264"/>
      <w:r w:rsidRPr="00242122">
        <w:rPr>
          <w:rFonts w:ascii="Arial" w:hAnsi="Arial" w:cs="Arial"/>
          <w:sz w:val="24"/>
          <w:szCs w:val="24"/>
        </w:rPr>
        <w:t>disponibilității resurselor de apă pe baza programelor de monitorizare</w:t>
      </w:r>
      <w:bookmarkEnd w:id="19"/>
      <w:r w:rsidRPr="00242122">
        <w:rPr>
          <w:rFonts w:ascii="Arial" w:hAnsi="Arial" w:cs="Arial"/>
          <w:sz w:val="24"/>
          <w:szCs w:val="24"/>
        </w:rPr>
        <w:t xml:space="preserve">, în vederea stabilirii acțiunilor și măsurilor; </w:t>
      </w:r>
    </w:p>
    <w:p w:rsidR="002967F0" w:rsidRPr="00242122" w:rsidRDefault="002967F0" w:rsidP="00B12004">
      <w:pPr>
        <w:numPr>
          <w:ilvl w:val="0"/>
          <w:numId w:val="28"/>
        </w:numPr>
        <w:spacing w:after="0" w:line="240" w:lineRule="auto"/>
        <w:ind w:left="360"/>
        <w:jc w:val="both"/>
        <w:rPr>
          <w:rFonts w:ascii="Arial" w:hAnsi="Arial" w:cs="Arial"/>
          <w:sz w:val="24"/>
          <w:szCs w:val="24"/>
        </w:rPr>
      </w:pPr>
      <w:r w:rsidRPr="00242122">
        <w:rPr>
          <w:rFonts w:ascii="Arial" w:hAnsi="Arial" w:cs="Arial"/>
          <w:sz w:val="24"/>
          <w:szCs w:val="24"/>
        </w:rPr>
        <w:t xml:space="preserve">dezvoltarea </w:t>
      </w:r>
      <w:bookmarkStart w:id="20" w:name="_Hlk76636280"/>
      <w:r w:rsidRPr="00242122">
        <w:rPr>
          <w:rFonts w:ascii="Arial" w:hAnsi="Arial" w:cs="Arial"/>
          <w:sz w:val="24"/>
          <w:szCs w:val="24"/>
        </w:rPr>
        <w:t>scenariilor pentru cerința de apă a sectoarelor economice și propunerea de măsuri de atenuare și adaptare la schimbările climatice</w:t>
      </w:r>
      <w:bookmarkEnd w:id="20"/>
      <w:r w:rsidRPr="00242122">
        <w:rPr>
          <w:rFonts w:ascii="Arial" w:hAnsi="Arial" w:cs="Arial"/>
          <w:sz w:val="24"/>
          <w:szCs w:val="24"/>
        </w:rPr>
        <w:t xml:space="preserve">; </w:t>
      </w:r>
    </w:p>
    <w:p w:rsidR="002967F0" w:rsidRPr="00242122" w:rsidRDefault="002967F0" w:rsidP="00B12004">
      <w:pPr>
        <w:numPr>
          <w:ilvl w:val="0"/>
          <w:numId w:val="28"/>
        </w:numPr>
        <w:spacing w:after="0" w:line="240" w:lineRule="auto"/>
        <w:ind w:left="360"/>
        <w:jc w:val="both"/>
        <w:rPr>
          <w:rFonts w:ascii="Arial" w:hAnsi="Arial" w:cs="Arial"/>
          <w:sz w:val="24"/>
          <w:szCs w:val="24"/>
        </w:rPr>
      </w:pPr>
      <w:r w:rsidRPr="00242122">
        <w:rPr>
          <w:rFonts w:ascii="Arial" w:hAnsi="Arial" w:cs="Arial"/>
          <w:sz w:val="24"/>
          <w:szCs w:val="24"/>
        </w:rPr>
        <w:t>planificarea infrastructurii pentru managementul resurselor de apă considerând necesarul socio-economic și de mediu (debitul ecologic), inclusiv pentru surse de apă noi și diversificarea acestora;</w:t>
      </w:r>
    </w:p>
    <w:p w:rsidR="002967F0" w:rsidRPr="00242122" w:rsidRDefault="002967F0" w:rsidP="00B12004">
      <w:pPr>
        <w:numPr>
          <w:ilvl w:val="0"/>
          <w:numId w:val="28"/>
        </w:numPr>
        <w:spacing w:after="0" w:line="240" w:lineRule="auto"/>
        <w:ind w:left="360"/>
        <w:jc w:val="both"/>
        <w:rPr>
          <w:rFonts w:ascii="Arial" w:hAnsi="Arial" w:cs="Arial"/>
          <w:sz w:val="24"/>
          <w:szCs w:val="24"/>
        </w:rPr>
      </w:pPr>
      <w:r w:rsidRPr="00242122">
        <w:rPr>
          <w:rFonts w:ascii="Arial" w:hAnsi="Arial" w:cs="Arial"/>
          <w:sz w:val="24"/>
          <w:szCs w:val="24"/>
        </w:rPr>
        <w:lastRenderedPageBreak/>
        <w:t>identificarea și aplicarea utilizării eficiente a apelor, economisirea apei și analiza unei posibile reutilizări a apei;</w:t>
      </w:r>
    </w:p>
    <w:p w:rsidR="002967F0" w:rsidRPr="00242122" w:rsidRDefault="002967F0" w:rsidP="00B12004">
      <w:pPr>
        <w:numPr>
          <w:ilvl w:val="0"/>
          <w:numId w:val="28"/>
        </w:numPr>
        <w:spacing w:after="0" w:line="240" w:lineRule="auto"/>
        <w:ind w:left="360"/>
        <w:jc w:val="both"/>
        <w:rPr>
          <w:rFonts w:ascii="Arial" w:hAnsi="Arial" w:cs="Arial"/>
          <w:sz w:val="24"/>
          <w:szCs w:val="24"/>
        </w:rPr>
      </w:pPr>
      <w:bookmarkStart w:id="21" w:name="_Hlk76636173"/>
      <w:r w:rsidRPr="00242122">
        <w:rPr>
          <w:rFonts w:ascii="Arial" w:hAnsi="Arial" w:cs="Arial"/>
          <w:sz w:val="24"/>
          <w:szCs w:val="24"/>
        </w:rPr>
        <w:t>promovarea și aplicarea măsurilor verzi de retenție naturală a apelor, acolo unde este posibil, pentru asigurarea în principal a cerințelor Directivei Cadru Apă, Directivei Inundații și Directivelor Habitate și Păsări</w:t>
      </w:r>
      <w:bookmarkEnd w:id="21"/>
      <w:r w:rsidRPr="00242122">
        <w:rPr>
          <w:rFonts w:ascii="Arial" w:hAnsi="Arial" w:cs="Arial"/>
          <w:sz w:val="24"/>
          <w:szCs w:val="24"/>
        </w:rPr>
        <w:t>;</w:t>
      </w:r>
    </w:p>
    <w:p w:rsidR="002967F0" w:rsidRPr="00242122" w:rsidRDefault="002967F0" w:rsidP="00B12004">
      <w:pPr>
        <w:numPr>
          <w:ilvl w:val="0"/>
          <w:numId w:val="28"/>
        </w:numPr>
        <w:spacing w:after="0" w:line="240" w:lineRule="auto"/>
        <w:ind w:left="360"/>
        <w:jc w:val="both"/>
        <w:rPr>
          <w:rFonts w:ascii="Arial" w:hAnsi="Arial" w:cs="Arial"/>
          <w:sz w:val="24"/>
          <w:szCs w:val="24"/>
        </w:rPr>
      </w:pPr>
      <w:r w:rsidRPr="00242122">
        <w:rPr>
          <w:rFonts w:ascii="Arial" w:hAnsi="Arial" w:cs="Arial"/>
          <w:sz w:val="24"/>
          <w:szCs w:val="24"/>
        </w:rPr>
        <w:t>aplicarea rezultatelor proiectelor implementate la nivel internațional (DriDanube</w:t>
      </w:r>
      <w:r w:rsidRPr="00242122">
        <w:rPr>
          <w:rFonts w:ascii="Arial" w:hAnsi="Arial" w:cs="Arial"/>
          <w:sz w:val="24"/>
          <w:szCs w:val="24"/>
          <w:vertAlign w:val="superscript"/>
        </w:rPr>
        <w:footnoteReference w:id="17"/>
      </w:r>
      <w:r w:rsidRPr="00242122">
        <w:rPr>
          <w:rFonts w:ascii="Arial" w:hAnsi="Arial" w:cs="Arial"/>
          <w:sz w:val="24"/>
          <w:szCs w:val="24"/>
        </w:rPr>
        <w:t>/Riscul secetei în regiunea Dunării, DIANA</w:t>
      </w:r>
      <w:r w:rsidRPr="00242122">
        <w:rPr>
          <w:rFonts w:ascii="Arial" w:hAnsi="Arial" w:cs="Arial"/>
          <w:sz w:val="24"/>
          <w:szCs w:val="24"/>
          <w:vertAlign w:val="superscript"/>
        </w:rPr>
        <w:footnoteReference w:id="18"/>
      </w:r>
      <w:r w:rsidRPr="00242122">
        <w:rPr>
          <w:rFonts w:ascii="Arial" w:hAnsi="Arial" w:cs="Arial"/>
          <w:sz w:val="24"/>
          <w:szCs w:val="24"/>
        </w:rPr>
        <w:t>/Detecția și  evaluarea integrată a prelevărilor ilegale de apă, ViWA</w:t>
      </w:r>
      <w:r w:rsidRPr="00242122">
        <w:rPr>
          <w:rFonts w:ascii="Arial" w:hAnsi="Arial" w:cs="Arial"/>
          <w:sz w:val="24"/>
          <w:szCs w:val="24"/>
          <w:vertAlign w:val="superscript"/>
        </w:rPr>
        <w:footnoteReference w:id="19"/>
      </w:r>
      <w:r w:rsidRPr="00242122">
        <w:rPr>
          <w:rFonts w:ascii="Arial" w:hAnsi="Arial" w:cs="Arial"/>
          <w:sz w:val="24"/>
          <w:szCs w:val="24"/>
        </w:rPr>
        <w:t>/Valorile virtuale ale apei);</w:t>
      </w:r>
    </w:p>
    <w:p w:rsidR="002967F0" w:rsidRPr="00242122" w:rsidRDefault="002967F0" w:rsidP="00B12004">
      <w:pPr>
        <w:numPr>
          <w:ilvl w:val="0"/>
          <w:numId w:val="28"/>
        </w:numPr>
        <w:spacing w:after="0" w:line="240" w:lineRule="auto"/>
        <w:ind w:left="360"/>
        <w:jc w:val="both"/>
        <w:rPr>
          <w:rFonts w:ascii="Arial" w:hAnsi="Arial" w:cs="Arial"/>
          <w:sz w:val="24"/>
          <w:szCs w:val="24"/>
        </w:rPr>
      </w:pPr>
      <w:bookmarkStart w:id="22" w:name="_Hlk76636219"/>
      <w:r w:rsidRPr="00242122">
        <w:rPr>
          <w:rFonts w:ascii="Arial" w:hAnsi="Arial" w:cs="Arial"/>
          <w:sz w:val="24"/>
          <w:szCs w:val="24"/>
        </w:rPr>
        <w:t>consolidarea colaborării dintre mediul academic, managementul apelor și sectoarele social-economice</w:t>
      </w:r>
      <w:bookmarkEnd w:id="22"/>
      <w:r w:rsidRPr="00242122">
        <w:rPr>
          <w:rFonts w:ascii="Arial" w:hAnsi="Arial" w:cs="Arial"/>
          <w:sz w:val="24"/>
          <w:szCs w:val="24"/>
        </w:rPr>
        <w:t>; un exemplu de îndrumări de bună practică se găsesc în documentul Ghidul privind agricultură durabilă la nivelul bazinului Dunării</w:t>
      </w:r>
      <w:r w:rsidRPr="00242122">
        <w:rPr>
          <w:rFonts w:ascii="Arial" w:hAnsi="Arial" w:cs="Arial"/>
          <w:sz w:val="24"/>
          <w:szCs w:val="24"/>
          <w:vertAlign w:val="superscript"/>
        </w:rPr>
        <w:footnoteReference w:id="20"/>
      </w:r>
      <w:r w:rsidRPr="00242122">
        <w:rPr>
          <w:rFonts w:ascii="Arial" w:hAnsi="Arial" w:cs="Arial"/>
          <w:sz w:val="24"/>
          <w:szCs w:val="24"/>
        </w:rPr>
        <w:t xml:space="preserve">.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La nivel național, în vederea sprijinirii autorităților locale și operatorilor de servicii de apă și canal pentru asigurarea conformării aglomerărilor umane cu cerințele legislației în vigoare, începând cu anul 2017 s-au demarat acțiuni care au în vedere:</w:t>
      </w:r>
    </w:p>
    <w:p w:rsidR="002967F0" w:rsidRPr="00242122" w:rsidRDefault="002967F0" w:rsidP="00B12004">
      <w:pPr>
        <w:numPr>
          <w:ilvl w:val="0"/>
          <w:numId w:val="27"/>
        </w:numPr>
        <w:spacing w:after="0" w:line="240" w:lineRule="auto"/>
        <w:ind w:left="274" w:hanging="274"/>
        <w:jc w:val="both"/>
        <w:rPr>
          <w:rFonts w:ascii="Arial" w:hAnsi="Arial" w:cs="Arial"/>
          <w:sz w:val="24"/>
          <w:szCs w:val="24"/>
        </w:rPr>
      </w:pPr>
      <w:r w:rsidRPr="00242122">
        <w:rPr>
          <w:rFonts w:ascii="Arial" w:hAnsi="Arial" w:cs="Arial"/>
          <w:sz w:val="24"/>
          <w:szCs w:val="24"/>
        </w:rPr>
        <w:t>modificarea și completarea Legii nr. 241/2006 a serviciului de alimentare cu apă și canalizare și a Legii nr. 51/2006 serviciilor comunitare de utilități publice,</w:t>
      </w:r>
      <w:r w:rsidRPr="00242122">
        <w:rPr>
          <w:rFonts w:ascii="Arial" w:hAnsi="Arial" w:cs="Arial"/>
        </w:rPr>
        <w:t xml:space="preserve"> în principal </w:t>
      </w:r>
      <w:r w:rsidRPr="00242122">
        <w:rPr>
          <w:rFonts w:ascii="Arial" w:hAnsi="Arial" w:cs="Arial"/>
          <w:sz w:val="24"/>
          <w:szCs w:val="24"/>
        </w:rPr>
        <w:t>în sensul monitorizării de către autoritățile locale a populației neconectate la rețeaua de canalizare și pentru acordarea de ajutoare sociale;</w:t>
      </w:r>
    </w:p>
    <w:p w:rsidR="002967F0" w:rsidRPr="00242122" w:rsidRDefault="002967F0" w:rsidP="00B12004">
      <w:pPr>
        <w:numPr>
          <w:ilvl w:val="0"/>
          <w:numId w:val="27"/>
        </w:numPr>
        <w:spacing w:after="0" w:line="240" w:lineRule="auto"/>
        <w:ind w:left="274" w:hanging="274"/>
        <w:jc w:val="both"/>
        <w:rPr>
          <w:rFonts w:ascii="Arial" w:hAnsi="Arial" w:cs="Arial"/>
          <w:sz w:val="24"/>
          <w:szCs w:val="24"/>
        </w:rPr>
      </w:pPr>
      <w:r w:rsidRPr="00242122">
        <w:rPr>
          <w:rFonts w:ascii="Arial" w:hAnsi="Arial" w:cs="Arial"/>
          <w:sz w:val="24"/>
          <w:szCs w:val="24"/>
        </w:rPr>
        <w:t>reactualizarea Planului de conformare pentru implementarea Directivei 91/271/CEE privind epurarea apelor uzate urbane, prin intermediul unui proiect de asistență tehnică finanțat din programul Operațional Capacitate Administrativă, proiect care va fi implementat de Ministerul Apelor și Pădurilor în colaborare cu Banca Mondială;</w:t>
      </w:r>
    </w:p>
    <w:p w:rsidR="002967F0" w:rsidRPr="00242122" w:rsidRDefault="002967F0" w:rsidP="00B12004">
      <w:pPr>
        <w:numPr>
          <w:ilvl w:val="0"/>
          <w:numId w:val="27"/>
        </w:numPr>
        <w:spacing w:after="0" w:line="240" w:lineRule="auto"/>
        <w:ind w:left="274" w:hanging="274"/>
        <w:jc w:val="both"/>
        <w:rPr>
          <w:rFonts w:ascii="Arial" w:hAnsi="Arial" w:cs="Arial"/>
          <w:sz w:val="24"/>
          <w:szCs w:val="24"/>
        </w:rPr>
      </w:pPr>
      <w:r w:rsidRPr="00242122">
        <w:rPr>
          <w:rFonts w:ascii="Arial" w:hAnsi="Arial" w:cs="Arial"/>
          <w:sz w:val="24"/>
          <w:szCs w:val="24"/>
        </w:rPr>
        <w:t>realizarea de către Banca Europeană de Reconstrucție și Dezvoltare a Raportului privind opțiunile strategice de management al politicii de regionalizare în România, din perspectiva îndeplinirii angajamentelor de conformare, care va fi realizat prin intermediul unui proiect de asistență tehnică finanțat din Programul Operațional Asistență Tehnică.</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Se menționează că investițiile pentru realizarea infrastructurii de apă și apă uzată sprijină îmbunătățirea accesului populației la servicii bune de apă, însă contribuie și la atingerea țintelor de dezvoltare durabilă (Sustainable Development Goals - SDGs) stabilite de Natiunile Unite. SDG 6 se adresează întregului ciclu al apei, accesului universal și echitabil pentru toți cetățenii la apă potabilă de calitate sigură și la costuri suportabile, eficienței de utilizare a apei în diferite sectoare economice, managementului sustenabil și integrat al apelor și îmbunătățirii apei în relația cu starea ecosistemelor. Națiunile Unite consideră astfel că este imperioasa creșterea investițiilor în infrastrutura de apă pentru atingerea țintelor SDG 6. În România, politicile de management al apei urmează recomandările privind prioritizarea fondurilor pentru apă și sanitație, încurajează utilizarea durabilă a utilizării apelor și prevenirea pierderilor, prin utilizarea educației și dezvoltării tehnologiilor de tratare, prin stabilirea unui mediu în care inovația și parteneriatul pot contribui eficient în domeniu. </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La nivelul Uniunii Europene a intrat în vigoare </w:t>
      </w:r>
      <w:r w:rsidRPr="00242122">
        <w:rPr>
          <w:rFonts w:ascii="Arial" w:hAnsi="Arial" w:cs="Arial"/>
          <w:b/>
          <w:bCs/>
          <w:sz w:val="24"/>
          <w:szCs w:val="24"/>
        </w:rPr>
        <w:t xml:space="preserve">Regulamentul (UE) 2020/741 al Parlamentului European și al Consiliului din 25 mai 2020 privind a intrat în vigoare </w:t>
      </w:r>
      <w:r w:rsidRPr="00242122">
        <w:rPr>
          <w:rFonts w:ascii="Arial" w:hAnsi="Arial" w:cs="Arial"/>
          <w:b/>
          <w:bCs/>
          <w:sz w:val="24"/>
          <w:szCs w:val="24"/>
        </w:rPr>
        <w:lastRenderedPageBreak/>
        <w:t>cerințele minime pentru reutilizarea apei</w:t>
      </w:r>
      <w:r w:rsidRPr="00242122">
        <w:rPr>
          <w:rStyle w:val="FootnoteReference"/>
          <w:rFonts w:ascii="Arial" w:hAnsi="Arial" w:cs="Arial"/>
          <w:sz w:val="24"/>
          <w:szCs w:val="24"/>
        </w:rPr>
        <w:footnoteReference w:id="21"/>
      </w:r>
      <w:r w:rsidRPr="00242122">
        <w:rPr>
          <w:rFonts w:ascii="Arial" w:hAnsi="Arial" w:cs="Arial"/>
          <w:sz w:val="24"/>
          <w:szCs w:val="24"/>
        </w:rPr>
        <w:t>. Regulamentul stabilește cerințe minime de calitate a apei și de monitorizare pentru utilizare în special în agricultură  precum și dispoziții privind managementul riscului și utilizarea în siguranță a apelor recuperate, în contextul managementului integrat al apei. România trebuie să aplice Regulamentul începând cu 26 iunie 2023. Aplicarea viitoare a prevederilor regulamentului constituie o măsură specifică pentru gestionarea apei în condiții de secetă, apele uzate epurate devenind o sursă importantă de apă și nutrienți, în special pentru anumite culturil agricole.</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În vederea stabilirii unor măsuri privind adaptarea la schimbările climatice în perioada 2022-2027 se vor realiza acţiuni importante referitoare la atenuarea și adaptarea managementului apelor la schimbările climatice. Astfel se continuă implementarea acţiunilor de adaptare la nivel naţional, regional și local stabilite în Strategiei Naționale a României privind Schimbările Climatice și a principalelor acţiuni incluse  în Planul Naţional de acțiune privind schimbările climatice pentru îmbunătăţirea rezistenţei la schimbările climatice în sectoarele legate de apă. </w:t>
      </w:r>
    </w:p>
    <w:p w:rsidR="002967F0" w:rsidRPr="00242122" w:rsidRDefault="002967F0" w:rsidP="002967F0">
      <w:pPr>
        <w:spacing w:after="0" w:line="240" w:lineRule="auto"/>
        <w:ind w:firstLine="567"/>
        <w:jc w:val="both"/>
        <w:rPr>
          <w:rFonts w:ascii="Arial" w:hAnsi="Arial" w:cs="Arial"/>
          <w:sz w:val="24"/>
          <w:szCs w:val="24"/>
        </w:rPr>
      </w:pPr>
      <w:r w:rsidRPr="00242122">
        <w:rPr>
          <w:rFonts w:ascii="Arial" w:hAnsi="Arial" w:cs="Arial"/>
          <w:sz w:val="24"/>
          <w:szCs w:val="24"/>
        </w:rPr>
        <w:t>De asemenea, se implementează continuu programe de măsuri pentru gestionarea fenomenului de secetă, având în vedere și prevederile următoarelor documente principale în domeniu pentru planificarea și adoptarea unui sistem eficient de prevenire și protecție:</w:t>
      </w:r>
    </w:p>
    <w:p w:rsidR="002967F0" w:rsidRPr="00242122" w:rsidRDefault="002967F0" w:rsidP="00B12004">
      <w:pPr>
        <w:numPr>
          <w:ilvl w:val="0"/>
          <w:numId w:val="27"/>
        </w:numPr>
        <w:spacing w:after="0" w:line="240" w:lineRule="auto"/>
        <w:ind w:left="274" w:hanging="274"/>
        <w:jc w:val="both"/>
        <w:rPr>
          <w:rFonts w:ascii="Arial" w:hAnsi="Arial" w:cs="Arial"/>
          <w:sz w:val="24"/>
          <w:szCs w:val="24"/>
        </w:rPr>
      </w:pPr>
      <w:r w:rsidRPr="00242122">
        <w:rPr>
          <w:rFonts w:ascii="Arial" w:hAnsi="Arial" w:cs="Arial"/>
          <w:sz w:val="24"/>
          <w:szCs w:val="24"/>
        </w:rPr>
        <w:t>Strategiei naţionale privind reducerea efectelor secetei, prevenirea şi combaterea degradării terenurilor şi deşertificării, pe termen scurt, mediu şi lung;</w:t>
      </w:r>
    </w:p>
    <w:p w:rsidR="002967F0" w:rsidRPr="00242122" w:rsidRDefault="002967F0" w:rsidP="00B12004">
      <w:pPr>
        <w:numPr>
          <w:ilvl w:val="0"/>
          <w:numId w:val="27"/>
        </w:numPr>
        <w:spacing w:after="0" w:line="240" w:lineRule="auto"/>
        <w:ind w:left="274" w:hanging="274"/>
        <w:jc w:val="both"/>
        <w:rPr>
          <w:rFonts w:ascii="Arial" w:hAnsi="Arial" w:cs="Arial"/>
          <w:sz w:val="24"/>
          <w:szCs w:val="24"/>
        </w:rPr>
      </w:pPr>
      <w:r w:rsidRPr="00242122">
        <w:rPr>
          <w:rFonts w:ascii="Arial" w:hAnsi="Arial" w:cs="Arial"/>
          <w:sz w:val="24"/>
          <w:szCs w:val="24"/>
        </w:rPr>
        <w:t>Planurilor de Management actualizate ale bazinelor/spațiilor hidrografice (seceta și lipsa apei);</w:t>
      </w:r>
    </w:p>
    <w:p w:rsidR="002967F0" w:rsidRPr="00242122" w:rsidRDefault="002967F0" w:rsidP="00B12004">
      <w:pPr>
        <w:numPr>
          <w:ilvl w:val="0"/>
          <w:numId w:val="27"/>
        </w:numPr>
        <w:spacing w:after="0" w:line="240" w:lineRule="auto"/>
        <w:ind w:left="274" w:hanging="274"/>
        <w:jc w:val="both"/>
        <w:rPr>
          <w:rFonts w:ascii="Arial" w:hAnsi="Arial" w:cs="Arial"/>
          <w:sz w:val="24"/>
          <w:szCs w:val="24"/>
        </w:rPr>
      </w:pPr>
      <w:r w:rsidRPr="00242122">
        <w:rPr>
          <w:rFonts w:ascii="Arial" w:hAnsi="Arial" w:cs="Arial"/>
          <w:sz w:val="24"/>
          <w:szCs w:val="24"/>
        </w:rPr>
        <w:t>Regulamentului privind gestionarea situațiilor de urgență generate de fenomene hidrometeorologice periculoase având ca efect producerea de inundații, secetă hidrologică precum și incidente/accidente la construcții hidrotehnice, poluări accidentale ale cursurilor de apă și poluări marine în zona costieră;</w:t>
      </w:r>
    </w:p>
    <w:p w:rsidR="002967F0" w:rsidRPr="00242122" w:rsidRDefault="002967F0" w:rsidP="00B12004">
      <w:pPr>
        <w:numPr>
          <w:ilvl w:val="0"/>
          <w:numId w:val="27"/>
        </w:numPr>
        <w:spacing w:after="0" w:line="240" w:lineRule="auto"/>
        <w:ind w:left="274" w:hanging="274"/>
        <w:jc w:val="both"/>
        <w:rPr>
          <w:rFonts w:ascii="Arial" w:hAnsi="Arial" w:cs="Arial"/>
          <w:sz w:val="24"/>
          <w:szCs w:val="24"/>
        </w:rPr>
      </w:pPr>
      <w:r w:rsidRPr="00242122">
        <w:rPr>
          <w:rFonts w:ascii="Arial" w:hAnsi="Arial" w:cs="Arial"/>
          <w:sz w:val="24"/>
          <w:szCs w:val="24"/>
        </w:rPr>
        <w:t>Planurilor pentru restricționarea utilizării apei în perioadele cu deficit de apă;</w:t>
      </w:r>
    </w:p>
    <w:p w:rsidR="002967F0" w:rsidRPr="00242122" w:rsidRDefault="002967F0" w:rsidP="00B12004">
      <w:pPr>
        <w:numPr>
          <w:ilvl w:val="0"/>
          <w:numId w:val="27"/>
        </w:numPr>
        <w:spacing w:after="0" w:line="240" w:lineRule="auto"/>
        <w:ind w:left="274" w:hanging="274"/>
        <w:jc w:val="both"/>
        <w:rPr>
          <w:rFonts w:ascii="Arial" w:hAnsi="Arial" w:cs="Arial"/>
          <w:sz w:val="24"/>
          <w:szCs w:val="24"/>
        </w:rPr>
      </w:pPr>
      <w:r w:rsidRPr="00242122">
        <w:rPr>
          <w:rFonts w:ascii="Arial" w:hAnsi="Arial" w:cs="Arial"/>
          <w:sz w:val="24"/>
          <w:szCs w:val="24"/>
        </w:rPr>
        <w:t>Regulamentelor de exploatare ale barajelor, acumulărilor și captărilor de apă - regulamente de funcționare în caz de secetă.</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Complementar se implement</w:t>
      </w:r>
      <w:r w:rsidR="00BD737A">
        <w:rPr>
          <w:rFonts w:ascii="Arial" w:hAnsi="Arial" w:cs="Arial"/>
          <w:sz w:val="24"/>
          <w:szCs w:val="24"/>
        </w:rPr>
        <w:t>ează ș</w:t>
      </w:r>
      <w:r w:rsidRPr="00242122">
        <w:rPr>
          <w:rFonts w:ascii="Arial" w:hAnsi="Arial" w:cs="Arial"/>
          <w:sz w:val="24"/>
          <w:szCs w:val="24"/>
        </w:rPr>
        <w:t>i măsuri specifice pentru:</w:t>
      </w:r>
    </w:p>
    <w:p w:rsidR="002967F0" w:rsidRPr="00242122" w:rsidRDefault="002967F0" w:rsidP="00B12004">
      <w:pPr>
        <w:numPr>
          <w:ilvl w:val="0"/>
          <w:numId w:val="27"/>
        </w:numPr>
        <w:spacing w:after="0" w:line="240" w:lineRule="auto"/>
        <w:ind w:left="274" w:hanging="274"/>
        <w:jc w:val="both"/>
        <w:rPr>
          <w:rFonts w:ascii="Arial" w:hAnsi="Arial" w:cs="Arial"/>
          <w:sz w:val="24"/>
          <w:szCs w:val="24"/>
        </w:rPr>
      </w:pPr>
      <w:r w:rsidRPr="00242122">
        <w:rPr>
          <w:rFonts w:ascii="Arial" w:hAnsi="Arial" w:cs="Arial"/>
          <w:sz w:val="24"/>
          <w:szCs w:val="24"/>
        </w:rPr>
        <w:t>creșterea eficienței irigării, prin utilizarea unor echipamente mai eficiente din punct de vedere energetic și schimbarea surselor de energie, adoptarea de tehnologii și măsuri pentru economisirea apei;</w:t>
      </w:r>
    </w:p>
    <w:p w:rsidR="002967F0" w:rsidRPr="00242122" w:rsidRDefault="002967F0" w:rsidP="00B12004">
      <w:pPr>
        <w:numPr>
          <w:ilvl w:val="0"/>
          <w:numId w:val="27"/>
        </w:numPr>
        <w:spacing w:after="0" w:line="240" w:lineRule="auto"/>
        <w:ind w:left="274" w:hanging="274"/>
        <w:jc w:val="both"/>
        <w:rPr>
          <w:rFonts w:ascii="Arial" w:hAnsi="Arial" w:cs="Arial"/>
          <w:sz w:val="24"/>
          <w:szCs w:val="24"/>
        </w:rPr>
      </w:pPr>
      <w:r w:rsidRPr="00242122">
        <w:rPr>
          <w:rFonts w:ascii="Arial" w:hAnsi="Arial" w:cs="Arial"/>
          <w:sz w:val="24"/>
          <w:szCs w:val="24"/>
        </w:rPr>
        <w:t>reducerea pierderilor pe rețeaua de distribuție a apei, prin adoptarea de măsuri tehnice pentru reabilitarea, înlocuirea și utilizarea de materiale noi pentru conductele de distribuție a apei;</w:t>
      </w:r>
    </w:p>
    <w:p w:rsidR="002967F0" w:rsidRPr="00242122" w:rsidRDefault="002967F0" w:rsidP="00B12004">
      <w:pPr>
        <w:numPr>
          <w:ilvl w:val="0"/>
          <w:numId w:val="27"/>
        </w:numPr>
        <w:spacing w:after="0" w:line="240" w:lineRule="auto"/>
        <w:ind w:left="274" w:hanging="274"/>
        <w:jc w:val="both"/>
        <w:rPr>
          <w:rFonts w:ascii="Arial" w:hAnsi="Arial" w:cs="Arial"/>
          <w:sz w:val="24"/>
          <w:szCs w:val="24"/>
        </w:rPr>
      </w:pPr>
      <w:r w:rsidRPr="00242122">
        <w:rPr>
          <w:rFonts w:ascii="Arial" w:hAnsi="Arial" w:cs="Arial"/>
          <w:sz w:val="24"/>
          <w:szCs w:val="24"/>
        </w:rPr>
        <w:t>reutilizarea apelor uzate prin valorificarea în diverse scopuri (irigații, recuperare nutrienți etc.);</w:t>
      </w:r>
    </w:p>
    <w:p w:rsidR="002967F0" w:rsidRPr="00242122" w:rsidRDefault="002967F0" w:rsidP="00B12004">
      <w:pPr>
        <w:numPr>
          <w:ilvl w:val="0"/>
          <w:numId w:val="27"/>
        </w:numPr>
        <w:spacing w:after="0" w:line="240" w:lineRule="auto"/>
        <w:ind w:left="274" w:hanging="274"/>
        <w:jc w:val="both"/>
        <w:rPr>
          <w:rFonts w:ascii="Arial" w:hAnsi="Arial" w:cs="Arial"/>
          <w:sz w:val="24"/>
          <w:szCs w:val="24"/>
        </w:rPr>
      </w:pPr>
      <w:r w:rsidRPr="00242122">
        <w:rPr>
          <w:rFonts w:ascii="Arial" w:hAnsi="Arial" w:cs="Arial"/>
          <w:sz w:val="24"/>
          <w:szCs w:val="24"/>
        </w:rPr>
        <w:t>cartarea și prognozarea secetei pe baza de mijloace moderne de modelare și detectare;</w:t>
      </w:r>
    </w:p>
    <w:p w:rsidR="002967F0" w:rsidRPr="00242122" w:rsidRDefault="002967F0" w:rsidP="00B12004">
      <w:pPr>
        <w:numPr>
          <w:ilvl w:val="0"/>
          <w:numId w:val="27"/>
        </w:numPr>
        <w:spacing w:after="0" w:line="240" w:lineRule="auto"/>
        <w:ind w:left="274" w:hanging="274"/>
        <w:jc w:val="both"/>
        <w:rPr>
          <w:rFonts w:ascii="Arial" w:hAnsi="Arial" w:cs="Arial"/>
          <w:sz w:val="24"/>
          <w:szCs w:val="24"/>
        </w:rPr>
      </w:pPr>
      <w:r w:rsidRPr="00242122">
        <w:rPr>
          <w:rFonts w:ascii="Arial" w:hAnsi="Arial" w:cs="Arial"/>
          <w:sz w:val="24"/>
          <w:szCs w:val="24"/>
        </w:rPr>
        <w:t>educarea publicului cu privire la măsurile de economisire a apei, prin campanii de informare și conștientizare în mas-media și în cadrul proiectelor specifice;</w:t>
      </w:r>
    </w:p>
    <w:p w:rsidR="002967F0" w:rsidRPr="00242122" w:rsidRDefault="002967F0" w:rsidP="00B12004">
      <w:pPr>
        <w:numPr>
          <w:ilvl w:val="0"/>
          <w:numId w:val="27"/>
        </w:numPr>
        <w:spacing w:after="0" w:line="240" w:lineRule="auto"/>
        <w:ind w:left="274" w:hanging="274"/>
        <w:jc w:val="both"/>
        <w:rPr>
          <w:rFonts w:ascii="Arial" w:hAnsi="Arial" w:cs="Arial"/>
          <w:sz w:val="24"/>
          <w:szCs w:val="24"/>
        </w:rPr>
      </w:pPr>
      <w:r w:rsidRPr="00242122">
        <w:rPr>
          <w:rFonts w:ascii="Arial" w:hAnsi="Arial" w:cs="Arial"/>
          <w:sz w:val="24"/>
          <w:szCs w:val="24"/>
        </w:rPr>
        <w:t>aplicarea de instrumente de stimulare (principiul utilizatorului plătește, penalități pentru consum excesiv).</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 xml:space="preserve">Se menționază faptul că la nivelul Administrației Bazinale de Apă Jiu, în colaborare cu Administrația Națională ,,Apele Române" și Autoritatea de apă din Oland (Dutch Water </w:t>
      </w:r>
      <w:r w:rsidRPr="00242122">
        <w:rPr>
          <w:rFonts w:ascii="Arial" w:hAnsi="Arial" w:cs="Arial"/>
          <w:sz w:val="24"/>
          <w:szCs w:val="24"/>
        </w:rPr>
        <w:lastRenderedPageBreak/>
        <w:t>Authority), se implementează în perioada 2019-2022 proiectul ,,Managementul integrat al resurselor de apă prin implicarea factorilor interesați-studiu de caz, seceta în Câmpia Olteniei", proiect finanțat prin programul BLUE DEAL. Unul dintre obiectivele acestui proiect este elaborarea unui set de măsuri specifice și aplicabile domeniului de gospodărire a apelor, care să reducă efectele secetei în zone afectate de acest fenomen din bazinul hidrografic Jiu, precum și în alte bazine din țară, care au probleme similare.</w:t>
      </w:r>
    </w:p>
    <w:p w:rsidR="002967F0" w:rsidRPr="00242122" w:rsidRDefault="002967F0" w:rsidP="002967F0">
      <w:pPr>
        <w:spacing w:before="120" w:after="120" w:line="240" w:lineRule="auto"/>
        <w:ind w:firstLine="567"/>
        <w:jc w:val="both"/>
        <w:rPr>
          <w:rFonts w:ascii="Arial" w:hAnsi="Arial" w:cs="Arial"/>
          <w:sz w:val="24"/>
          <w:szCs w:val="24"/>
        </w:rPr>
      </w:pPr>
      <w:r w:rsidRPr="00242122">
        <w:rPr>
          <w:rFonts w:ascii="Arial" w:hAnsi="Arial" w:cs="Arial"/>
          <w:sz w:val="24"/>
          <w:szCs w:val="24"/>
        </w:rPr>
        <w:t>Referitor la protecția naturii, în ultimii ani reţeaua naţională de arii naturale protejate a fost completată cu desemnarea siturilor Natura 2000, iar legislaţia cuprinde prevederi specifice privind protecţia şi îmbunătăţirea stării favorabile de conservare a speciilor şi habitatelor sălbatice de interes comunitar. Pornind de la abordarea integrată a tuturor aspectelor relevante pentru resursele de apă, Directiva Cadru Apă menționează în cuprinsul său relația cu habitatele și speciile unde menținerea sau îmbunătățirea stării apei este un factor important în protecția lor. În acest sens, se prevede obligativitatea realizării și actualizării unui registru al zonelor protejate care să includă și această categorie de habitate și specii.</w:t>
      </w:r>
    </w:p>
    <w:p w:rsidR="00D27D5B" w:rsidRPr="00EF505D" w:rsidRDefault="002967F0" w:rsidP="00670DE5">
      <w:pPr>
        <w:spacing w:before="120" w:after="120" w:line="240" w:lineRule="auto"/>
        <w:ind w:firstLine="567"/>
        <w:jc w:val="both"/>
        <w:rPr>
          <w:rFonts w:ascii="Arial" w:hAnsi="Arial" w:cs="Arial"/>
          <w:b/>
          <w:sz w:val="24"/>
          <w:szCs w:val="24"/>
        </w:rPr>
      </w:pPr>
      <w:r w:rsidRPr="00242122">
        <w:rPr>
          <w:rFonts w:ascii="Arial" w:hAnsi="Arial" w:cs="Arial"/>
          <w:sz w:val="24"/>
          <w:szCs w:val="24"/>
        </w:rPr>
        <w:t>Efortul comun al utilizatorilor de apă, al factorilor interesaţi şi publicului larg, al autorităților de gospodărirea apelor, prin aplicarea măsurilor prevăzute în strategiile și planurile pentru gospodărirea integrată a resurselor de apă, va conduce la atingerea obiectivelor de mediu ale corpurilor de apă, fiind în același timp o oportunitate pentru această generație, pentru oameni și organizații, de a lucra împreună în scopul îmbunătățirii mediului acvatic în toate aspectele lui.</w:t>
      </w:r>
      <w:r w:rsidR="00670DE5" w:rsidRPr="00EF505D">
        <w:rPr>
          <w:rFonts w:ascii="Arial" w:hAnsi="Arial" w:cs="Arial"/>
          <w:b/>
          <w:sz w:val="24"/>
          <w:szCs w:val="24"/>
        </w:rPr>
        <w:t xml:space="preserve"> </w:t>
      </w:r>
    </w:p>
    <w:p w:rsidR="002967F0" w:rsidRPr="00242122" w:rsidRDefault="002967F0" w:rsidP="002967F0">
      <w:pPr>
        <w:spacing w:after="0" w:line="360" w:lineRule="auto"/>
        <w:jc w:val="both"/>
        <w:rPr>
          <w:rFonts w:ascii="Arial" w:hAnsi="Arial" w:cs="Arial"/>
          <w:b/>
          <w:sz w:val="24"/>
          <w:szCs w:val="24"/>
        </w:rPr>
      </w:pPr>
    </w:p>
    <w:sectPr w:rsidR="002967F0" w:rsidRPr="00242122" w:rsidSect="00670DE5">
      <w:footerReference w:type="default" r:id="rId101"/>
      <w:pgSz w:w="11906" w:h="16838" w:code="9"/>
      <w:pgMar w:top="1134" w:right="1134" w:bottom="1134" w:left="1418"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54F9" w:rsidRDefault="009C54F9" w:rsidP="002967F0">
      <w:pPr>
        <w:spacing w:after="0" w:line="240" w:lineRule="auto"/>
      </w:pPr>
      <w:r>
        <w:separator/>
      </w:r>
    </w:p>
  </w:endnote>
  <w:endnote w:type="continuationSeparator" w:id="0">
    <w:p w:rsidR="009C54F9" w:rsidRDefault="009C54F9" w:rsidP="002967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Arial Bold">
    <w:panose1 w:val="00000000000000000000"/>
    <w:charset w:val="00"/>
    <w:family w:val="roman"/>
    <w:notTrueType/>
    <w:pitch w:val="default"/>
    <w:sig w:usb0="00000003" w:usb1="00000000" w:usb2="00000000" w:usb3="00000000" w:csb0="00000001" w:csb1="00000000"/>
  </w:font>
  <w:font w:name="Helvetica">
    <w:panose1 w:val="020B0604020202020204"/>
    <w:charset w:val="EE"/>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8293F" w:rsidRPr="00694ED6" w:rsidRDefault="00B8293F">
    <w:pPr>
      <w:pStyle w:val="Footer"/>
      <w:jc w:val="right"/>
      <w:rPr>
        <w:rFonts w:ascii="Arial" w:hAnsi="Arial" w:cs="Arial"/>
        <w:sz w:val="20"/>
        <w:szCs w:val="20"/>
      </w:rPr>
    </w:pPr>
  </w:p>
  <w:p w:rsidR="00B8293F" w:rsidRDefault="00B8293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54F9" w:rsidRDefault="009C54F9" w:rsidP="002967F0">
      <w:pPr>
        <w:spacing w:after="0" w:line="240" w:lineRule="auto"/>
      </w:pPr>
      <w:r>
        <w:separator/>
      </w:r>
    </w:p>
  </w:footnote>
  <w:footnote w:type="continuationSeparator" w:id="0">
    <w:p w:rsidR="009C54F9" w:rsidRDefault="009C54F9" w:rsidP="002967F0">
      <w:pPr>
        <w:spacing w:after="0" w:line="240" w:lineRule="auto"/>
      </w:pPr>
      <w:r>
        <w:continuationSeparator/>
      </w:r>
    </w:p>
  </w:footnote>
  <w:footnote w:id="1">
    <w:p w:rsidR="00B8293F" w:rsidRPr="00A962C9" w:rsidRDefault="00B8293F" w:rsidP="002967F0">
      <w:pPr>
        <w:pStyle w:val="FootnoteText"/>
        <w:spacing w:after="0" w:line="240" w:lineRule="auto"/>
        <w:rPr>
          <w:rFonts w:ascii="Arial" w:hAnsi="Arial" w:cs="Arial"/>
          <w:i/>
          <w:iCs/>
        </w:rPr>
      </w:pPr>
      <w:r w:rsidRPr="00A962C9">
        <w:rPr>
          <w:rStyle w:val="FootnoteReference"/>
          <w:rFonts w:ascii="Arial" w:hAnsi="Arial" w:cs="Arial"/>
          <w:i/>
          <w:iCs/>
        </w:rPr>
        <w:footnoteRef/>
      </w:r>
      <w:r w:rsidRPr="00A962C9">
        <w:rPr>
          <w:rFonts w:ascii="Arial" w:hAnsi="Arial" w:cs="Arial"/>
          <w:i/>
          <w:iCs/>
        </w:rPr>
        <w:t xml:space="preserve"> Comunicarea Comisiei către Parlamentul European, Consiliul European, Consiliu, Comitetul Economic și Social European și Comitetul Regiunilor, Pactul ecologic European, COM(2019) 640 final,  Brussels, 11.12.2019</w:t>
      </w:r>
    </w:p>
  </w:footnote>
  <w:footnote w:id="2">
    <w:p w:rsidR="00B8293F" w:rsidRDefault="00B8293F" w:rsidP="002967F0">
      <w:pPr>
        <w:spacing w:after="0" w:line="240" w:lineRule="auto"/>
      </w:pPr>
      <w:r w:rsidRPr="00A962C9">
        <w:rPr>
          <w:rStyle w:val="FootnoteReference"/>
          <w:rFonts w:ascii="Arial" w:hAnsi="Arial" w:cs="Arial"/>
          <w:sz w:val="20"/>
          <w:szCs w:val="20"/>
        </w:rPr>
        <w:footnoteRef/>
      </w:r>
      <w:r w:rsidRPr="00A962C9">
        <w:rPr>
          <w:rFonts w:ascii="Arial" w:hAnsi="Arial" w:cs="Arial"/>
          <w:sz w:val="20"/>
          <w:szCs w:val="20"/>
        </w:rPr>
        <w:t xml:space="preserve"> </w:t>
      </w:r>
      <w:r w:rsidRPr="00A962C9">
        <w:rPr>
          <w:rFonts w:ascii="Arial" w:hAnsi="Arial" w:cs="Arial"/>
          <w:i/>
          <w:iCs/>
          <w:sz w:val="20"/>
          <w:szCs w:val="20"/>
        </w:rPr>
        <w:t>Comunicarea Comisiei „Pathway to a Healthy Planet for All EU Action Plan: 'Towards Zero Pollution for Air, Water and Soil”, Brussels, 12.5.2021, COM(2021) 400 final https://ec.europa.eu/environment/pdf/zero-pollution-action-plan/communication_en.pdf</w:t>
      </w:r>
    </w:p>
  </w:footnote>
  <w:footnote w:id="3">
    <w:p w:rsidR="00B8293F" w:rsidRPr="00EE14AF" w:rsidRDefault="00B8293F" w:rsidP="002967F0">
      <w:pPr>
        <w:pStyle w:val="FootnoteText"/>
        <w:spacing w:after="0" w:line="240" w:lineRule="auto"/>
        <w:ind w:left="90" w:hanging="90"/>
        <w:jc w:val="both"/>
        <w:rPr>
          <w:rFonts w:ascii="Arial" w:hAnsi="Arial" w:cs="Arial"/>
          <w:i/>
          <w:iCs/>
        </w:rPr>
      </w:pPr>
      <w:r w:rsidRPr="00EE14AF">
        <w:rPr>
          <w:rStyle w:val="FootnoteReference"/>
          <w:rFonts w:ascii="Arial" w:hAnsi="Arial" w:cs="Arial"/>
          <w:i/>
          <w:iCs/>
        </w:rPr>
        <w:footnoteRef/>
      </w:r>
      <w:r w:rsidRPr="00EE14AF">
        <w:rPr>
          <w:rFonts w:ascii="Arial" w:hAnsi="Arial" w:cs="Arial"/>
          <w:i/>
          <w:iCs/>
        </w:rPr>
        <w:t xml:space="preserve"> Chemicals Strategy for Sustainability Towards a Toxic-Free Environment; Communication from the Commission to the European Parliament, the Council, the European Economic and Social Committee and the Committee of the Regions; 14.10.2020 COM(2020) 667 final; </w:t>
      </w:r>
      <w:hyperlink r:id="rId1" w:history="1">
        <w:r w:rsidRPr="00EE14AF">
          <w:rPr>
            <w:rStyle w:val="Hyperlink"/>
            <w:rFonts w:ascii="Arial" w:hAnsi="Arial" w:cs="Arial"/>
            <w:i/>
            <w:iCs/>
          </w:rPr>
          <w:t>https://ec.europa.eu/environment/pdf/chemicals/2020/10/Strategy.pdf</w:t>
        </w:r>
      </w:hyperlink>
    </w:p>
  </w:footnote>
  <w:footnote w:id="4">
    <w:p w:rsidR="00B8293F" w:rsidRPr="00B375B4" w:rsidRDefault="00B8293F" w:rsidP="002967F0">
      <w:pPr>
        <w:pStyle w:val="FootnoteText"/>
        <w:spacing w:after="0" w:line="240" w:lineRule="auto"/>
        <w:ind w:left="187" w:hanging="187"/>
        <w:rPr>
          <w:rFonts w:ascii="Arial" w:hAnsi="Arial" w:cs="Arial"/>
          <w:i/>
          <w:iCs/>
        </w:rPr>
      </w:pPr>
      <w:r>
        <w:rPr>
          <w:rStyle w:val="FootnoteReference"/>
        </w:rPr>
        <w:footnoteRef/>
      </w:r>
      <w:r>
        <w:t xml:space="preserve">  </w:t>
      </w:r>
      <w:r w:rsidRPr="00B375B4">
        <w:rPr>
          <w:rFonts w:ascii="Arial" w:hAnsi="Arial" w:cs="Arial"/>
          <w:i/>
          <w:iCs/>
        </w:rPr>
        <w:t>Opinion of the European Economic and Social Committee on the ‘Communication from the Commission to the European Parliament, the Council, the European Economic and Social Committee and the Committee of the Regions — Consultative communication on the sustainable use of phosphorus’ COM(2013) 517, https://eur-lex.europa.eu/legal-content/EN/TXT/?uri=celex%3A52013AE6363</w:t>
      </w:r>
    </w:p>
  </w:footnote>
  <w:footnote w:id="5">
    <w:p w:rsidR="00B8293F" w:rsidRPr="00B375B4" w:rsidRDefault="00B8293F" w:rsidP="002967F0">
      <w:pPr>
        <w:pStyle w:val="FootnoteText"/>
        <w:tabs>
          <w:tab w:val="left" w:pos="90"/>
        </w:tabs>
        <w:spacing w:after="0" w:line="240" w:lineRule="auto"/>
        <w:ind w:left="187" w:hanging="187"/>
        <w:rPr>
          <w:rFonts w:ascii="Arial" w:hAnsi="Arial" w:cs="Arial"/>
          <w:i/>
          <w:iCs/>
        </w:rPr>
      </w:pPr>
      <w:r w:rsidRPr="00B375B4">
        <w:rPr>
          <w:rStyle w:val="FootnoteReference"/>
          <w:rFonts w:ascii="Arial" w:hAnsi="Arial" w:cs="Arial"/>
          <w:i/>
          <w:iCs/>
        </w:rPr>
        <w:footnoteRef/>
      </w:r>
      <w:r w:rsidRPr="00B375B4">
        <w:rPr>
          <w:rFonts w:ascii="Arial" w:hAnsi="Arial" w:cs="Arial"/>
          <w:i/>
          <w:iCs/>
        </w:rPr>
        <w:t xml:space="preserve"> </w:t>
      </w:r>
      <w:r w:rsidRPr="00B375B4">
        <w:rPr>
          <w:rFonts w:ascii="Arial" w:hAnsi="Arial" w:cs="Arial"/>
          <w:i/>
          <w:iCs/>
        </w:rPr>
        <w:tab/>
      </w:r>
      <w:bookmarkStart w:id="15" w:name="_Hlk76626634"/>
      <w:r w:rsidRPr="00B375B4">
        <w:rPr>
          <w:rFonts w:ascii="Arial" w:hAnsi="Arial" w:cs="Arial"/>
          <w:i/>
          <w:iCs/>
        </w:rPr>
        <w:t xml:space="preserve">Comunicarea Comisiei către Parlamentul European, Consiliu, Comitetul Economic și Social European și </w:t>
      </w:r>
      <w:r w:rsidRPr="00C256AE">
        <w:rPr>
          <w:rFonts w:ascii="Arial" w:hAnsi="Arial" w:cs="Arial"/>
          <w:i/>
          <w:iCs/>
        </w:rPr>
        <w:t xml:space="preserve">Eomitetul Regiunilor - O Strategie „De la fermă la consumator” pentru un sistem alimentar echitabil, sănătos și ecologic, COM(2020) 381 final, Bruxelles, 20.5.2020,  </w:t>
      </w:r>
    </w:p>
    <w:bookmarkEnd w:id="15"/>
  </w:footnote>
  <w:footnote w:id="6">
    <w:p w:rsidR="00B8293F" w:rsidRPr="00B375B4" w:rsidRDefault="00B8293F" w:rsidP="002967F0">
      <w:pPr>
        <w:pStyle w:val="FootnoteText"/>
        <w:spacing w:after="0" w:line="240" w:lineRule="auto"/>
        <w:ind w:left="187" w:hanging="187"/>
        <w:rPr>
          <w:rFonts w:ascii="Arial" w:hAnsi="Arial" w:cs="Arial"/>
          <w:i/>
          <w:iCs/>
        </w:rPr>
      </w:pPr>
      <w:r w:rsidRPr="00B375B4">
        <w:rPr>
          <w:rStyle w:val="FootnoteReference"/>
          <w:rFonts w:ascii="Arial" w:hAnsi="Arial" w:cs="Arial"/>
          <w:i/>
          <w:iCs/>
        </w:rPr>
        <w:footnoteRef/>
      </w:r>
      <w:r w:rsidRPr="00B375B4">
        <w:rPr>
          <w:rFonts w:ascii="Arial" w:hAnsi="Arial" w:cs="Arial"/>
          <w:i/>
          <w:iCs/>
        </w:rPr>
        <w:t xml:space="preserve"> Comunicarea Comisiei către Parlamentul European, Consiliul European, Consiliu, Comitetul Economic și Social European și Comitetul Regiunilor, Forging a climate-resilient Europe - the new EU Strategy on Adaptation to Climate Change, {SEC(2021) 89 final} - {SWD(2021) 25 final} - {SWD(2021) 26 final}, </w:t>
      </w:r>
      <w:hyperlink r:id="rId2" w:history="1">
        <w:r w:rsidRPr="00B375B4">
          <w:rPr>
            <w:rStyle w:val="Hyperlink"/>
            <w:rFonts w:ascii="Arial" w:hAnsi="Arial" w:cs="Arial"/>
            <w:i/>
            <w:iCs/>
          </w:rPr>
          <w:t>https://ec.europa.eu/clima/sites/clima/files/adaptation/what/docs/eu_strategy_2021.pdf</w:t>
        </w:r>
      </w:hyperlink>
    </w:p>
  </w:footnote>
  <w:footnote w:id="7">
    <w:p w:rsidR="00B8293F" w:rsidRPr="00B375B4" w:rsidRDefault="00B8293F" w:rsidP="002967F0">
      <w:pPr>
        <w:pStyle w:val="FootnoteText"/>
        <w:tabs>
          <w:tab w:val="left" w:pos="90"/>
        </w:tabs>
        <w:spacing w:after="0" w:line="240" w:lineRule="auto"/>
        <w:ind w:left="187" w:hanging="187"/>
        <w:rPr>
          <w:rFonts w:ascii="Arial" w:hAnsi="Arial" w:cs="Arial"/>
          <w:i/>
          <w:iCs/>
        </w:rPr>
      </w:pPr>
      <w:r w:rsidRPr="00B375B4">
        <w:rPr>
          <w:rStyle w:val="FootnoteReference"/>
          <w:rFonts w:ascii="Arial" w:hAnsi="Arial" w:cs="Arial"/>
          <w:i/>
          <w:iCs/>
        </w:rPr>
        <w:footnoteRef/>
      </w:r>
      <w:r w:rsidRPr="00B375B4">
        <w:rPr>
          <w:rFonts w:ascii="Arial" w:hAnsi="Arial" w:cs="Arial"/>
          <w:i/>
          <w:iCs/>
        </w:rPr>
        <w:t xml:space="preserve"> Comunicarea Comisiei „Planul de investiții pentru o Europă durabilă Planul de investiții din cadrul Pactului ecologic European, Bruxelles, 14.1.2020, COM(2020) 21 final https://eur-lex.europa.eu/legal-content/RO/TXT/PDF/?uri=CELEX:52020DC0021&amp;qid=1624432202009&amp;from=EN</w:t>
      </w:r>
    </w:p>
  </w:footnote>
  <w:footnote w:id="8">
    <w:p w:rsidR="00B8293F" w:rsidRDefault="00B8293F" w:rsidP="002967F0">
      <w:pPr>
        <w:pStyle w:val="FootnoteText"/>
        <w:spacing w:after="0" w:line="240" w:lineRule="auto"/>
      </w:pPr>
      <w:r>
        <w:rPr>
          <w:rStyle w:val="FootnoteReference"/>
        </w:rPr>
        <w:footnoteRef/>
      </w:r>
      <w:r>
        <w:t xml:space="preserve"> </w:t>
      </w:r>
      <w:r w:rsidRPr="0089078A">
        <w:t>COM(2016) 725 final, Bruxelles, 16.11.2016</w:t>
      </w:r>
    </w:p>
  </w:footnote>
  <w:footnote w:id="9">
    <w:p w:rsidR="00B8293F" w:rsidRDefault="00B8293F" w:rsidP="002967F0">
      <w:pPr>
        <w:pStyle w:val="FootnoteText"/>
        <w:spacing w:after="0" w:line="240" w:lineRule="auto"/>
      </w:pPr>
      <w:r>
        <w:rPr>
          <w:rStyle w:val="FootnoteReference"/>
        </w:rPr>
        <w:footnoteRef/>
      </w:r>
      <w:r>
        <w:t xml:space="preserve"> </w:t>
      </w:r>
      <w:r w:rsidRPr="0089078A">
        <w:t>2016/C 299/18, 18.8.2016</w:t>
      </w:r>
    </w:p>
  </w:footnote>
  <w:footnote w:id="10">
    <w:p w:rsidR="00B8293F" w:rsidRDefault="00B8293F" w:rsidP="002967F0">
      <w:pPr>
        <w:pStyle w:val="FootnoteText"/>
        <w:spacing w:after="0" w:line="240" w:lineRule="auto"/>
      </w:pPr>
      <w:r>
        <w:rPr>
          <w:rStyle w:val="FootnoteReference"/>
        </w:rPr>
        <w:footnoteRef/>
      </w:r>
      <w:r>
        <w:t xml:space="preserve"> </w:t>
      </w:r>
      <w:r w:rsidRPr="0089078A">
        <w:t>SWD(2017) 88 final, Bruxelles, 22.2.2017</w:t>
      </w:r>
    </w:p>
  </w:footnote>
  <w:footnote w:id="11">
    <w:p w:rsidR="00B8293F" w:rsidRDefault="00B8293F" w:rsidP="002967F0">
      <w:pPr>
        <w:pStyle w:val="FootnoteText"/>
      </w:pPr>
      <w:r>
        <w:rPr>
          <w:rStyle w:val="FootnoteReference"/>
        </w:rPr>
        <w:footnoteRef/>
      </w:r>
      <w:r>
        <w:t xml:space="preserve"> </w:t>
      </w:r>
    </w:p>
  </w:footnote>
  <w:footnote w:id="12">
    <w:p w:rsidR="00B8293F" w:rsidRDefault="00B8293F" w:rsidP="002967F0">
      <w:pPr>
        <w:pStyle w:val="FootnoteText"/>
      </w:pPr>
      <w:r>
        <w:rPr>
          <w:rStyle w:val="FootnoteReference"/>
        </w:rPr>
        <w:footnoteRef/>
      </w:r>
      <w:r>
        <w:t xml:space="preserve"> </w:t>
      </w:r>
      <w:r w:rsidRPr="00485750">
        <w:t>Raport Diagnostic privind Apele din România, 2018, https://fdocuments.fr/document/raport-diagnostic-privind-apele-din-rom-2019-4-29-raport-diagnostic-privind.html</w:t>
      </w:r>
    </w:p>
  </w:footnote>
  <w:footnote w:id="13">
    <w:p w:rsidR="00B8293F" w:rsidRPr="00476366" w:rsidRDefault="00B8293F" w:rsidP="002967F0">
      <w:pPr>
        <w:pStyle w:val="FootnoteText"/>
        <w:spacing w:after="0" w:line="240" w:lineRule="auto"/>
        <w:ind w:left="270" w:hanging="270"/>
        <w:jc w:val="both"/>
        <w:rPr>
          <w:rFonts w:ascii="Arial" w:hAnsi="Arial" w:cs="Arial"/>
          <w:i/>
          <w:iCs/>
        </w:rPr>
      </w:pPr>
      <w:r w:rsidRPr="00476366">
        <w:rPr>
          <w:rStyle w:val="FootnoteReference"/>
          <w:rFonts w:ascii="Arial" w:hAnsi="Arial" w:cs="Arial"/>
          <w:i/>
          <w:iCs/>
        </w:rPr>
        <w:footnoteRef/>
      </w:r>
      <w:r w:rsidRPr="00476366">
        <w:rPr>
          <w:rFonts w:ascii="Arial" w:hAnsi="Arial" w:cs="Arial"/>
          <w:i/>
          <w:iCs/>
        </w:rPr>
        <w:t xml:space="preserve"> Regulament (EU) 2021/1119 de instituire a cadrului pentru realizarea neutralității climatice și de modificare a Regulamentelor (CE) nr. 401/2009 și (UE) 2018/1999 (Legea europeană a climei), COM(2020) 80 final</w:t>
      </w:r>
    </w:p>
  </w:footnote>
  <w:footnote w:id="14">
    <w:p w:rsidR="00B8293F" w:rsidRPr="00C007A5" w:rsidRDefault="00B8293F" w:rsidP="002967F0">
      <w:pPr>
        <w:pStyle w:val="FootnoteText"/>
        <w:spacing w:after="0" w:line="240" w:lineRule="auto"/>
        <w:ind w:left="180" w:hanging="180"/>
        <w:jc w:val="both"/>
        <w:rPr>
          <w:rFonts w:ascii="Arial" w:hAnsi="Arial" w:cs="Arial"/>
          <w:i/>
          <w:iCs/>
        </w:rPr>
      </w:pPr>
      <w:r w:rsidRPr="00C007A5">
        <w:rPr>
          <w:rStyle w:val="FootnoteReference"/>
          <w:rFonts w:ascii="Arial" w:hAnsi="Arial" w:cs="Arial"/>
          <w:i/>
          <w:iCs/>
        </w:rPr>
        <w:footnoteRef/>
      </w:r>
      <w:r w:rsidRPr="00C007A5">
        <w:rPr>
          <w:rFonts w:ascii="Arial" w:hAnsi="Arial" w:cs="Arial"/>
          <w:i/>
          <w:iCs/>
        </w:rPr>
        <w:t xml:space="preserve"> O planetă curată pentru toți – O viziune europeană strategică pe termen lung pentru o economie prosperă, modernă, competitivă și neutră din punctul de vedere al impactului asupra climei COM(2018) 773</w:t>
      </w:r>
    </w:p>
  </w:footnote>
  <w:footnote w:id="15">
    <w:p w:rsidR="00B8293F" w:rsidRPr="00C007A5" w:rsidRDefault="00B8293F" w:rsidP="002967F0">
      <w:pPr>
        <w:pStyle w:val="FootnoteText"/>
        <w:spacing w:after="0" w:line="240" w:lineRule="auto"/>
        <w:ind w:left="180" w:hanging="180"/>
        <w:jc w:val="both"/>
        <w:rPr>
          <w:rFonts w:ascii="Arial" w:hAnsi="Arial" w:cs="Arial"/>
          <w:i/>
          <w:iCs/>
        </w:rPr>
      </w:pPr>
      <w:r w:rsidRPr="00C007A5">
        <w:rPr>
          <w:rStyle w:val="FootnoteReference"/>
          <w:rFonts w:ascii="Arial" w:hAnsi="Arial" w:cs="Arial"/>
          <w:i/>
          <w:iCs/>
        </w:rPr>
        <w:footnoteRef/>
      </w:r>
      <w:r w:rsidRPr="00C007A5">
        <w:rPr>
          <w:rFonts w:ascii="Arial" w:hAnsi="Arial" w:cs="Arial"/>
          <w:i/>
          <w:iCs/>
        </w:rPr>
        <w:t xml:space="preserve"> Comunicare Comisiei „Forging a climate-resilient Europe - the new EU Strategy on Adaptation to Climate Change”, Brussels, 24.2.2021, COM(2021) 82 final </w:t>
      </w:r>
      <w:hyperlink r:id="rId3" w:history="1">
        <w:r w:rsidRPr="00660C9F">
          <w:rPr>
            <w:rStyle w:val="Hyperlink"/>
            <w:rFonts w:ascii="Arial" w:hAnsi="Arial" w:cs="Arial"/>
            <w:i/>
            <w:iCs/>
          </w:rPr>
          <w:t>https://ec.europa.eu/clima/sites/clima/files/adaptation/what/docs/eu_strategy_2021.pdf</w:t>
        </w:r>
      </w:hyperlink>
    </w:p>
  </w:footnote>
  <w:footnote w:id="16">
    <w:p w:rsidR="00B8293F" w:rsidRPr="00A6017E" w:rsidRDefault="00B8293F" w:rsidP="002967F0">
      <w:pPr>
        <w:pStyle w:val="FootnoteText"/>
        <w:ind w:left="180" w:hanging="180"/>
        <w:jc w:val="both"/>
      </w:pPr>
      <w:r>
        <w:rPr>
          <w:rStyle w:val="FootnoteReference"/>
        </w:rPr>
        <w:footnoteRef/>
      </w:r>
      <w:r>
        <w:t xml:space="preserve"> </w:t>
      </w:r>
      <w:r w:rsidRPr="00A6017E">
        <w:rPr>
          <w:rFonts w:ascii="Arial" w:hAnsi="Arial" w:cs="Arial"/>
          <w:i/>
          <w:iCs/>
        </w:rPr>
        <w:t>Comunicarea Comisiei „Planul de investiții pentru o Europă durabilă Planul de investiții din cadrul Pactului ecologic European, Bruxelles, 14.1.2020, COM(2020) 21 final https://eur-lex.europa.eu/legal-content/RO/TXT/PDF/?uri=CELEX:52020DC0021&amp;qid=1624432202009&amp;from=EN</w:t>
      </w:r>
    </w:p>
  </w:footnote>
  <w:footnote w:id="17">
    <w:p w:rsidR="00B8293F" w:rsidRPr="00265759" w:rsidRDefault="00B8293F" w:rsidP="002967F0">
      <w:pPr>
        <w:pStyle w:val="FootnoteText"/>
        <w:spacing w:after="0" w:line="240" w:lineRule="auto"/>
        <w:jc w:val="both"/>
        <w:rPr>
          <w:rFonts w:ascii="Arial" w:hAnsi="Arial" w:cs="Arial"/>
          <w:i/>
          <w:iCs/>
        </w:rPr>
      </w:pPr>
      <w:r w:rsidRPr="00265759">
        <w:rPr>
          <w:rStyle w:val="FootnoteReference"/>
          <w:rFonts w:ascii="Arial" w:hAnsi="Arial" w:cs="Arial"/>
          <w:i/>
          <w:iCs/>
        </w:rPr>
        <w:footnoteRef/>
      </w:r>
      <w:r w:rsidRPr="00265759">
        <w:rPr>
          <w:rFonts w:ascii="Arial" w:hAnsi="Arial" w:cs="Arial"/>
          <w:i/>
          <w:iCs/>
        </w:rPr>
        <w:t xml:space="preserve"> http://www.interreg-danube.eu/approved-projects/dridanube</w:t>
      </w:r>
    </w:p>
  </w:footnote>
  <w:footnote w:id="18">
    <w:p w:rsidR="00B8293F" w:rsidRPr="00265759" w:rsidRDefault="00B8293F" w:rsidP="002967F0">
      <w:pPr>
        <w:pStyle w:val="FootnoteText"/>
        <w:spacing w:after="0" w:line="240" w:lineRule="auto"/>
        <w:jc w:val="both"/>
        <w:rPr>
          <w:rFonts w:ascii="Arial" w:hAnsi="Arial" w:cs="Arial"/>
        </w:rPr>
      </w:pPr>
      <w:r w:rsidRPr="00265759">
        <w:rPr>
          <w:rStyle w:val="FootnoteReference"/>
          <w:rFonts w:ascii="Arial" w:hAnsi="Arial" w:cs="Arial"/>
          <w:i/>
          <w:iCs/>
        </w:rPr>
        <w:footnoteRef/>
      </w:r>
      <w:r w:rsidRPr="00265759">
        <w:rPr>
          <w:rFonts w:ascii="Arial" w:hAnsi="Arial" w:cs="Arial"/>
          <w:i/>
          <w:iCs/>
        </w:rPr>
        <w:t xml:space="preserve"> https://cordis.europa.eu/project/id/730109</w:t>
      </w:r>
    </w:p>
  </w:footnote>
  <w:footnote w:id="19">
    <w:p w:rsidR="00B8293F" w:rsidRPr="00265759" w:rsidRDefault="00B8293F" w:rsidP="002967F0">
      <w:pPr>
        <w:pStyle w:val="FootnoteText"/>
        <w:spacing w:after="0" w:line="240" w:lineRule="auto"/>
        <w:jc w:val="both"/>
        <w:rPr>
          <w:rFonts w:ascii="Arial" w:hAnsi="Arial" w:cs="Arial"/>
          <w:i/>
          <w:iCs/>
        </w:rPr>
      </w:pPr>
      <w:r w:rsidRPr="00265759">
        <w:rPr>
          <w:rStyle w:val="FootnoteReference"/>
          <w:rFonts w:ascii="Arial" w:hAnsi="Arial" w:cs="Arial"/>
          <w:i/>
          <w:iCs/>
        </w:rPr>
        <w:footnoteRef/>
      </w:r>
      <w:r w:rsidRPr="00265759">
        <w:rPr>
          <w:rFonts w:ascii="Arial" w:hAnsi="Arial" w:cs="Arial"/>
          <w:i/>
          <w:iCs/>
        </w:rPr>
        <w:t xml:space="preserve"> https://viva-project.org/</w:t>
      </w:r>
    </w:p>
  </w:footnote>
  <w:footnote w:id="20">
    <w:p w:rsidR="00B8293F" w:rsidRPr="00265759" w:rsidRDefault="00B8293F" w:rsidP="002967F0">
      <w:pPr>
        <w:pStyle w:val="FootnoteText"/>
        <w:spacing w:after="0" w:line="240" w:lineRule="auto"/>
        <w:jc w:val="both"/>
        <w:rPr>
          <w:rFonts w:ascii="Arial" w:hAnsi="Arial" w:cs="Arial"/>
          <w:i/>
          <w:iCs/>
        </w:rPr>
      </w:pPr>
      <w:r w:rsidRPr="00265759">
        <w:rPr>
          <w:rStyle w:val="FootnoteReference"/>
          <w:rFonts w:ascii="Arial" w:hAnsi="Arial" w:cs="Arial"/>
          <w:i/>
          <w:iCs/>
        </w:rPr>
        <w:footnoteRef/>
      </w:r>
      <w:r w:rsidRPr="00265759">
        <w:rPr>
          <w:rFonts w:ascii="Arial" w:hAnsi="Arial" w:cs="Arial"/>
          <w:i/>
          <w:iCs/>
        </w:rPr>
        <w:t xml:space="preserve"> https://www.icpdr.org/main/issues/agriculture</w:t>
      </w:r>
    </w:p>
  </w:footnote>
  <w:footnote w:id="21">
    <w:p w:rsidR="00B8293F" w:rsidRPr="00F22EE1" w:rsidRDefault="00B8293F" w:rsidP="002967F0">
      <w:pPr>
        <w:pStyle w:val="FootnoteText"/>
        <w:ind w:left="180" w:hanging="180"/>
        <w:rPr>
          <w:rFonts w:ascii="Arial" w:hAnsi="Arial" w:cs="Arial"/>
          <w:i/>
          <w:iCs/>
        </w:rPr>
      </w:pPr>
      <w:r w:rsidRPr="00F22EE1">
        <w:rPr>
          <w:rStyle w:val="FootnoteReference"/>
          <w:rFonts w:ascii="Arial" w:hAnsi="Arial" w:cs="Arial"/>
          <w:i/>
          <w:iCs/>
        </w:rPr>
        <w:footnoteRef/>
      </w:r>
      <w:r w:rsidRPr="00F22EE1">
        <w:rPr>
          <w:rFonts w:ascii="Arial" w:hAnsi="Arial" w:cs="Arial"/>
          <w:i/>
          <w:iCs/>
        </w:rPr>
        <w:t xml:space="preserve"> Regulamentul (UE) 2020/741 al Parlamentului European și al Consiliului din 25 mai 2020 privind cerințele minime pentru reutilizarea apei, https://eur-lex.europa.eu/legal-content/RO/TXT/PDF/?uri=CELEX:32020R0741&amp;from=en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01646"/>
    <w:multiLevelType w:val="hybridMultilevel"/>
    <w:tmpl w:val="78527E92"/>
    <w:lvl w:ilvl="0" w:tplc="97924416">
      <w:start w:val="1"/>
      <w:numFmt w:val="bullet"/>
      <w:lvlText w:val=""/>
      <w:lvlJc w:val="left"/>
      <w:pPr>
        <w:ind w:left="360" w:hanging="360"/>
      </w:pPr>
      <w:rPr>
        <w:rFonts w:ascii="Wingdings" w:hAnsi="Wingdings"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 w15:restartNumberingAfterBreak="0">
    <w:nsid w:val="0EB90E9B"/>
    <w:multiLevelType w:val="hybridMultilevel"/>
    <w:tmpl w:val="E76CDE4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44C5690"/>
    <w:multiLevelType w:val="hybridMultilevel"/>
    <w:tmpl w:val="429E1DB8"/>
    <w:lvl w:ilvl="0" w:tplc="97924416">
      <w:start w:val="1"/>
      <w:numFmt w:val="bullet"/>
      <w:lvlText w:val=""/>
      <w:lvlJc w:val="left"/>
      <w:pPr>
        <w:ind w:left="720" w:hanging="360"/>
      </w:pPr>
      <w:rPr>
        <w:rFonts w:ascii="Wingdings" w:hAnsi="Wingdings" w:hint="default"/>
      </w:rPr>
    </w:lvl>
    <w:lvl w:ilvl="1" w:tplc="7F2AD74C">
      <w:numFmt w:val="bullet"/>
      <w:lvlText w:val="•"/>
      <w:lvlJc w:val="left"/>
      <w:pPr>
        <w:ind w:left="1785" w:hanging="705"/>
      </w:pPr>
      <w:rPr>
        <w:rFonts w:ascii="Arial" w:eastAsia="Calibri" w:hAnsi="Arial" w:cs="Arial"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15:restartNumberingAfterBreak="0">
    <w:nsid w:val="1B08305D"/>
    <w:multiLevelType w:val="hybridMultilevel"/>
    <w:tmpl w:val="C85055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1CD26A30"/>
    <w:multiLevelType w:val="hybridMultilevel"/>
    <w:tmpl w:val="1954FE36"/>
    <w:lvl w:ilvl="0" w:tplc="04180001">
      <w:start w:val="1"/>
      <w:numFmt w:val="bullet"/>
      <w:lvlText w:val=""/>
      <w:lvlJc w:val="left"/>
      <w:pPr>
        <w:ind w:left="792" w:hanging="360"/>
      </w:pPr>
      <w:rPr>
        <w:rFonts w:ascii="Symbol" w:hAnsi="Symbol" w:hint="default"/>
      </w:rPr>
    </w:lvl>
    <w:lvl w:ilvl="1" w:tplc="04180003" w:tentative="1">
      <w:start w:val="1"/>
      <w:numFmt w:val="bullet"/>
      <w:lvlText w:val="o"/>
      <w:lvlJc w:val="left"/>
      <w:pPr>
        <w:ind w:left="1512" w:hanging="360"/>
      </w:pPr>
      <w:rPr>
        <w:rFonts w:ascii="Courier New" w:hAnsi="Courier New" w:cs="Courier New" w:hint="default"/>
      </w:rPr>
    </w:lvl>
    <w:lvl w:ilvl="2" w:tplc="04180005" w:tentative="1">
      <w:start w:val="1"/>
      <w:numFmt w:val="bullet"/>
      <w:lvlText w:val=""/>
      <w:lvlJc w:val="left"/>
      <w:pPr>
        <w:ind w:left="2232" w:hanging="360"/>
      </w:pPr>
      <w:rPr>
        <w:rFonts w:ascii="Wingdings" w:hAnsi="Wingdings" w:hint="default"/>
      </w:rPr>
    </w:lvl>
    <w:lvl w:ilvl="3" w:tplc="04180001" w:tentative="1">
      <w:start w:val="1"/>
      <w:numFmt w:val="bullet"/>
      <w:lvlText w:val=""/>
      <w:lvlJc w:val="left"/>
      <w:pPr>
        <w:ind w:left="2952" w:hanging="360"/>
      </w:pPr>
      <w:rPr>
        <w:rFonts w:ascii="Symbol" w:hAnsi="Symbol" w:hint="default"/>
      </w:rPr>
    </w:lvl>
    <w:lvl w:ilvl="4" w:tplc="04180003" w:tentative="1">
      <w:start w:val="1"/>
      <w:numFmt w:val="bullet"/>
      <w:lvlText w:val="o"/>
      <w:lvlJc w:val="left"/>
      <w:pPr>
        <w:ind w:left="3672" w:hanging="360"/>
      </w:pPr>
      <w:rPr>
        <w:rFonts w:ascii="Courier New" w:hAnsi="Courier New" w:cs="Courier New" w:hint="default"/>
      </w:rPr>
    </w:lvl>
    <w:lvl w:ilvl="5" w:tplc="04180005" w:tentative="1">
      <w:start w:val="1"/>
      <w:numFmt w:val="bullet"/>
      <w:lvlText w:val=""/>
      <w:lvlJc w:val="left"/>
      <w:pPr>
        <w:ind w:left="4392" w:hanging="360"/>
      </w:pPr>
      <w:rPr>
        <w:rFonts w:ascii="Wingdings" w:hAnsi="Wingdings" w:hint="default"/>
      </w:rPr>
    </w:lvl>
    <w:lvl w:ilvl="6" w:tplc="04180001" w:tentative="1">
      <w:start w:val="1"/>
      <w:numFmt w:val="bullet"/>
      <w:lvlText w:val=""/>
      <w:lvlJc w:val="left"/>
      <w:pPr>
        <w:ind w:left="5112" w:hanging="360"/>
      </w:pPr>
      <w:rPr>
        <w:rFonts w:ascii="Symbol" w:hAnsi="Symbol" w:hint="default"/>
      </w:rPr>
    </w:lvl>
    <w:lvl w:ilvl="7" w:tplc="04180003" w:tentative="1">
      <w:start w:val="1"/>
      <w:numFmt w:val="bullet"/>
      <w:lvlText w:val="o"/>
      <w:lvlJc w:val="left"/>
      <w:pPr>
        <w:ind w:left="5832" w:hanging="360"/>
      </w:pPr>
      <w:rPr>
        <w:rFonts w:ascii="Courier New" w:hAnsi="Courier New" w:cs="Courier New" w:hint="default"/>
      </w:rPr>
    </w:lvl>
    <w:lvl w:ilvl="8" w:tplc="04180005" w:tentative="1">
      <w:start w:val="1"/>
      <w:numFmt w:val="bullet"/>
      <w:lvlText w:val=""/>
      <w:lvlJc w:val="left"/>
      <w:pPr>
        <w:ind w:left="6552" w:hanging="360"/>
      </w:pPr>
      <w:rPr>
        <w:rFonts w:ascii="Wingdings" w:hAnsi="Wingdings" w:hint="default"/>
      </w:rPr>
    </w:lvl>
  </w:abstractNum>
  <w:abstractNum w:abstractNumId="5" w15:restartNumberingAfterBreak="0">
    <w:nsid w:val="1CF22C4F"/>
    <w:multiLevelType w:val="hybridMultilevel"/>
    <w:tmpl w:val="1872350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15:restartNumberingAfterBreak="0">
    <w:nsid w:val="242A1E9A"/>
    <w:multiLevelType w:val="hybridMultilevel"/>
    <w:tmpl w:val="74F69E6E"/>
    <w:lvl w:ilvl="0" w:tplc="A3708968">
      <w:numFmt w:val="bullet"/>
      <w:lvlText w:val="•"/>
      <w:lvlJc w:val="left"/>
      <w:pPr>
        <w:ind w:left="1410" w:hanging="690"/>
      </w:pPr>
      <w:rPr>
        <w:rFonts w:ascii="Arial" w:eastAsia="Calibri" w:hAnsi="Arial" w:cs="Aria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 w15:restartNumberingAfterBreak="0">
    <w:nsid w:val="27F067F2"/>
    <w:multiLevelType w:val="singleLevel"/>
    <w:tmpl w:val="FF9486F6"/>
    <w:lvl w:ilvl="0">
      <w:start w:val="1"/>
      <w:numFmt w:val="upperRoman"/>
      <w:pStyle w:val="Heading5"/>
      <w:lvlText w:val="%1)"/>
      <w:lvlJc w:val="left"/>
      <w:pPr>
        <w:tabs>
          <w:tab w:val="num" w:pos="2160"/>
        </w:tabs>
        <w:ind w:left="2160" w:hanging="720"/>
      </w:pPr>
      <w:rPr>
        <w:rFonts w:hint="default"/>
      </w:rPr>
    </w:lvl>
  </w:abstractNum>
  <w:abstractNum w:abstractNumId="8" w15:restartNumberingAfterBreak="0">
    <w:nsid w:val="28CB2EEA"/>
    <w:multiLevelType w:val="hybridMultilevel"/>
    <w:tmpl w:val="F62EC3D8"/>
    <w:lvl w:ilvl="0" w:tplc="A9A6BB00">
      <w:start w:val="7"/>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15:restartNumberingAfterBreak="0">
    <w:nsid w:val="2B26055A"/>
    <w:multiLevelType w:val="hybridMultilevel"/>
    <w:tmpl w:val="F8D49230"/>
    <w:lvl w:ilvl="0" w:tplc="D3CE15C0">
      <w:start w:val="9"/>
      <w:numFmt w:val="bullet"/>
      <w:lvlText w:val="-"/>
      <w:lvlJc w:val="left"/>
      <w:pPr>
        <w:ind w:left="644" w:hanging="360"/>
      </w:pPr>
      <w:rPr>
        <w:rFonts w:ascii="Times New Roman" w:eastAsia="Calibri" w:hAnsi="Times New Roman" w:cs="Times New Roman" w:hint="default"/>
        <w:b/>
      </w:rPr>
    </w:lvl>
    <w:lvl w:ilvl="1" w:tplc="04180003" w:tentative="1">
      <w:start w:val="1"/>
      <w:numFmt w:val="bullet"/>
      <w:lvlText w:val="o"/>
      <w:lvlJc w:val="left"/>
      <w:pPr>
        <w:ind w:left="1364" w:hanging="360"/>
      </w:pPr>
      <w:rPr>
        <w:rFonts w:ascii="Courier New" w:hAnsi="Courier New" w:cs="Courier New" w:hint="default"/>
      </w:rPr>
    </w:lvl>
    <w:lvl w:ilvl="2" w:tplc="04180005" w:tentative="1">
      <w:start w:val="1"/>
      <w:numFmt w:val="bullet"/>
      <w:lvlText w:val=""/>
      <w:lvlJc w:val="left"/>
      <w:pPr>
        <w:ind w:left="2084" w:hanging="360"/>
      </w:pPr>
      <w:rPr>
        <w:rFonts w:ascii="Wingdings" w:hAnsi="Wingdings" w:hint="default"/>
      </w:rPr>
    </w:lvl>
    <w:lvl w:ilvl="3" w:tplc="04180001" w:tentative="1">
      <w:start w:val="1"/>
      <w:numFmt w:val="bullet"/>
      <w:lvlText w:val=""/>
      <w:lvlJc w:val="left"/>
      <w:pPr>
        <w:ind w:left="2804" w:hanging="360"/>
      </w:pPr>
      <w:rPr>
        <w:rFonts w:ascii="Symbol" w:hAnsi="Symbol" w:hint="default"/>
      </w:rPr>
    </w:lvl>
    <w:lvl w:ilvl="4" w:tplc="04180003" w:tentative="1">
      <w:start w:val="1"/>
      <w:numFmt w:val="bullet"/>
      <w:lvlText w:val="o"/>
      <w:lvlJc w:val="left"/>
      <w:pPr>
        <w:ind w:left="3524" w:hanging="360"/>
      </w:pPr>
      <w:rPr>
        <w:rFonts w:ascii="Courier New" w:hAnsi="Courier New" w:cs="Courier New" w:hint="default"/>
      </w:rPr>
    </w:lvl>
    <w:lvl w:ilvl="5" w:tplc="04180005" w:tentative="1">
      <w:start w:val="1"/>
      <w:numFmt w:val="bullet"/>
      <w:lvlText w:val=""/>
      <w:lvlJc w:val="left"/>
      <w:pPr>
        <w:ind w:left="4244" w:hanging="360"/>
      </w:pPr>
      <w:rPr>
        <w:rFonts w:ascii="Wingdings" w:hAnsi="Wingdings" w:hint="default"/>
      </w:rPr>
    </w:lvl>
    <w:lvl w:ilvl="6" w:tplc="04180001" w:tentative="1">
      <w:start w:val="1"/>
      <w:numFmt w:val="bullet"/>
      <w:lvlText w:val=""/>
      <w:lvlJc w:val="left"/>
      <w:pPr>
        <w:ind w:left="4964" w:hanging="360"/>
      </w:pPr>
      <w:rPr>
        <w:rFonts w:ascii="Symbol" w:hAnsi="Symbol" w:hint="default"/>
      </w:rPr>
    </w:lvl>
    <w:lvl w:ilvl="7" w:tplc="04180003" w:tentative="1">
      <w:start w:val="1"/>
      <w:numFmt w:val="bullet"/>
      <w:lvlText w:val="o"/>
      <w:lvlJc w:val="left"/>
      <w:pPr>
        <w:ind w:left="5684" w:hanging="360"/>
      </w:pPr>
      <w:rPr>
        <w:rFonts w:ascii="Courier New" w:hAnsi="Courier New" w:cs="Courier New" w:hint="default"/>
      </w:rPr>
    </w:lvl>
    <w:lvl w:ilvl="8" w:tplc="04180005" w:tentative="1">
      <w:start w:val="1"/>
      <w:numFmt w:val="bullet"/>
      <w:lvlText w:val=""/>
      <w:lvlJc w:val="left"/>
      <w:pPr>
        <w:ind w:left="6404" w:hanging="360"/>
      </w:pPr>
      <w:rPr>
        <w:rFonts w:ascii="Wingdings" w:hAnsi="Wingdings" w:hint="default"/>
      </w:rPr>
    </w:lvl>
  </w:abstractNum>
  <w:abstractNum w:abstractNumId="10" w15:restartNumberingAfterBreak="0">
    <w:nsid w:val="2C0452B3"/>
    <w:multiLevelType w:val="hybridMultilevel"/>
    <w:tmpl w:val="E05840E6"/>
    <w:lvl w:ilvl="0" w:tplc="04180001">
      <w:start w:val="1"/>
      <w:numFmt w:val="bullet"/>
      <w:lvlText w:val=""/>
      <w:lvlJc w:val="left"/>
      <w:pPr>
        <w:ind w:left="1410" w:hanging="360"/>
      </w:pPr>
      <w:rPr>
        <w:rFonts w:ascii="Symbol" w:hAnsi="Symbol" w:hint="default"/>
      </w:rPr>
    </w:lvl>
    <w:lvl w:ilvl="1" w:tplc="04180003" w:tentative="1">
      <w:start w:val="1"/>
      <w:numFmt w:val="bullet"/>
      <w:lvlText w:val="o"/>
      <w:lvlJc w:val="left"/>
      <w:pPr>
        <w:ind w:left="2130" w:hanging="360"/>
      </w:pPr>
      <w:rPr>
        <w:rFonts w:ascii="Courier New" w:hAnsi="Courier New" w:cs="Courier New" w:hint="default"/>
      </w:rPr>
    </w:lvl>
    <w:lvl w:ilvl="2" w:tplc="04180005" w:tentative="1">
      <w:start w:val="1"/>
      <w:numFmt w:val="bullet"/>
      <w:lvlText w:val=""/>
      <w:lvlJc w:val="left"/>
      <w:pPr>
        <w:ind w:left="2850" w:hanging="360"/>
      </w:pPr>
      <w:rPr>
        <w:rFonts w:ascii="Wingdings" w:hAnsi="Wingdings" w:hint="default"/>
      </w:rPr>
    </w:lvl>
    <w:lvl w:ilvl="3" w:tplc="04180001" w:tentative="1">
      <w:start w:val="1"/>
      <w:numFmt w:val="bullet"/>
      <w:lvlText w:val=""/>
      <w:lvlJc w:val="left"/>
      <w:pPr>
        <w:ind w:left="3570" w:hanging="360"/>
      </w:pPr>
      <w:rPr>
        <w:rFonts w:ascii="Symbol" w:hAnsi="Symbol" w:hint="default"/>
      </w:rPr>
    </w:lvl>
    <w:lvl w:ilvl="4" w:tplc="04180003" w:tentative="1">
      <w:start w:val="1"/>
      <w:numFmt w:val="bullet"/>
      <w:lvlText w:val="o"/>
      <w:lvlJc w:val="left"/>
      <w:pPr>
        <w:ind w:left="4290" w:hanging="360"/>
      </w:pPr>
      <w:rPr>
        <w:rFonts w:ascii="Courier New" w:hAnsi="Courier New" w:cs="Courier New" w:hint="default"/>
      </w:rPr>
    </w:lvl>
    <w:lvl w:ilvl="5" w:tplc="04180005" w:tentative="1">
      <w:start w:val="1"/>
      <w:numFmt w:val="bullet"/>
      <w:lvlText w:val=""/>
      <w:lvlJc w:val="left"/>
      <w:pPr>
        <w:ind w:left="5010" w:hanging="360"/>
      </w:pPr>
      <w:rPr>
        <w:rFonts w:ascii="Wingdings" w:hAnsi="Wingdings" w:hint="default"/>
      </w:rPr>
    </w:lvl>
    <w:lvl w:ilvl="6" w:tplc="04180001" w:tentative="1">
      <w:start w:val="1"/>
      <w:numFmt w:val="bullet"/>
      <w:lvlText w:val=""/>
      <w:lvlJc w:val="left"/>
      <w:pPr>
        <w:ind w:left="5730" w:hanging="360"/>
      </w:pPr>
      <w:rPr>
        <w:rFonts w:ascii="Symbol" w:hAnsi="Symbol" w:hint="default"/>
      </w:rPr>
    </w:lvl>
    <w:lvl w:ilvl="7" w:tplc="04180003" w:tentative="1">
      <w:start w:val="1"/>
      <w:numFmt w:val="bullet"/>
      <w:lvlText w:val="o"/>
      <w:lvlJc w:val="left"/>
      <w:pPr>
        <w:ind w:left="6450" w:hanging="360"/>
      </w:pPr>
      <w:rPr>
        <w:rFonts w:ascii="Courier New" w:hAnsi="Courier New" w:cs="Courier New" w:hint="default"/>
      </w:rPr>
    </w:lvl>
    <w:lvl w:ilvl="8" w:tplc="04180005" w:tentative="1">
      <w:start w:val="1"/>
      <w:numFmt w:val="bullet"/>
      <w:lvlText w:val=""/>
      <w:lvlJc w:val="left"/>
      <w:pPr>
        <w:ind w:left="7170" w:hanging="360"/>
      </w:pPr>
      <w:rPr>
        <w:rFonts w:ascii="Wingdings" w:hAnsi="Wingdings" w:hint="default"/>
      </w:rPr>
    </w:lvl>
  </w:abstractNum>
  <w:abstractNum w:abstractNumId="11" w15:restartNumberingAfterBreak="0">
    <w:nsid w:val="2D1F2712"/>
    <w:multiLevelType w:val="hybridMultilevel"/>
    <w:tmpl w:val="9782061A"/>
    <w:lvl w:ilvl="0" w:tplc="64DA5E4E">
      <w:start w:val="1"/>
      <w:numFmt w:val="bullet"/>
      <w:pStyle w:val="bulet1"/>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2FA04AE5"/>
    <w:multiLevelType w:val="hybridMultilevel"/>
    <w:tmpl w:val="044C17C6"/>
    <w:lvl w:ilvl="0" w:tplc="04180001">
      <w:start w:val="1"/>
      <w:numFmt w:val="bullet"/>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13" w15:restartNumberingAfterBreak="0">
    <w:nsid w:val="36494958"/>
    <w:multiLevelType w:val="hybridMultilevel"/>
    <w:tmpl w:val="8B48D2EC"/>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15:restartNumberingAfterBreak="0">
    <w:nsid w:val="38C06B14"/>
    <w:multiLevelType w:val="hybridMultilevel"/>
    <w:tmpl w:val="7A14C338"/>
    <w:lvl w:ilvl="0" w:tplc="97924416">
      <w:start w:val="1"/>
      <w:numFmt w:val="bullet"/>
      <w:lvlText w:val=""/>
      <w:lvlJc w:val="left"/>
      <w:pPr>
        <w:ind w:left="1287" w:hanging="360"/>
      </w:pPr>
      <w:rPr>
        <w:rFonts w:ascii="Wingdings" w:hAnsi="Wingdings" w:hint="default"/>
        <w:b w:val="0"/>
        <w:color w:val="auto"/>
        <w:sz w:val="32"/>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15" w15:restartNumberingAfterBreak="0">
    <w:nsid w:val="3AC1491C"/>
    <w:multiLevelType w:val="hybridMultilevel"/>
    <w:tmpl w:val="F320A6CE"/>
    <w:lvl w:ilvl="0" w:tplc="9EA4715A">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15:restartNumberingAfterBreak="0">
    <w:nsid w:val="3EF752AD"/>
    <w:multiLevelType w:val="hybridMultilevel"/>
    <w:tmpl w:val="F2705A2C"/>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7" w15:restartNumberingAfterBreak="0">
    <w:nsid w:val="3F91598E"/>
    <w:multiLevelType w:val="hybridMultilevel"/>
    <w:tmpl w:val="25544A28"/>
    <w:lvl w:ilvl="0" w:tplc="95A2D8BC">
      <w:start w:val="2"/>
      <w:numFmt w:val="bullet"/>
      <w:lvlText w:val=""/>
      <w:lvlJc w:val="left"/>
      <w:pPr>
        <w:ind w:left="720" w:hanging="360"/>
      </w:pPr>
      <w:rPr>
        <w:rFonts w:ascii="Symbol" w:eastAsiaTheme="minorHAnsi" w:hAnsi="Symbo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3FDC28E1"/>
    <w:multiLevelType w:val="hybridMultilevel"/>
    <w:tmpl w:val="E2CC394A"/>
    <w:lvl w:ilvl="0" w:tplc="28DCE51C">
      <w:start w:val="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056773B"/>
    <w:multiLevelType w:val="hybridMultilevel"/>
    <w:tmpl w:val="CA9E91B6"/>
    <w:lvl w:ilvl="0" w:tplc="CA6C31CC">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40634D35"/>
    <w:multiLevelType w:val="hybridMultilevel"/>
    <w:tmpl w:val="41664BE2"/>
    <w:lvl w:ilvl="0" w:tplc="97924416">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15:restartNumberingAfterBreak="0">
    <w:nsid w:val="415A5699"/>
    <w:multiLevelType w:val="hybridMultilevel"/>
    <w:tmpl w:val="71D0958E"/>
    <w:lvl w:ilvl="0" w:tplc="3EF8031A">
      <w:start w:val="1"/>
      <w:numFmt w:val="upperLetter"/>
      <w:lvlText w:val="%1."/>
      <w:lvlJc w:val="left"/>
      <w:pPr>
        <w:ind w:left="990" w:hanging="360"/>
      </w:pPr>
      <w:rPr>
        <w:rFonts w:hint="default"/>
      </w:rPr>
    </w:lvl>
    <w:lvl w:ilvl="1" w:tplc="04180019">
      <w:start w:val="1"/>
      <w:numFmt w:val="lowerLetter"/>
      <w:lvlText w:val="%2."/>
      <w:lvlJc w:val="left"/>
      <w:pPr>
        <w:ind w:left="1710" w:hanging="360"/>
      </w:pPr>
    </w:lvl>
    <w:lvl w:ilvl="2" w:tplc="0418001B">
      <w:start w:val="1"/>
      <w:numFmt w:val="lowerRoman"/>
      <w:lvlText w:val="%3."/>
      <w:lvlJc w:val="right"/>
      <w:pPr>
        <w:ind w:left="2430" w:hanging="180"/>
      </w:pPr>
    </w:lvl>
    <w:lvl w:ilvl="3" w:tplc="0418000F" w:tentative="1">
      <w:start w:val="1"/>
      <w:numFmt w:val="decimal"/>
      <w:lvlText w:val="%4."/>
      <w:lvlJc w:val="left"/>
      <w:pPr>
        <w:ind w:left="3150" w:hanging="360"/>
      </w:pPr>
    </w:lvl>
    <w:lvl w:ilvl="4" w:tplc="04180019" w:tentative="1">
      <w:start w:val="1"/>
      <w:numFmt w:val="lowerLetter"/>
      <w:lvlText w:val="%5."/>
      <w:lvlJc w:val="left"/>
      <w:pPr>
        <w:ind w:left="3870" w:hanging="360"/>
      </w:pPr>
    </w:lvl>
    <w:lvl w:ilvl="5" w:tplc="0418001B" w:tentative="1">
      <w:start w:val="1"/>
      <w:numFmt w:val="lowerRoman"/>
      <w:lvlText w:val="%6."/>
      <w:lvlJc w:val="right"/>
      <w:pPr>
        <w:ind w:left="4590" w:hanging="180"/>
      </w:pPr>
    </w:lvl>
    <w:lvl w:ilvl="6" w:tplc="0418000F" w:tentative="1">
      <w:start w:val="1"/>
      <w:numFmt w:val="decimal"/>
      <w:lvlText w:val="%7."/>
      <w:lvlJc w:val="left"/>
      <w:pPr>
        <w:ind w:left="5310" w:hanging="360"/>
      </w:pPr>
    </w:lvl>
    <w:lvl w:ilvl="7" w:tplc="04180019" w:tentative="1">
      <w:start w:val="1"/>
      <w:numFmt w:val="lowerLetter"/>
      <w:lvlText w:val="%8."/>
      <w:lvlJc w:val="left"/>
      <w:pPr>
        <w:ind w:left="6030" w:hanging="360"/>
      </w:pPr>
    </w:lvl>
    <w:lvl w:ilvl="8" w:tplc="0418001B" w:tentative="1">
      <w:start w:val="1"/>
      <w:numFmt w:val="lowerRoman"/>
      <w:lvlText w:val="%9."/>
      <w:lvlJc w:val="right"/>
      <w:pPr>
        <w:ind w:left="6750" w:hanging="180"/>
      </w:pPr>
    </w:lvl>
  </w:abstractNum>
  <w:abstractNum w:abstractNumId="22" w15:restartNumberingAfterBreak="0">
    <w:nsid w:val="428F2099"/>
    <w:multiLevelType w:val="hybridMultilevel"/>
    <w:tmpl w:val="927E75FE"/>
    <w:lvl w:ilvl="0" w:tplc="04090001">
      <w:start w:val="1"/>
      <w:numFmt w:val="bullet"/>
      <w:lvlText w:val=""/>
      <w:lvlJc w:val="left"/>
      <w:pPr>
        <w:ind w:left="720" w:hanging="360"/>
      </w:pPr>
      <w:rPr>
        <w:rFonts w:ascii="Symbol" w:hAnsi="Symbol" w:hint="default"/>
      </w:rPr>
    </w:lvl>
    <w:lvl w:ilvl="1" w:tplc="2B3AD8A4">
      <w:numFmt w:val="bullet"/>
      <w:lvlText w:val="•"/>
      <w:lvlJc w:val="left"/>
      <w:pPr>
        <w:ind w:left="1800" w:hanging="72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4D85482"/>
    <w:multiLevelType w:val="hybridMultilevel"/>
    <w:tmpl w:val="906E66F2"/>
    <w:lvl w:ilvl="0" w:tplc="D3CE15C0">
      <w:start w:val="9"/>
      <w:numFmt w:val="bullet"/>
      <w:lvlText w:val="-"/>
      <w:lvlJc w:val="left"/>
      <w:pPr>
        <w:ind w:left="1287" w:hanging="360"/>
      </w:pPr>
      <w:rPr>
        <w:rFonts w:ascii="Times New Roman" w:eastAsia="Calibri" w:hAnsi="Times New Roman" w:cs="Times New Roman" w:hint="default"/>
        <w:b/>
        <w:color w:val="auto"/>
        <w:sz w:val="32"/>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24" w15:restartNumberingAfterBreak="0">
    <w:nsid w:val="471A6941"/>
    <w:multiLevelType w:val="hybridMultilevel"/>
    <w:tmpl w:val="629096E8"/>
    <w:lvl w:ilvl="0" w:tplc="D3CE15C0">
      <w:start w:val="9"/>
      <w:numFmt w:val="bullet"/>
      <w:lvlText w:val="-"/>
      <w:lvlJc w:val="left"/>
      <w:pPr>
        <w:ind w:left="360" w:hanging="360"/>
      </w:pPr>
      <w:rPr>
        <w:rFonts w:ascii="Times New Roman" w:eastAsia="Calibri" w:hAnsi="Times New Roman" w:cs="Times New Roman" w:hint="default"/>
        <w:b/>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5" w15:restartNumberingAfterBreak="0">
    <w:nsid w:val="49CB2B5F"/>
    <w:multiLevelType w:val="hybridMultilevel"/>
    <w:tmpl w:val="7780D492"/>
    <w:lvl w:ilvl="0" w:tplc="97924416">
      <w:start w:val="1"/>
      <w:numFmt w:val="bullet"/>
      <w:lvlText w:val=""/>
      <w:lvlJc w:val="left"/>
      <w:pPr>
        <w:ind w:left="1287" w:hanging="360"/>
      </w:pPr>
      <w:rPr>
        <w:rFonts w:ascii="Wingdings" w:hAnsi="Wingdings" w:hint="default"/>
        <w:b w:val="0"/>
        <w:color w:val="auto"/>
        <w:sz w:val="32"/>
      </w:rPr>
    </w:lvl>
    <w:lvl w:ilvl="1" w:tplc="04180003">
      <w:start w:val="1"/>
      <w:numFmt w:val="bullet"/>
      <w:lvlText w:val="o"/>
      <w:lvlJc w:val="left"/>
      <w:pPr>
        <w:ind w:left="2007" w:hanging="360"/>
      </w:pPr>
      <w:rPr>
        <w:rFonts w:ascii="Courier New" w:hAnsi="Courier New" w:cs="Courier New" w:hint="default"/>
      </w:rPr>
    </w:lvl>
    <w:lvl w:ilvl="2" w:tplc="8DC2E43E">
      <w:numFmt w:val="bullet"/>
      <w:lvlText w:val="•"/>
      <w:lvlJc w:val="left"/>
      <w:pPr>
        <w:ind w:left="2727" w:hanging="360"/>
      </w:pPr>
      <w:rPr>
        <w:rFonts w:ascii="Arial" w:eastAsia="Calibri" w:hAnsi="Arial" w:cs="Arial"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26" w15:restartNumberingAfterBreak="0">
    <w:nsid w:val="4BF06FD4"/>
    <w:multiLevelType w:val="hybridMultilevel"/>
    <w:tmpl w:val="E14E1C16"/>
    <w:lvl w:ilvl="0" w:tplc="04090003">
      <w:start w:val="1"/>
      <w:numFmt w:val="bullet"/>
      <w:lvlText w:val="o"/>
      <w:lvlJc w:val="left"/>
      <w:pPr>
        <w:ind w:left="1429" w:hanging="360"/>
      </w:pPr>
      <w:rPr>
        <w:rFonts w:ascii="Courier New" w:hAnsi="Courier New" w:cs="Courier New" w:hint="default"/>
      </w:rPr>
    </w:lvl>
    <w:lvl w:ilvl="1" w:tplc="04090019">
      <w:start w:val="1"/>
      <w:numFmt w:val="bullet"/>
      <w:lvlText w:val="o"/>
      <w:lvlJc w:val="left"/>
      <w:pPr>
        <w:ind w:left="2149" w:hanging="360"/>
      </w:pPr>
      <w:rPr>
        <w:rFonts w:ascii="Courier New" w:hAnsi="Courier New" w:cs="Courier New"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7" w15:restartNumberingAfterBreak="0">
    <w:nsid w:val="4C8C5142"/>
    <w:multiLevelType w:val="hybridMultilevel"/>
    <w:tmpl w:val="4CA4B29A"/>
    <w:lvl w:ilvl="0" w:tplc="CA6C31CC">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52677547"/>
    <w:multiLevelType w:val="hybridMultilevel"/>
    <w:tmpl w:val="C9CC0B6E"/>
    <w:lvl w:ilvl="0" w:tplc="9EA4715A">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9" w15:restartNumberingAfterBreak="0">
    <w:nsid w:val="55655A21"/>
    <w:multiLevelType w:val="hybridMultilevel"/>
    <w:tmpl w:val="00CA8DF2"/>
    <w:lvl w:ilvl="0" w:tplc="9EA4715A">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56500B65"/>
    <w:multiLevelType w:val="hybridMultilevel"/>
    <w:tmpl w:val="A3384270"/>
    <w:lvl w:ilvl="0" w:tplc="04180001">
      <w:start w:val="1"/>
      <w:numFmt w:val="bullet"/>
      <w:lvlText w:val=""/>
      <w:lvlJc w:val="left"/>
      <w:pPr>
        <w:ind w:left="2160" w:hanging="360"/>
      </w:pPr>
      <w:rPr>
        <w:rFonts w:ascii="Symbol" w:hAnsi="Symbol" w:hint="default"/>
      </w:rPr>
    </w:lvl>
    <w:lvl w:ilvl="1" w:tplc="04180003" w:tentative="1">
      <w:start w:val="1"/>
      <w:numFmt w:val="bullet"/>
      <w:lvlText w:val="o"/>
      <w:lvlJc w:val="left"/>
      <w:pPr>
        <w:ind w:left="2880" w:hanging="360"/>
      </w:pPr>
      <w:rPr>
        <w:rFonts w:ascii="Courier New" w:hAnsi="Courier New" w:cs="Courier New" w:hint="default"/>
      </w:rPr>
    </w:lvl>
    <w:lvl w:ilvl="2" w:tplc="04180005" w:tentative="1">
      <w:start w:val="1"/>
      <w:numFmt w:val="bullet"/>
      <w:lvlText w:val=""/>
      <w:lvlJc w:val="left"/>
      <w:pPr>
        <w:ind w:left="3600" w:hanging="360"/>
      </w:pPr>
      <w:rPr>
        <w:rFonts w:ascii="Wingdings" w:hAnsi="Wingdings" w:hint="default"/>
      </w:rPr>
    </w:lvl>
    <w:lvl w:ilvl="3" w:tplc="04180001" w:tentative="1">
      <w:start w:val="1"/>
      <w:numFmt w:val="bullet"/>
      <w:lvlText w:val=""/>
      <w:lvlJc w:val="left"/>
      <w:pPr>
        <w:ind w:left="4320" w:hanging="360"/>
      </w:pPr>
      <w:rPr>
        <w:rFonts w:ascii="Symbol" w:hAnsi="Symbol" w:hint="default"/>
      </w:rPr>
    </w:lvl>
    <w:lvl w:ilvl="4" w:tplc="04180003" w:tentative="1">
      <w:start w:val="1"/>
      <w:numFmt w:val="bullet"/>
      <w:lvlText w:val="o"/>
      <w:lvlJc w:val="left"/>
      <w:pPr>
        <w:ind w:left="5040" w:hanging="360"/>
      </w:pPr>
      <w:rPr>
        <w:rFonts w:ascii="Courier New" w:hAnsi="Courier New" w:cs="Courier New" w:hint="default"/>
      </w:rPr>
    </w:lvl>
    <w:lvl w:ilvl="5" w:tplc="04180005" w:tentative="1">
      <w:start w:val="1"/>
      <w:numFmt w:val="bullet"/>
      <w:lvlText w:val=""/>
      <w:lvlJc w:val="left"/>
      <w:pPr>
        <w:ind w:left="5760" w:hanging="360"/>
      </w:pPr>
      <w:rPr>
        <w:rFonts w:ascii="Wingdings" w:hAnsi="Wingdings" w:hint="default"/>
      </w:rPr>
    </w:lvl>
    <w:lvl w:ilvl="6" w:tplc="04180001" w:tentative="1">
      <w:start w:val="1"/>
      <w:numFmt w:val="bullet"/>
      <w:lvlText w:val=""/>
      <w:lvlJc w:val="left"/>
      <w:pPr>
        <w:ind w:left="6480" w:hanging="360"/>
      </w:pPr>
      <w:rPr>
        <w:rFonts w:ascii="Symbol" w:hAnsi="Symbol" w:hint="default"/>
      </w:rPr>
    </w:lvl>
    <w:lvl w:ilvl="7" w:tplc="04180003" w:tentative="1">
      <w:start w:val="1"/>
      <w:numFmt w:val="bullet"/>
      <w:lvlText w:val="o"/>
      <w:lvlJc w:val="left"/>
      <w:pPr>
        <w:ind w:left="7200" w:hanging="360"/>
      </w:pPr>
      <w:rPr>
        <w:rFonts w:ascii="Courier New" w:hAnsi="Courier New" w:cs="Courier New" w:hint="default"/>
      </w:rPr>
    </w:lvl>
    <w:lvl w:ilvl="8" w:tplc="04180005" w:tentative="1">
      <w:start w:val="1"/>
      <w:numFmt w:val="bullet"/>
      <w:lvlText w:val=""/>
      <w:lvlJc w:val="left"/>
      <w:pPr>
        <w:ind w:left="7920" w:hanging="360"/>
      </w:pPr>
      <w:rPr>
        <w:rFonts w:ascii="Wingdings" w:hAnsi="Wingdings" w:hint="default"/>
      </w:rPr>
    </w:lvl>
  </w:abstractNum>
  <w:abstractNum w:abstractNumId="31" w15:restartNumberingAfterBreak="0">
    <w:nsid w:val="578975A7"/>
    <w:multiLevelType w:val="hybridMultilevel"/>
    <w:tmpl w:val="AE64BCE0"/>
    <w:lvl w:ilvl="0" w:tplc="9EA4715A">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2" w15:restartNumberingAfterBreak="0">
    <w:nsid w:val="58F02EDD"/>
    <w:multiLevelType w:val="hybridMultilevel"/>
    <w:tmpl w:val="07F6CE8E"/>
    <w:lvl w:ilvl="0" w:tplc="CA6C31CC">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15:restartNumberingAfterBreak="0">
    <w:nsid w:val="66435CEE"/>
    <w:multiLevelType w:val="hybridMultilevel"/>
    <w:tmpl w:val="D17889A4"/>
    <w:lvl w:ilvl="0" w:tplc="04090005">
      <w:numFmt w:val="bullet"/>
      <w:lvlText w:val="-"/>
      <w:lvlJc w:val="left"/>
      <w:pPr>
        <w:ind w:left="720" w:hanging="360"/>
      </w:pPr>
      <w:rPr>
        <w:rFonts w:ascii="Calibri" w:eastAsia="Calibri" w:hAnsi="Calibri" w:cs="Times New Roman" w:hint="default"/>
        <w:b w:val="0"/>
        <w:color w:val="auto"/>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7852405"/>
    <w:multiLevelType w:val="hybridMultilevel"/>
    <w:tmpl w:val="9CC4AC3C"/>
    <w:lvl w:ilvl="0" w:tplc="9B12AEAC">
      <w:start w:val="1"/>
      <w:numFmt w:val="bullet"/>
      <w:pStyle w:val="1bullet"/>
      <w:lvlText w:val=""/>
      <w:lvlJc w:val="left"/>
      <w:pPr>
        <w:ind w:left="810" w:hanging="360"/>
      </w:pPr>
      <w:rPr>
        <w:rFonts w:ascii="Symbol" w:hAnsi="Symbol" w:hint="default"/>
      </w:rPr>
    </w:lvl>
    <w:lvl w:ilvl="1" w:tplc="04090019">
      <w:start w:val="1"/>
      <w:numFmt w:val="bullet"/>
      <w:lvlText w:val="o"/>
      <w:lvlJc w:val="left"/>
      <w:pPr>
        <w:ind w:left="2149" w:hanging="360"/>
      </w:pPr>
      <w:rPr>
        <w:rFonts w:ascii="Courier New" w:hAnsi="Courier New" w:cs="Courier New"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5" w15:restartNumberingAfterBreak="0">
    <w:nsid w:val="69720A03"/>
    <w:multiLevelType w:val="hybridMultilevel"/>
    <w:tmpl w:val="8B0CE616"/>
    <w:lvl w:ilvl="0" w:tplc="CE48576C">
      <w:start w:val="1"/>
      <w:numFmt w:val="bullet"/>
      <w:lvlText w:val="-"/>
      <w:lvlJc w:val="left"/>
      <w:pPr>
        <w:ind w:left="720" w:hanging="360"/>
      </w:pPr>
      <w:rPr>
        <w:rFonts w:ascii="Times New Roman" w:eastAsia="Times New Roman" w:hAnsi="Times New Roman" w:cs="Times New Roman" w:hint="default"/>
      </w:rPr>
    </w:lvl>
    <w:lvl w:ilvl="1" w:tplc="CE48576C">
      <w:start w:val="1"/>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A1204BE"/>
    <w:multiLevelType w:val="hybridMultilevel"/>
    <w:tmpl w:val="441097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6A1D2B77"/>
    <w:multiLevelType w:val="hybridMultilevel"/>
    <w:tmpl w:val="39F4CF9A"/>
    <w:lvl w:ilvl="0" w:tplc="2AC42D9A">
      <w:numFmt w:val="bullet"/>
      <w:lvlText w:val="-"/>
      <w:lvlJc w:val="left"/>
      <w:pPr>
        <w:ind w:left="1287" w:hanging="360"/>
      </w:pPr>
      <w:rPr>
        <w:rFonts w:ascii="Arial" w:eastAsia="Times New Roman" w:hAnsi="Arial" w:cs="Arial" w:hint="default"/>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8" w15:restartNumberingAfterBreak="0">
    <w:nsid w:val="6EC00730"/>
    <w:multiLevelType w:val="hybridMultilevel"/>
    <w:tmpl w:val="D98C7924"/>
    <w:lvl w:ilvl="0" w:tplc="04180001">
      <w:start w:val="1"/>
      <w:numFmt w:val="bullet"/>
      <w:pStyle w:val="1titlu"/>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9" w15:restartNumberingAfterBreak="0">
    <w:nsid w:val="75675376"/>
    <w:multiLevelType w:val="hybridMultilevel"/>
    <w:tmpl w:val="56648EEC"/>
    <w:lvl w:ilvl="0" w:tplc="CA6C31CC">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15:restartNumberingAfterBreak="0">
    <w:nsid w:val="7AEC7132"/>
    <w:multiLevelType w:val="hybridMultilevel"/>
    <w:tmpl w:val="C7DA9F52"/>
    <w:lvl w:ilvl="0" w:tplc="CE48576C">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0"/>
  </w:num>
  <w:num w:numId="2">
    <w:abstractNumId w:val="1"/>
  </w:num>
  <w:num w:numId="3">
    <w:abstractNumId w:val="37"/>
  </w:num>
  <w:num w:numId="4">
    <w:abstractNumId w:val="38"/>
  </w:num>
  <w:num w:numId="5">
    <w:abstractNumId w:val="11"/>
  </w:num>
  <w:num w:numId="6">
    <w:abstractNumId w:val="3"/>
  </w:num>
  <w:num w:numId="7">
    <w:abstractNumId w:val="4"/>
  </w:num>
  <w:num w:numId="8">
    <w:abstractNumId w:val="5"/>
  </w:num>
  <w:num w:numId="9">
    <w:abstractNumId w:val="34"/>
  </w:num>
  <w:num w:numId="10">
    <w:abstractNumId w:val="3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
  </w:num>
  <w:num w:numId="13">
    <w:abstractNumId w:val="14"/>
  </w:num>
  <w:num w:numId="14">
    <w:abstractNumId w:val="0"/>
  </w:num>
  <w:num w:numId="15">
    <w:abstractNumId w:val="23"/>
  </w:num>
  <w:num w:numId="16">
    <w:abstractNumId w:val="9"/>
  </w:num>
  <w:num w:numId="17">
    <w:abstractNumId w:val="24"/>
  </w:num>
  <w:num w:numId="18">
    <w:abstractNumId w:val="10"/>
  </w:num>
  <w:num w:numId="19">
    <w:abstractNumId w:val="15"/>
  </w:num>
  <w:num w:numId="20">
    <w:abstractNumId w:val="8"/>
  </w:num>
  <w:num w:numId="21">
    <w:abstractNumId w:val="28"/>
  </w:num>
  <w:num w:numId="22">
    <w:abstractNumId w:val="12"/>
  </w:num>
  <w:num w:numId="23">
    <w:abstractNumId w:val="29"/>
  </w:num>
  <w:num w:numId="24">
    <w:abstractNumId w:val="31"/>
  </w:num>
  <w:num w:numId="25">
    <w:abstractNumId w:val="36"/>
  </w:num>
  <w:num w:numId="26">
    <w:abstractNumId w:val="6"/>
  </w:num>
  <w:num w:numId="27">
    <w:abstractNumId w:val="18"/>
  </w:num>
  <w:num w:numId="28">
    <w:abstractNumId w:val="33"/>
  </w:num>
  <w:num w:numId="29">
    <w:abstractNumId w:val="7"/>
  </w:num>
  <w:num w:numId="30">
    <w:abstractNumId w:val="2"/>
  </w:num>
  <w:num w:numId="31">
    <w:abstractNumId w:val="20"/>
  </w:num>
  <w:num w:numId="32">
    <w:abstractNumId w:val="35"/>
  </w:num>
  <w:num w:numId="33">
    <w:abstractNumId w:val="40"/>
  </w:num>
  <w:num w:numId="34">
    <w:abstractNumId w:val="22"/>
  </w:num>
  <w:num w:numId="35">
    <w:abstractNumId w:val="17"/>
  </w:num>
  <w:num w:numId="36">
    <w:abstractNumId w:val="16"/>
  </w:num>
  <w:num w:numId="37">
    <w:abstractNumId w:val="13"/>
  </w:num>
  <w:num w:numId="38">
    <w:abstractNumId w:val="21"/>
  </w:num>
  <w:num w:numId="39">
    <w:abstractNumId w:val="32"/>
  </w:num>
  <w:num w:numId="40">
    <w:abstractNumId w:val="39"/>
  </w:num>
  <w:num w:numId="41">
    <w:abstractNumId w:val="27"/>
  </w:num>
  <w:num w:numId="42">
    <w:abstractNumId w:val="1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5889"/>
    <w:rsid w:val="00090F9C"/>
    <w:rsid w:val="000B4FCA"/>
    <w:rsid w:val="000C641B"/>
    <w:rsid w:val="0015655E"/>
    <w:rsid w:val="00242122"/>
    <w:rsid w:val="00245889"/>
    <w:rsid w:val="002967F0"/>
    <w:rsid w:val="002E7C42"/>
    <w:rsid w:val="0042709D"/>
    <w:rsid w:val="004502DF"/>
    <w:rsid w:val="005B62C4"/>
    <w:rsid w:val="005B6804"/>
    <w:rsid w:val="005E7F33"/>
    <w:rsid w:val="00606B14"/>
    <w:rsid w:val="00670DE5"/>
    <w:rsid w:val="00822C3C"/>
    <w:rsid w:val="008327F0"/>
    <w:rsid w:val="00924A0A"/>
    <w:rsid w:val="00960FC7"/>
    <w:rsid w:val="009851DD"/>
    <w:rsid w:val="009C54F9"/>
    <w:rsid w:val="009F554C"/>
    <w:rsid w:val="00A50F51"/>
    <w:rsid w:val="00A8505E"/>
    <w:rsid w:val="00B12004"/>
    <w:rsid w:val="00B72212"/>
    <w:rsid w:val="00B8293F"/>
    <w:rsid w:val="00BB29C7"/>
    <w:rsid w:val="00BD737A"/>
    <w:rsid w:val="00C1490A"/>
    <w:rsid w:val="00C42538"/>
    <w:rsid w:val="00D27D5B"/>
    <w:rsid w:val="00F6315F"/>
    <w:rsid w:val="00F7182D"/>
    <w:rsid w:val="00FD3D76"/>
    <w:rsid w:val="00FE0802"/>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65FC1D6D"/>
  <w15:chartTrackingRefBased/>
  <w15:docId w15:val="{241DF05C-C361-43CA-A128-62A0E7106D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4FCA"/>
  </w:style>
  <w:style w:type="paragraph" w:styleId="Heading1">
    <w:name w:val="heading 1"/>
    <w:basedOn w:val="Normal"/>
    <w:next w:val="Normal"/>
    <w:link w:val="Heading1Char"/>
    <w:uiPriority w:val="9"/>
    <w:qFormat/>
    <w:rsid w:val="00924A0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2967F0"/>
    <w:pPr>
      <w:keepNext/>
      <w:keepLines/>
      <w:spacing w:before="200" w:after="0" w:line="276" w:lineRule="auto"/>
      <w:outlineLvl w:val="1"/>
    </w:pPr>
    <w:rPr>
      <w:rFonts w:ascii="Cambria" w:eastAsia="Times New Roman" w:hAnsi="Cambria" w:cs="Times New Roman"/>
      <w:b/>
      <w:bCs/>
      <w:color w:val="4F81BD"/>
      <w:sz w:val="26"/>
      <w:szCs w:val="26"/>
      <w:lang w:val="en-US"/>
    </w:rPr>
  </w:style>
  <w:style w:type="paragraph" w:styleId="Heading5">
    <w:name w:val="heading 5"/>
    <w:basedOn w:val="Normal"/>
    <w:next w:val="Normal"/>
    <w:link w:val="Heading5Char"/>
    <w:qFormat/>
    <w:rsid w:val="002967F0"/>
    <w:pPr>
      <w:keepNext/>
      <w:numPr>
        <w:numId w:val="29"/>
      </w:numPr>
      <w:spacing w:after="0" w:line="240" w:lineRule="auto"/>
      <w:jc w:val="both"/>
      <w:outlineLvl w:val="4"/>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ing 2_sj,List_Paragraph,Multilevel para_II,List Paragraph1,Normal bullet 2,Forth level,body 2,lp1,Heading x1,Lista 1,lp11,List Paragraph11"/>
    <w:basedOn w:val="Normal"/>
    <w:link w:val="ListParagraphChar"/>
    <w:uiPriority w:val="34"/>
    <w:qFormat/>
    <w:rsid w:val="000B4FCA"/>
    <w:pPr>
      <w:ind w:left="720"/>
      <w:contextualSpacing/>
    </w:pPr>
  </w:style>
  <w:style w:type="character" w:customStyle="1" w:styleId="HeaderChar">
    <w:name w:val="Header Char"/>
    <w:basedOn w:val="DefaultParagraphFont"/>
    <w:link w:val="Header"/>
    <w:uiPriority w:val="99"/>
    <w:rsid w:val="000B4FCA"/>
  </w:style>
  <w:style w:type="paragraph" w:styleId="Header">
    <w:name w:val="header"/>
    <w:basedOn w:val="Normal"/>
    <w:link w:val="HeaderChar"/>
    <w:uiPriority w:val="99"/>
    <w:unhideWhenUsed/>
    <w:rsid w:val="000B4FCA"/>
    <w:pPr>
      <w:tabs>
        <w:tab w:val="center" w:pos="4536"/>
        <w:tab w:val="right" w:pos="9072"/>
      </w:tabs>
      <w:spacing w:after="0" w:line="240" w:lineRule="auto"/>
    </w:pPr>
  </w:style>
  <w:style w:type="character" w:customStyle="1" w:styleId="HeaderChar1">
    <w:name w:val="Header Char1"/>
    <w:basedOn w:val="DefaultParagraphFont"/>
    <w:uiPriority w:val="99"/>
    <w:semiHidden/>
    <w:rsid w:val="000B4FCA"/>
  </w:style>
  <w:style w:type="character" w:customStyle="1" w:styleId="FooterChar">
    <w:name w:val="Footer Char"/>
    <w:basedOn w:val="DefaultParagraphFont"/>
    <w:link w:val="Footer"/>
    <w:uiPriority w:val="99"/>
    <w:rsid w:val="000B4FCA"/>
  </w:style>
  <w:style w:type="paragraph" w:styleId="Footer">
    <w:name w:val="footer"/>
    <w:basedOn w:val="Normal"/>
    <w:link w:val="FooterChar"/>
    <w:uiPriority w:val="99"/>
    <w:unhideWhenUsed/>
    <w:rsid w:val="000B4FCA"/>
    <w:pPr>
      <w:tabs>
        <w:tab w:val="center" w:pos="4536"/>
        <w:tab w:val="right" w:pos="9072"/>
      </w:tabs>
      <w:spacing w:after="0" w:line="240" w:lineRule="auto"/>
    </w:pPr>
  </w:style>
  <w:style w:type="character" w:customStyle="1" w:styleId="FooterChar1">
    <w:name w:val="Footer Char1"/>
    <w:basedOn w:val="DefaultParagraphFont"/>
    <w:uiPriority w:val="99"/>
    <w:semiHidden/>
    <w:rsid w:val="000B4FCA"/>
  </w:style>
  <w:style w:type="paragraph" w:styleId="BalloonText">
    <w:name w:val="Balloon Text"/>
    <w:basedOn w:val="Normal"/>
    <w:link w:val="BalloonTextChar"/>
    <w:uiPriority w:val="99"/>
    <w:semiHidden/>
    <w:unhideWhenUsed/>
    <w:rsid w:val="000B4FC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B4FCA"/>
    <w:rPr>
      <w:rFonts w:ascii="Segoe UI" w:hAnsi="Segoe UI" w:cs="Segoe UI"/>
      <w:sz w:val="18"/>
      <w:szCs w:val="18"/>
    </w:rPr>
  </w:style>
  <w:style w:type="character" w:styleId="CommentReference">
    <w:name w:val="annotation reference"/>
    <w:basedOn w:val="DefaultParagraphFont"/>
    <w:uiPriority w:val="99"/>
    <w:semiHidden/>
    <w:unhideWhenUsed/>
    <w:rsid w:val="000B4FCA"/>
    <w:rPr>
      <w:sz w:val="16"/>
      <w:szCs w:val="16"/>
    </w:rPr>
  </w:style>
  <w:style w:type="paragraph" w:styleId="CommentText">
    <w:name w:val="annotation text"/>
    <w:basedOn w:val="Normal"/>
    <w:link w:val="CommentTextChar"/>
    <w:uiPriority w:val="99"/>
    <w:semiHidden/>
    <w:unhideWhenUsed/>
    <w:rsid w:val="000B4FCA"/>
    <w:pPr>
      <w:spacing w:line="240" w:lineRule="auto"/>
    </w:pPr>
    <w:rPr>
      <w:sz w:val="20"/>
      <w:szCs w:val="20"/>
    </w:rPr>
  </w:style>
  <w:style w:type="character" w:customStyle="1" w:styleId="CommentTextChar">
    <w:name w:val="Comment Text Char"/>
    <w:basedOn w:val="DefaultParagraphFont"/>
    <w:link w:val="CommentText"/>
    <w:uiPriority w:val="99"/>
    <w:semiHidden/>
    <w:rsid w:val="000B4FCA"/>
    <w:rPr>
      <w:sz w:val="20"/>
      <w:szCs w:val="20"/>
    </w:rPr>
  </w:style>
  <w:style w:type="paragraph" w:styleId="CommentSubject">
    <w:name w:val="annotation subject"/>
    <w:basedOn w:val="CommentText"/>
    <w:next w:val="CommentText"/>
    <w:link w:val="CommentSubjectChar"/>
    <w:uiPriority w:val="99"/>
    <w:semiHidden/>
    <w:unhideWhenUsed/>
    <w:rsid w:val="000B4FCA"/>
    <w:rPr>
      <w:b/>
      <w:bCs/>
    </w:rPr>
  </w:style>
  <w:style w:type="character" w:customStyle="1" w:styleId="CommentSubjectChar">
    <w:name w:val="Comment Subject Char"/>
    <w:basedOn w:val="CommentTextChar"/>
    <w:link w:val="CommentSubject"/>
    <w:uiPriority w:val="99"/>
    <w:semiHidden/>
    <w:rsid w:val="000B4FCA"/>
    <w:rPr>
      <w:b/>
      <w:bCs/>
      <w:sz w:val="20"/>
      <w:szCs w:val="20"/>
    </w:rPr>
  </w:style>
  <w:style w:type="paragraph" w:styleId="NormalWeb">
    <w:name w:val="Normal (Web)"/>
    <w:basedOn w:val="Normal"/>
    <w:uiPriority w:val="99"/>
    <w:semiHidden/>
    <w:unhideWhenUsed/>
    <w:rsid w:val="000B4FCA"/>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Grid">
    <w:name w:val="Table Grid"/>
    <w:basedOn w:val="TableNormal"/>
    <w:uiPriority w:val="39"/>
    <w:rsid w:val="000B4F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eading 2_sj Char,List_Paragraph Char,Multilevel para_II Char,List Paragraph1 Char,Normal bullet 2 Char,Forth level Char,body 2 Char,lp1 Char,Heading x1 Char,Lista 1 Char,lp11 Char,List Paragraph11 Char"/>
    <w:link w:val="ListParagraph"/>
    <w:uiPriority w:val="34"/>
    <w:rsid w:val="000B4FCA"/>
  </w:style>
  <w:style w:type="character" w:styleId="Hyperlink">
    <w:name w:val="Hyperlink"/>
    <w:uiPriority w:val="99"/>
    <w:unhideWhenUsed/>
    <w:rsid w:val="000B4FCA"/>
    <w:rPr>
      <w:color w:val="0563C1"/>
      <w:u w:val="single"/>
    </w:rPr>
  </w:style>
  <w:style w:type="paragraph" w:styleId="BodyTextIndent2">
    <w:name w:val="Body Text Indent 2"/>
    <w:basedOn w:val="Normal"/>
    <w:link w:val="BodyTextIndent2Char"/>
    <w:rsid w:val="00924A0A"/>
    <w:pPr>
      <w:spacing w:after="120" w:line="480" w:lineRule="auto"/>
      <w:ind w:left="360"/>
    </w:pPr>
    <w:rPr>
      <w:rFonts w:ascii="Courier New" w:eastAsia="Times New Roman" w:hAnsi="Courier New" w:cs="Times New Roman"/>
      <w:sz w:val="24"/>
      <w:szCs w:val="20"/>
      <w:lang w:val="en-US"/>
    </w:rPr>
  </w:style>
  <w:style w:type="character" w:customStyle="1" w:styleId="BodyTextIndent2Char">
    <w:name w:val="Body Text Indent 2 Char"/>
    <w:basedOn w:val="DefaultParagraphFont"/>
    <w:link w:val="BodyTextIndent2"/>
    <w:rsid w:val="00924A0A"/>
    <w:rPr>
      <w:rFonts w:ascii="Courier New" w:eastAsia="Times New Roman" w:hAnsi="Courier New" w:cs="Times New Roman"/>
      <w:sz w:val="24"/>
      <w:szCs w:val="20"/>
      <w:lang w:val="en-US"/>
    </w:rPr>
  </w:style>
  <w:style w:type="paragraph" w:styleId="PlainText">
    <w:name w:val="Plain Text"/>
    <w:basedOn w:val="Normal"/>
    <w:link w:val="PlainTextChar"/>
    <w:rsid w:val="00924A0A"/>
    <w:pPr>
      <w:spacing w:after="0" w:line="240" w:lineRule="auto"/>
    </w:pPr>
    <w:rPr>
      <w:rFonts w:ascii="Courier New" w:eastAsia="Times New Roman" w:hAnsi="Courier New" w:cs="Times New Roman"/>
      <w:sz w:val="20"/>
      <w:szCs w:val="20"/>
      <w:lang w:val="fr-FR" w:eastAsia="x-none"/>
    </w:rPr>
  </w:style>
  <w:style w:type="character" w:customStyle="1" w:styleId="PlainTextChar">
    <w:name w:val="Plain Text Char"/>
    <w:basedOn w:val="DefaultParagraphFont"/>
    <w:link w:val="PlainText"/>
    <w:rsid w:val="00924A0A"/>
    <w:rPr>
      <w:rFonts w:ascii="Courier New" w:eastAsia="Times New Roman" w:hAnsi="Courier New" w:cs="Times New Roman"/>
      <w:sz w:val="20"/>
      <w:szCs w:val="20"/>
      <w:lang w:val="fr-FR" w:eastAsia="x-none"/>
    </w:rPr>
  </w:style>
  <w:style w:type="paragraph" w:customStyle="1" w:styleId="Default">
    <w:name w:val="Default"/>
    <w:rsid w:val="00924A0A"/>
    <w:pPr>
      <w:autoSpaceDE w:val="0"/>
      <w:autoSpaceDN w:val="0"/>
      <w:adjustRightInd w:val="0"/>
      <w:spacing w:after="0" w:line="240" w:lineRule="auto"/>
    </w:pPr>
    <w:rPr>
      <w:rFonts w:ascii="Arial" w:eastAsia="Calibri" w:hAnsi="Arial" w:cs="Arial"/>
      <w:color w:val="000000"/>
      <w:sz w:val="24"/>
      <w:szCs w:val="24"/>
    </w:rPr>
  </w:style>
  <w:style w:type="paragraph" w:customStyle="1" w:styleId="bulet1">
    <w:name w:val="bulet 1"/>
    <w:basedOn w:val="ListParagraph"/>
    <w:qFormat/>
    <w:rsid w:val="00924A0A"/>
    <w:pPr>
      <w:numPr>
        <w:numId w:val="5"/>
      </w:numPr>
      <w:tabs>
        <w:tab w:val="num" w:pos="360"/>
      </w:tabs>
      <w:spacing w:before="120" w:after="120" w:line="240" w:lineRule="auto"/>
      <w:ind w:firstLine="0"/>
      <w:jc w:val="both"/>
    </w:pPr>
    <w:rPr>
      <w:rFonts w:ascii="Arial" w:eastAsia="Times New Roman" w:hAnsi="Arial" w:cs="Arial"/>
      <w:sz w:val="24"/>
      <w:szCs w:val="24"/>
      <w:lang w:val="en-US" w:eastAsia="ro-RO"/>
    </w:rPr>
  </w:style>
  <w:style w:type="paragraph" w:customStyle="1" w:styleId="textscris">
    <w:name w:val="text scris"/>
    <w:basedOn w:val="Normal"/>
    <w:qFormat/>
    <w:rsid w:val="00924A0A"/>
    <w:pPr>
      <w:spacing w:before="120" w:after="120" w:line="240" w:lineRule="auto"/>
      <w:ind w:firstLine="720"/>
      <w:jc w:val="both"/>
    </w:pPr>
    <w:rPr>
      <w:rFonts w:ascii="Arial" w:hAnsi="Arial" w:cs="Arial"/>
      <w:sz w:val="24"/>
      <w:szCs w:val="24"/>
      <w:lang w:val="en-US"/>
    </w:rPr>
  </w:style>
  <w:style w:type="paragraph" w:customStyle="1" w:styleId="1titlu">
    <w:name w:val="1 titlu"/>
    <w:basedOn w:val="Heading1"/>
    <w:qFormat/>
    <w:rsid w:val="00924A0A"/>
    <w:pPr>
      <w:keepLines w:val="0"/>
      <w:numPr>
        <w:numId w:val="4"/>
      </w:numPr>
      <w:tabs>
        <w:tab w:val="num" w:pos="360"/>
        <w:tab w:val="num" w:pos="720"/>
      </w:tabs>
      <w:spacing w:before="600" w:after="600" w:line="240" w:lineRule="auto"/>
      <w:ind w:left="0" w:firstLine="0"/>
      <w:jc w:val="center"/>
      <w:textAlignment w:val="top"/>
    </w:pPr>
    <w:rPr>
      <w:rFonts w:ascii="Arial Bold" w:eastAsia="Times New Roman" w:hAnsi="Arial Bold" w:cs="Arial"/>
      <w:b/>
      <w:bCs/>
      <w:caps/>
      <w:color w:val="auto"/>
      <w:szCs w:val="24"/>
    </w:rPr>
  </w:style>
  <w:style w:type="paragraph" w:customStyle="1" w:styleId="1text2">
    <w:name w:val="1 text 2"/>
    <w:basedOn w:val="Normal"/>
    <w:qFormat/>
    <w:rsid w:val="00924A0A"/>
    <w:pPr>
      <w:spacing w:before="240" w:after="0" w:line="240" w:lineRule="auto"/>
      <w:jc w:val="both"/>
    </w:pPr>
    <w:rPr>
      <w:rFonts w:ascii="Arial" w:eastAsia="Calibri" w:hAnsi="Arial" w:cs="Times New Roman"/>
      <w:iCs/>
      <w:sz w:val="24"/>
      <w:szCs w:val="24"/>
    </w:rPr>
  </w:style>
  <w:style w:type="character" w:customStyle="1" w:styleId="Heading1Char">
    <w:name w:val="Heading 1 Char"/>
    <w:basedOn w:val="DefaultParagraphFont"/>
    <w:link w:val="Heading1"/>
    <w:uiPriority w:val="9"/>
    <w:rsid w:val="00924A0A"/>
    <w:rPr>
      <w:rFonts w:asciiTheme="majorHAnsi" w:eastAsiaTheme="majorEastAsia" w:hAnsiTheme="majorHAnsi" w:cstheme="majorBidi"/>
      <w:color w:val="2E74B5" w:themeColor="accent1" w:themeShade="BF"/>
      <w:sz w:val="32"/>
      <w:szCs w:val="32"/>
    </w:rPr>
  </w:style>
  <w:style w:type="paragraph" w:customStyle="1" w:styleId="1bullet">
    <w:name w:val="1_bullet"/>
    <w:basedOn w:val="Normal"/>
    <w:qFormat/>
    <w:rsid w:val="00924A0A"/>
    <w:pPr>
      <w:numPr>
        <w:numId w:val="9"/>
      </w:numPr>
      <w:spacing w:after="0" w:line="276" w:lineRule="auto"/>
      <w:jc w:val="both"/>
    </w:pPr>
    <w:rPr>
      <w:rFonts w:ascii="Times New Roman" w:eastAsia="Times New Roman" w:hAnsi="Times New Roman" w:cs="Times New Roman"/>
      <w:sz w:val="24"/>
      <w:szCs w:val="24"/>
    </w:rPr>
  </w:style>
  <w:style w:type="paragraph" w:customStyle="1" w:styleId="1text">
    <w:name w:val="1_text"/>
    <w:basedOn w:val="Normal"/>
    <w:qFormat/>
    <w:rsid w:val="00924A0A"/>
    <w:pPr>
      <w:spacing w:before="120" w:after="120" w:line="276" w:lineRule="auto"/>
      <w:ind w:firstLine="709"/>
      <w:jc w:val="both"/>
    </w:pPr>
    <w:rPr>
      <w:rFonts w:ascii="Times New Roman" w:eastAsia="Times New Roman" w:hAnsi="Times New Roman" w:cs="Times New Roman"/>
      <w:sz w:val="24"/>
      <w:szCs w:val="24"/>
    </w:rPr>
  </w:style>
  <w:style w:type="paragraph" w:styleId="BodyText">
    <w:name w:val="Body Text"/>
    <w:basedOn w:val="Normal"/>
    <w:link w:val="BodyTextChar"/>
    <w:unhideWhenUsed/>
    <w:rsid w:val="002967F0"/>
    <w:pPr>
      <w:spacing w:after="120"/>
    </w:pPr>
  </w:style>
  <w:style w:type="character" w:customStyle="1" w:styleId="BodyTextChar">
    <w:name w:val="Body Text Char"/>
    <w:basedOn w:val="DefaultParagraphFont"/>
    <w:link w:val="BodyText"/>
    <w:rsid w:val="002967F0"/>
  </w:style>
  <w:style w:type="paragraph" w:customStyle="1" w:styleId="Listparagraf1">
    <w:name w:val="Listă paragraf1"/>
    <w:basedOn w:val="Normal"/>
    <w:link w:val="ListparagrafCaracter2"/>
    <w:qFormat/>
    <w:rsid w:val="002967F0"/>
    <w:pPr>
      <w:spacing w:after="200" w:line="276" w:lineRule="auto"/>
      <w:ind w:left="720"/>
      <w:contextualSpacing/>
    </w:pPr>
    <w:rPr>
      <w:rFonts w:ascii="Calibri" w:eastAsia="Calibri" w:hAnsi="Calibri" w:cs="Times New Roman"/>
      <w:lang w:val="x-none"/>
    </w:rPr>
  </w:style>
  <w:style w:type="character" w:customStyle="1" w:styleId="ListparagrafCaracter2">
    <w:name w:val="Listă paragraf Caracter2"/>
    <w:link w:val="Listparagraf1"/>
    <w:rsid w:val="002967F0"/>
    <w:rPr>
      <w:rFonts w:ascii="Calibri" w:eastAsia="Calibri" w:hAnsi="Calibri" w:cs="Times New Roman"/>
      <w:lang w:val="x-none"/>
    </w:rPr>
  </w:style>
  <w:style w:type="paragraph" w:styleId="FootnoteText">
    <w:name w:val="footnote text"/>
    <w:aliases w:val="M Footnotes,Podrozdział,Footnote Text Char Char,Fußnote,fn,FT,ft,SD Footnote Text,Footnote Text AG,Note de bas de page Car Car,Note de bas de page Car Car Car Car Car,Note de bas de page Car Car Car Car,Note de bas de page Car Car Car,o"/>
    <w:basedOn w:val="Normal"/>
    <w:link w:val="FootnoteTextChar"/>
    <w:uiPriority w:val="99"/>
    <w:unhideWhenUsed/>
    <w:qFormat/>
    <w:rsid w:val="002967F0"/>
    <w:pPr>
      <w:spacing w:after="200" w:line="276" w:lineRule="auto"/>
    </w:pPr>
    <w:rPr>
      <w:rFonts w:ascii="Calibri" w:eastAsia="Calibri" w:hAnsi="Calibri" w:cs="Times New Roman"/>
      <w:sz w:val="20"/>
      <w:szCs w:val="20"/>
    </w:rPr>
  </w:style>
  <w:style w:type="character" w:customStyle="1" w:styleId="FootnoteTextChar">
    <w:name w:val="Footnote Text Char"/>
    <w:aliases w:val="M Footnotes Char,Podrozdział Char,Footnote Text Char Char Char,Fußnote Char,fn Char,FT Char,ft Char,SD Footnote Text Char,Footnote Text AG Char,Note de bas de page Car Car Char,Note de bas de page Car Car Car Car Car Char,o Char"/>
    <w:basedOn w:val="DefaultParagraphFont"/>
    <w:link w:val="FootnoteText"/>
    <w:uiPriority w:val="99"/>
    <w:rsid w:val="002967F0"/>
    <w:rPr>
      <w:rFonts w:ascii="Calibri" w:eastAsia="Calibri" w:hAnsi="Calibri" w:cs="Times New Roman"/>
      <w:sz w:val="20"/>
      <w:szCs w:val="20"/>
    </w:rPr>
  </w:style>
  <w:style w:type="character" w:styleId="FootnoteReference">
    <w:name w:val="footnote reference"/>
    <w:aliases w:val="Footnote Reference Superscript,Footnote Reference/,Footnote Reference text,Footnote symbol,Voetnootverwijzing,footnote ref,FR,Fußnotenzeichen diss neu,Times 10 Point,Exposant 3 Point,Odwołanie przypisu,number,SUPERS,Footnote Refernece"/>
    <w:uiPriority w:val="99"/>
    <w:unhideWhenUsed/>
    <w:qFormat/>
    <w:rsid w:val="002967F0"/>
    <w:rPr>
      <w:vertAlign w:val="superscript"/>
    </w:rPr>
  </w:style>
  <w:style w:type="character" w:customStyle="1" w:styleId="Heading2Char">
    <w:name w:val="Heading 2 Char"/>
    <w:basedOn w:val="DefaultParagraphFont"/>
    <w:link w:val="Heading2"/>
    <w:uiPriority w:val="9"/>
    <w:semiHidden/>
    <w:rsid w:val="002967F0"/>
    <w:rPr>
      <w:rFonts w:ascii="Cambria" w:eastAsia="Times New Roman" w:hAnsi="Cambria" w:cs="Times New Roman"/>
      <w:b/>
      <w:bCs/>
      <w:color w:val="4F81BD"/>
      <w:sz w:val="26"/>
      <w:szCs w:val="26"/>
      <w:lang w:val="en-US"/>
    </w:rPr>
  </w:style>
  <w:style w:type="character" w:customStyle="1" w:styleId="Heading5Char">
    <w:name w:val="Heading 5 Char"/>
    <w:basedOn w:val="DefaultParagraphFont"/>
    <w:link w:val="Heading5"/>
    <w:rsid w:val="002967F0"/>
    <w:rPr>
      <w:rFonts w:ascii="Times New Roman" w:eastAsia="Times New Roman" w:hAnsi="Times New Roman" w:cs="Times New Roman"/>
      <w:b/>
      <w:sz w:val="28"/>
      <w:szCs w:val="20"/>
    </w:rPr>
  </w:style>
  <w:style w:type="paragraph" w:customStyle="1" w:styleId="NormalArial">
    <w:name w:val="Normal + Arial"/>
    <w:aliases w:val="Justified,Bold"/>
    <w:basedOn w:val="PlainText"/>
    <w:rsid w:val="002967F0"/>
    <w:pPr>
      <w:suppressAutoHyphens/>
      <w:autoSpaceDE w:val="0"/>
      <w:jc w:val="both"/>
    </w:pPr>
    <w:rPr>
      <w:rFonts w:ascii="Arial" w:hAnsi="Arial" w:cs="Courier New"/>
      <w:b/>
      <w:sz w:val="24"/>
      <w:szCs w:val="24"/>
      <w:lang w:val="ro-RO" w:eastAsia="ar-SA"/>
    </w:rPr>
  </w:style>
  <w:style w:type="paragraph" w:styleId="BodyText2">
    <w:name w:val="Body Text 2"/>
    <w:basedOn w:val="Normal"/>
    <w:link w:val="BodyText2Char"/>
    <w:uiPriority w:val="99"/>
    <w:unhideWhenUsed/>
    <w:rsid w:val="002967F0"/>
    <w:pPr>
      <w:spacing w:after="120" w:line="480" w:lineRule="auto"/>
    </w:pPr>
  </w:style>
  <w:style w:type="character" w:customStyle="1" w:styleId="BodyText2Char">
    <w:name w:val="Body Text 2 Char"/>
    <w:basedOn w:val="DefaultParagraphFont"/>
    <w:link w:val="BodyText2"/>
    <w:uiPriority w:val="99"/>
    <w:rsid w:val="002967F0"/>
  </w:style>
  <w:style w:type="table" w:customStyle="1" w:styleId="TableGrid1">
    <w:name w:val="Table Grid1"/>
    <w:basedOn w:val="TableNormal"/>
    <w:next w:val="TableGrid"/>
    <w:uiPriority w:val="59"/>
    <w:rsid w:val="002967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text0">
    <w:name w:val="1 text"/>
    <w:basedOn w:val="Normal"/>
    <w:qFormat/>
    <w:rsid w:val="002967F0"/>
    <w:pPr>
      <w:spacing w:before="120" w:after="120" w:line="276" w:lineRule="auto"/>
      <w:ind w:firstLine="720"/>
      <w:jc w:val="both"/>
    </w:pPr>
    <w:rPr>
      <w:rFonts w:ascii="Calibri" w:eastAsia="Times New Roman" w:hAnsi="Calibri" w:cs="Arial"/>
      <w:color w:val="000000"/>
      <w:sz w:val="24"/>
      <w:szCs w:val="24"/>
      <w:shd w:val="clear" w:color="auto" w:fill="FFFFFF"/>
    </w:rPr>
  </w:style>
  <w:style w:type="character" w:customStyle="1" w:styleId="apple-converted-space">
    <w:name w:val="apple-converted-space"/>
    <w:rsid w:val="002967F0"/>
  </w:style>
  <w:style w:type="paragraph" w:customStyle="1" w:styleId="1textMeto">
    <w:name w:val="1_text_Meto"/>
    <w:basedOn w:val="Normal"/>
    <w:qFormat/>
    <w:rsid w:val="002967F0"/>
    <w:pPr>
      <w:spacing w:before="120" w:after="120" w:line="276" w:lineRule="auto"/>
      <w:ind w:firstLine="709"/>
      <w:jc w:val="both"/>
    </w:pPr>
    <w:rPr>
      <w:rFonts w:ascii="Times New Roman" w:eastAsia="Calibri" w:hAnsi="Times New Roman" w:cs="Arial"/>
      <w:bCs/>
      <w:sz w:val="24"/>
      <w:szCs w:val="26"/>
      <w:lang w:eastAsia="ro-RO"/>
    </w:rPr>
  </w:style>
  <w:style w:type="character" w:customStyle="1" w:styleId="UnresolvedMention">
    <w:name w:val="Unresolved Mention"/>
    <w:uiPriority w:val="99"/>
    <w:semiHidden/>
    <w:unhideWhenUsed/>
    <w:rsid w:val="002967F0"/>
    <w:rPr>
      <w:color w:val="605E5C"/>
      <w:shd w:val="clear" w:color="auto" w:fill="E1DFDD"/>
    </w:rPr>
  </w:style>
  <w:style w:type="paragraph" w:styleId="Title">
    <w:name w:val="Title"/>
    <w:basedOn w:val="Normal"/>
    <w:link w:val="TitleChar"/>
    <w:qFormat/>
    <w:rsid w:val="002967F0"/>
    <w:pPr>
      <w:spacing w:after="0" w:line="240" w:lineRule="auto"/>
      <w:jc w:val="center"/>
    </w:pPr>
    <w:rPr>
      <w:rFonts w:ascii="Times New Roman" w:eastAsia="Times New Roman" w:hAnsi="Times New Roman" w:cs="Times New Roman"/>
      <w:b/>
      <w:sz w:val="28"/>
      <w:szCs w:val="20"/>
    </w:rPr>
  </w:style>
  <w:style w:type="character" w:customStyle="1" w:styleId="TitleChar">
    <w:name w:val="Title Char"/>
    <w:basedOn w:val="DefaultParagraphFont"/>
    <w:link w:val="Title"/>
    <w:rsid w:val="002967F0"/>
    <w:rPr>
      <w:rFonts w:ascii="Times New Roman" w:eastAsia="Times New Roman" w:hAnsi="Times New Roman" w:cs="Times New Roman"/>
      <w:b/>
      <w:sz w:val="28"/>
      <w:szCs w:val="20"/>
    </w:rPr>
  </w:style>
  <w:style w:type="character" w:styleId="FollowedHyperlink">
    <w:name w:val="FollowedHyperlink"/>
    <w:uiPriority w:val="99"/>
    <w:semiHidden/>
    <w:unhideWhenUsed/>
    <w:rsid w:val="002967F0"/>
    <w:rPr>
      <w:color w:val="954F72"/>
      <w:u w:val="single"/>
    </w:rPr>
  </w:style>
  <w:style w:type="paragraph" w:customStyle="1" w:styleId="msonormal0">
    <w:name w:val="msonormal"/>
    <w:basedOn w:val="Normal"/>
    <w:rsid w:val="002967F0"/>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1Tabelr1">
    <w:name w:val="1 Tabel r1"/>
    <w:basedOn w:val="Normal"/>
    <w:qFormat/>
    <w:rsid w:val="002967F0"/>
    <w:pPr>
      <w:spacing w:after="0" w:line="240" w:lineRule="auto"/>
      <w:jc w:val="center"/>
    </w:pPr>
    <w:rPr>
      <w:rFonts w:ascii="Calibri" w:eastAsia="Times New Roman" w:hAnsi="Calibri" w:cs="Arial"/>
      <w:b/>
      <w:bCs/>
      <w:sz w:val="24"/>
      <w:szCs w:val="24"/>
    </w:rPr>
  </w:style>
  <w:style w:type="paragraph" w:customStyle="1" w:styleId="1Tabelr2">
    <w:name w:val="1 Tabel r2"/>
    <w:basedOn w:val="Normal"/>
    <w:qFormat/>
    <w:rsid w:val="002967F0"/>
    <w:pPr>
      <w:spacing w:after="0" w:line="240" w:lineRule="auto"/>
    </w:pPr>
    <w:rPr>
      <w:rFonts w:ascii="Calibri" w:eastAsia="Times New Roman" w:hAnsi="Calibri" w:cs="Arial"/>
      <w:bCs/>
      <w:szCs w:val="24"/>
    </w:rPr>
  </w:style>
  <w:style w:type="paragraph" w:customStyle="1" w:styleId="1tabelrest">
    <w:name w:val="1 tabel rest"/>
    <w:basedOn w:val="Normal"/>
    <w:qFormat/>
    <w:rsid w:val="002967F0"/>
    <w:pPr>
      <w:spacing w:after="0" w:line="240" w:lineRule="auto"/>
      <w:jc w:val="center"/>
    </w:pPr>
    <w:rPr>
      <w:rFonts w:ascii="Calibri" w:eastAsia="Times New Roman" w:hAnsi="Calibri" w:cs="Arial"/>
      <w:szCs w:val="24"/>
    </w:rPr>
  </w:style>
  <w:style w:type="paragraph" w:customStyle="1" w:styleId="1Titlu2">
    <w:name w:val="1 Titlu 2"/>
    <w:basedOn w:val="Heading2"/>
    <w:qFormat/>
    <w:rsid w:val="002967F0"/>
    <w:pPr>
      <w:keepLines w:val="0"/>
      <w:shd w:val="clear" w:color="auto" w:fill="FFFFFF"/>
      <w:spacing w:before="240" w:after="240"/>
      <w:jc w:val="center"/>
    </w:pPr>
    <w:rPr>
      <w:rFonts w:ascii="Calibri" w:hAnsi="Calibri" w:cs="Arial"/>
      <w:iCs/>
      <w:color w:val="000000"/>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wmf"/><Relationship Id="rId21" Type="http://schemas.openxmlformats.org/officeDocument/2006/relationships/image" Target="media/image9.wmf"/><Relationship Id="rId42" Type="http://schemas.openxmlformats.org/officeDocument/2006/relationships/image" Target="media/image30.emf"/><Relationship Id="rId47" Type="http://schemas.openxmlformats.org/officeDocument/2006/relationships/chart" Target="charts/chart3.xml"/><Relationship Id="rId63" Type="http://schemas.openxmlformats.org/officeDocument/2006/relationships/image" Target="media/image42.png"/><Relationship Id="rId68" Type="http://schemas.openxmlformats.org/officeDocument/2006/relationships/image" Target="media/image46.png"/><Relationship Id="rId84" Type="http://schemas.openxmlformats.org/officeDocument/2006/relationships/image" Target="media/image57.jpeg"/><Relationship Id="rId89" Type="http://schemas.openxmlformats.org/officeDocument/2006/relationships/image" Target="media/image62.png"/><Relationship Id="rId16" Type="http://schemas.openxmlformats.org/officeDocument/2006/relationships/image" Target="media/image5.emf"/><Relationship Id="rId11" Type="http://schemas.openxmlformats.org/officeDocument/2006/relationships/hyperlink" Target="http://www.recensamantromania.ro/" TargetMode="External"/><Relationship Id="rId32" Type="http://schemas.openxmlformats.org/officeDocument/2006/relationships/image" Target="media/image20.emf"/><Relationship Id="rId37" Type="http://schemas.openxmlformats.org/officeDocument/2006/relationships/image" Target="media/image25.emf"/><Relationship Id="rId53" Type="http://schemas.openxmlformats.org/officeDocument/2006/relationships/chart" Target="charts/chart9.xml"/><Relationship Id="rId58" Type="http://schemas.openxmlformats.org/officeDocument/2006/relationships/image" Target="media/image37.png"/><Relationship Id="rId74" Type="http://schemas.openxmlformats.org/officeDocument/2006/relationships/hyperlink" Target="http://h2obenchmark.org/" TargetMode="External"/><Relationship Id="rId79" Type="http://schemas.openxmlformats.org/officeDocument/2006/relationships/image" Target="media/image52.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50.jpeg"/><Relationship Id="rId22" Type="http://schemas.openxmlformats.org/officeDocument/2006/relationships/image" Target="media/image10.emf"/><Relationship Id="rId27" Type="http://schemas.openxmlformats.org/officeDocument/2006/relationships/image" Target="media/image15.emf"/><Relationship Id="rId43" Type="http://schemas.openxmlformats.org/officeDocument/2006/relationships/hyperlink" Target="https://rowater.ro/despre-noi/descrierea-activitatii/managementul-european-integrat-resurse-de-apa/planurile-de-management-ale-bazinelor-hidrografice/planuri-de-management-nationale/" TargetMode="External"/><Relationship Id="rId48" Type="http://schemas.openxmlformats.org/officeDocument/2006/relationships/chart" Target="charts/chart4.xml"/><Relationship Id="rId64" Type="http://schemas.openxmlformats.org/officeDocument/2006/relationships/image" Target="media/image43.png"/><Relationship Id="rId69" Type="http://schemas.openxmlformats.org/officeDocument/2006/relationships/image" Target="media/image47.png"/><Relationship Id="rId80" Type="http://schemas.openxmlformats.org/officeDocument/2006/relationships/image" Target="media/image53.png"/><Relationship Id="rId85" Type="http://schemas.openxmlformats.org/officeDocument/2006/relationships/image" Target="media/image58.jpeg"/><Relationship Id="rId12" Type="http://schemas.openxmlformats.org/officeDocument/2006/relationships/chart" Target="charts/chart2.xml"/><Relationship Id="rId17" Type="http://schemas.openxmlformats.org/officeDocument/2006/relationships/image" Target="media/image6.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2.png"/><Relationship Id="rId59" Type="http://schemas.openxmlformats.org/officeDocument/2006/relationships/image" Target="media/image38.png"/><Relationship Id="rId67" Type="http://schemas.openxmlformats.org/officeDocument/2006/relationships/image" Target="media/image45.png"/><Relationship Id="rId103" Type="http://schemas.openxmlformats.org/officeDocument/2006/relationships/theme" Target="theme/theme1.xml"/><Relationship Id="rId20" Type="http://schemas.openxmlformats.org/officeDocument/2006/relationships/image" Target="media/image8.emf"/><Relationship Id="rId41" Type="http://schemas.openxmlformats.org/officeDocument/2006/relationships/image" Target="media/image29.emf"/><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hyperlink" Target="http://www.insse.ro" TargetMode="External"/><Relationship Id="rId75" Type="http://schemas.openxmlformats.org/officeDocument/2006/relationships/hyperlink" Target="https://rowater.ro/wp-content/uploads/2020/12/Probleme-Importante-de-Gospodarire-a-Apelor-Sinteza-Nationala-2019.pdf" TargetMode="External"/><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image" Target="media/image64.pn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w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chart" Target="charts/chart5.xml"/><Relationship Id="rId57" Type="http://schemas.openxmlformats.org/officeDocument/2006/relationships/image" Target="media/image36.png"/><Relationship Id="rId10" Type="http://schemas.openxmlformats.org/officeDocument/2006/relationships/hyperlink" Target="https://www.worldometers.info/world-population/romania-population/" TargetMode="External"/><Relationship Id="rId31" Type="http://schemas.openxmlformats.org/officeDocument/2006/relationships/image" Target="media/image19.emf"/><Relationship Id="rId44" Type="http://schemas.openxmlformats.org/officeDocument/2006/relationships/hyperlink" Target="https://rowater.ro/despre-noi/descrierea-activitatii/managementul-european-integrat-resurse-de-apa/planurile-de-management-ale-bazinelor-hidrografice/planuri-de-management-nationale/" TargetMode="External"/><Relationship Id="rId52" Type="http://schemas.openxmlformats.org/officeDocument/2006/relationships/chart" Target="charts/chart8.xml"/><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hyperlink" Target="https://rowater.ro/despre-noi/dezvoltare-si-investitii-achizitii/proiecte-implementate-in-curs-de-implementare/proiecte-in-curs-de-implementare/proiectul-sipoca-588/" TargetMode="External"/><Relationship Id="rId78" Type="http://schemas.openxmlformats.org/officeDocument/2006/relationships/image" Target="media/image51.png"/><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image" Target="media/image640.png"/><Relationship Id="rId99" Type="http://schemas.openxmlformats.org/officeDocument/2006/relationships/image" Target="media/image68.png"/><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2.jpeg"/><Relationship Id="rId18" Type="http://schemas.openxmlformats.org/officeDocument/2006/relationships/image" Target="media/image7.gif"/><Relationship Id="rId39" Type="http://schemas.openxmlformats.org/officeDocument/2006/relationships/image" Target="media/image27.emf"/><Relationship Id="rId34" Type="http://schemas.openxmlformats.org/officeDocument/2006/relationships/image" Target="media/image22.emf"/><Relationship Id="rId50" Type="http://schemas.openxmlformats.org/officeDocument/2006/relationships/chart" Target="charts/chart6.xml"/><Relationship Id="rId55" Type="http://schemas.openxmlformats.org/officeDocument/2006/relationships/image" Target="media/image34.png"/><Relationship Id="rId76" Type="http://schemas.openxmlformats.org/officeDocument/2006/relationships/hyperlink" Target="https://www.icpdr.org/main/public-participation-interim-overview-swmi" TargetMode="External"/><Relationship Id="rId97"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17.wmf"/><Relationship Id="rId24" Type="http://schemas.openxmlformats.org/officeDocument/2006/relationships/image" Target="media/image12.wmf"/><Relationship Id="rId40" Type="http://schemas.openxmlformats.org/officeDocument/2006/relationships/image" Target="media/image28.emf"/><Relationship Id="rId45" Type="http://schemas.openxmlformats.org/officeDocument/2006/relationships/image" Target="media/image31.png"/><Relationship Id="rId66" Type="http://schemas.openxmlformats.org/officeDocument/2006/relationships/hyperlink" Target="http://www.insse.ro" TargetMode="External"/><Relationship Id="rId87" Type="http://schemas.openxmlformats.org/officeDocument/2006/relationships/image" Target="media/image60.jpeg"/><Relationship Id="rId61" Type="http://schemas.openxmlformats.org/officeDocument/2006/relationships/image" Target="media/image40.png"/><Relationship Id="rId82" Type="http://schemas.openxmlformats.org/officeDocument/2006/relationships/image" Target="media/image55.jpeg"/><Relationship Id="rId19" Type="http://schemas.openxmlformats.org/officeDocument/2006/relationships/image" Target="media/image7.wmf"/><Relationship Id="rId14" Type="http://schemas.openxmlformats.org/officeDocument/2006/relationships/image" Target="media/image3.png"/><Relationship Id="rId30" Type="http://schemas.openxmlformats.org/officeDocument/2006/relationships/image" Target="media/image18.wmf"/><Relationship Id="rId35" Type="http://schemas.openxmlformats.org/officeDocument/2006/relationships/image" Target="media/image23.wmf"/><Relationship Id="rId56" Type="http://schemas.openxmlformats.org/officeDocument/2006/relationships/image" Target="media/image35.png"/><Relationship Id="rId77" Type="http://schemas.openxmlformats.org/officeDocument/2006/relationships/image" Target="media/image50.png"/><Relationship Id="rId100" Type="http://schemas.openxmlformats.org/officeDocument/2006/relationships/hyperlink" Target="https://www.eea.europa.eu/data-and-maps/daviz/water-exploitation-index-plus" TargetMode="External"/><Relationship Id="rId8" Type="http://schemas.openxmlformats.org/officeDocument/2006/relationships/chart" Target="charts/chart1.xml"/><Relationship Id="rId51" Type="http://schemas.openxmlformats.org/officeDocument/2006/relationships/chart" Target="charts/chart7.xml"/><Relationship Id="rId72" Type="http://schemas.openxmlformats.org/officeDocument/2006/relationships/image" Target="media/image49.png"/><Relationship Id="rId93" Type="http://schemas.openxmlformats.org/officeDocument/2006/relationships/image" Target="media/image630.png"/><Relationship Id="rId98" Type="http://schemas.openxmlformats.org/officeDocument/2006/relationships/hyperlink" Target="https://rowater.ro/despre-noi/descrierea-activitatii/managementul-european-integrat-resurse-de-apa/planurile-de-management-ale-bazinelor-hidrografice/planuri-de-management-nationale/"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ec.europa.eu/clima/sites/clima/files/adaptation/what/docs/eu_strategy_2021.pdf" TargetMode="External"/><Relationship Id="rId2" Type="http://schemas.openxmlformats.org/officeDocument/2006/relationships/hyperlink" Target="https://ec.europa.eu/clima/sites/clima/files/adaptation/what/docs/eu_strategy_2021.pdf" TargetMode="External"/><Relationship Id="rId1" Type="http://schemas.openxmlformats.org/officeDocument/2006/relationships/hyperlink" Target="https://ec.europa.eu/environment/pdf/chemicals/2020/10/Strategy.pdf"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oleObject" Target="file:///D:\BULETIN_HIDROGEOLOGIC\2022\ANALIZA_2021\ANALIZA_2021&amp;2016_2020_GIS.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3" Type="http://schemas.openxmlformats.org/officeDocument/2006/relationships/oleObject" Target="file:///E:\SOER\SOER_2021\Grafice%20SOER_2021.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E:\SOER\SOER_2021\Grafice%20SOER_2021.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3.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100" b="0">
                <a:latin typeface="Arial" panose="020B0604020202020204" pitchFamily="34" charset="0"/>
                <a:cs typeface="Arial" panose="020B0604020202020204" pitchFamily="34" charset="0"/>
              </a:rPr>
              <a:t>Evoluția</a:t>
            </a:r>
            <a:r>
              <a:rPr lang="en-US" sz="1100" b="0" baseline="0">
                <a:latin typeface="Arial" panose="020B0604020202020204" pitchFamily="34" charset="0"/>
                <a:cs typeface="Arial" panose="020B0604020202020204" pitchFamily="34" charset="0"/>
              </a:rPr>
              <a:t> </a:t>
            </a:r>
            <a:r>
              <a:rPr lang="en-US" sz="1100" b="0">
                <a:latin typeface="Arial" panose="020B0604020202020204" pitchFamily="34" charset="0"/>
                <a:cs typeface="Arial" panose="020B0604020202020204" pitchFamily="34" charset="0"/>
              </a:rPr>
              <a:t>resursei de apă (teoretică și utilizabilă) in mii m</a:t>
            </a:r>
            <a:r>
              <a:rPr lang="en-US" sz="1100" b="0" baseline="30000">
                <a:latin typeface="Arial" panose="020B0604020202020204" pitchFamily="34" charset="0"/>
                <a:cs typeface="Arial" panose="020B0604020202020204" pitchFamily="34" charset="0"/>
              </a:rPr>
              <a:t>3</a:t>
            </a:r>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'Tabel 1_Resursa teoretica'!$B$6</c:f>
              <c:strCache>
                <c:ptCount val="1"/>
                <c:pt idx="0">
                  <c:v>Anii</c:v>
                </c:pt>
              </c:strCache>
            </c:strRef>
          </c:tx>
          <c:invertIfNegative val="0"/>
          <c:val>
            <c:numRef>
              <c:f>'Tabel 1_Resursa teoretica'!$B$7:$B$12</c:f>
              <c:numCache>
                <c:formatCode>General</c:formatCode>
                <c:ptCount val="6"/>
                <c:pt idx="0">
                  <c:v>2015</c:v>
                </c:pt>
                <c:pt idx="1">
                  <c:v>2016</c:v>
                </c:pt>
                <c:pt idx="2">
                  <c:v>2017</c:v>
                </c:pt>
                <c:pt idx="3">
                  <c:v>2018</c:v>
                </c:pt>
                <c:pt idx="4">
                  <c:v>2019</c:v>
                </c:pt>
                <c:pt idx="5">
                  <c:v>2020</c:v>
                </c:pt>
              </c:numCache>
            </c:numRef>
          </c:val>
          <c:extLst>
            <c:ext xmlns:c16="http://schemas.microsoft.com/office/drawing/2014/chart" uri="{C3380CC4-5D6E-409C-BE32-E72D297353CC}">
              <c16:uniqueId val="{00000000-0BC9-4C3D-8900-00AAE4BB1050}"/>
            </c:ext>
          </c:extLst>
        </c:ser>
        <c:ser>
          <c:idx val="1"/>
          <c:order val="1"/>
          <c:tx>
            <c:strRef>
              <c:f>'Tabel 1_Resursa teoretica'!$C$6</c:f>
              <c:strCache>
                <c:ptCount val="1"/>
                <c:pt idx="0">
                  <c:v>Resursa teoretică</c:v>
                </c:pt>
              </c:strCache>
            </c:strRef>
          </c:tx>
          <c:invertIfNegative val="0"/>
          <c:val>
            <c:numRef>
              <c:f>'Tabel 1_Resursa teoretica'!$C$7:$C$12</c:f>
              <c:numCache>
                <c:formatCode>General</c:formatCode>
                <c:ptCount val="6"/>
                <c:pt idx="0">
                  <c:v>134600000</c:v>
                </c:pt>
                <c:pt idx="1">
                  <c:v>134600000</c:v>
                </c:pt>
                <c:pt idx="2">
                  <c:v>134600000</c:v>
                </c:pt>
                <c:pt idx="3">
                  <c:v>134600000</c:v>
                </c:pt>
                <c:pt idx="4">
                  <c:v>134600000</c:v>
                </c:pt>
                <c:pt idx="5">
                  <c:v>134600000</c:v>
                </c:pt>
              </c:numCache>
            </c:numRef>
          </c:val>
          <c:extLst>
            <c:ext xmlns:c16="http://schemas.microsoft.com/office/drawing/2014/chart" uri="{C3380CC4-5D6E-409C-BE32-E72D297353CC}">
              <c16:uniqueId val="{00000001-0BC9-4C3D-8900-00AAE4BB1050}"/>
            </c:ext>
          </c:extLst>
        </c:ser>
        <c:ser>
          <c:idx val="2"/>
          <c:order val="2"/>
          <c:tx>
            <c:strRef>
              <c:f>'Tabel 1_Resursa teoretica'!$D$6</c:f>
              <c:strCache>
                <c:ptCount val="1"/>
                <c:pt idx="0">
                  <c:v>Resursa utilizabilă</c:v>
                </c:pt>
              </c:strCache>
            </c:strRef>
          </c:tx>
          <c:invertIfNegative val="0"/>
          <c:val>
            <c:numRef>
              <c:f>'Tabel 1_Resursa teoretica'!$D$7:$D$12</c:f>
              <c:numCache>
                <c:formatCode>General</c:formatCode>
                <c:ptCount val="6"/>
                <c:pt idx="0">
                  <c:v>38346760</c:v>
                </c:pt>
                <c:pt idx="1">
                  <c:v>38346760</c:v>
                </c:pt>
                <c:pt idx="2">
                  <c:v>38346760</c:v>
                </c:pt>
                <c:pt idx="3">
                  <c:v>38346760</c:v>
                </c:pt>
                <c:pt idx="4">
                  <c:v>38346760</c:v>
                </c:pt>
                <c:pt idx="5">
                  <c:v>38346760</c:v>
                </c:pt>
              </c:numCache>
            </c:numRef>
          </c:val>
          <c:extLst>
            <c:ext xmlns:c16="http://schemas.microsoft.com/office/drawing/2014/chart" uri="{C3380CC4-5D6E-409C-BE32-E72D297353CC}">
              <c16:uniqueId val="{00000002-0BC9-4C3D-8900-00AAE4BB1050}"/>
            </c:ext>
          </c:extLst>
        </c:ser>
        <c:dLbls>
          <c:showLegendKey val="0"/>
          <c:showVal val="0"/>
          <c:showCatName val="0"/>
          <c:showSerName val="0"/>
          <c:showPercent val="0"/>
          <c:showBubbleSize val="0"/>
        </c:dLbls>
        <c:gapWidth val="150"/>
        <c:shape val="box"/>
        <c:axId val="437519512"/>
        <c:axId val="437520688"/>
        <c:axId val="0"/>
      </c:bar3DChart>
      <c:catAx>
        <c:axId val="437519512"/>
        <c:scaling>
          <c:orientation val="minMax"/>
        </c:scaling>
        <c:delete val="0"/>
        <c:axPos val="b"/>
        <c:numFmt formatCode="0.0" sourceLinked="1"/>
        <c:majorTickMark val="none"/>
        <c:minorTickMark val="none"/>
        <c:tickLblPos val="nextTo"/>
        <c:crossAx val="437520688"/>
        <c:crosses val="autoZero"/>
        <c:auto val="1"/>
        <c:lblAlgn val="ctr"/>
        <c:lblOffset val="100"/>
        <c:noMultiLvlLbl val="0"/>
      </c:catAx>
      <c:valAx>
        <c:axId val="437520688"/>
        <c:scaling>
          <c:orientation val="minMax"/>
        </c:scaling>
        <c:delete val="0"/>
        <c:axPos val="l"/>
        <c:majorGridlines/>
        <c:title>
          <c:tx>
            <c:rich>
              <a:bodyPr/>
              <a:lstStyle/>
              <a:p>
                <a:pPr>
                  <a:defRPr b="0" i="1"/>
                </a:pPr>
                <a:r>
                  <a:rPr lang="en-US" b="0" i="1"/>
                  <a:t>Volum</a:t>
                </a:r>
                <a:r>
                  <a:rPr lang="en-US" b="0" i="1" baseline="0"/>
                  <a:t> mii m</a:t>
                </a:r>
                <a:r>
                  <a:rPr lang="en-US" b="0" i="1" baseline="30000"/>
                  <a:t>3</a:t>
                </a:r>
              </a:p>
            </c:rich>
          </c:tx>
          <c:layout>
            <c:manualLayout>
              <c:xMode val="edge"/>
              <c:yMode val="edge"/>
              <c:x val="7.4818341868091123E-2"/>
              <c:y val="0.36308532289078838"/>
            </c:manualLayout>
          </c:layout>
          <c:overlay val="0"/>
        </c:title>
        <c:numFmt formatCode="General" sourceLinked="1"/>
        <c:majorTickMark val="none"/>
        <c:minorTickMark val="none"/>
        <c:tickLblPos val="nextTo"/>
        <c:crossAx val="437519512"/>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mn-lt"/>
                <a:ea typeface="+mn-ea"/>
                <a:cs typeface="+mn-cs"/>
              </a:defRPr>
            </a:pPr>
            <a:r>
              <a:rPr lang="en-US" sz="900" baseline="0">
                <a:solidFill>
                  <a:sysClr val="windowText" lastClr="000000"/>
                </a:solidFill>
                <a:latin typeface="Arial" panose="020B0604020202020204" pitchFamily="34" charset="0"/>
                <a:cs typeface="Arial" panose="020B0604020202020204" pitchFamily="34" charset="0"/>
              </a:rPr>
              <a:t>Situa</a:t>
            </a:r>
            <a:r>
              <a:rPr lang="ro-RO" sz="900" baseline="0">
                <a:solidFill>
                  <a:sysClr val="windowText" lastClr="000000"/>
                </a:solidFill>
                <a:latin typeface="Arial" panose="020B0604020202020204" pitchFamily="34" charset="0"/>
                <a:cs typeface="Arial" panose="020B0604020202020204" pitchFamily="34" charset="0"/>
              </a:rPr>
              <a:t>ț</a:t>
            </a:r>
            <a:r>
              <a:rPr lang="en-US" sz="900" baseline="0">
                <a:solidFill>
                  <a:sysClr val="windowText" lastClr="000000"/>
                </a:solidFill>
                <a:latin typeface="Arial" panose="020B0604020202020204" pitchFamily="34" charset="0"/>
                <a:cs typeface="Arial" panose="020B0604020202020204" pitchFamily="34" charset="0"/>
              </a:rPr>
              <a:t>ia dep</a:t>
            </a:r>
            <a:r>
              <a:rPr lang="ro-RO" sz="900" baseline="0">
                <a:solidFill>
                  <a:sysClr val="windowText" lastClr="000000"/>
                </a:solidFill>
                <a:latin typeface="Arial" panose="020B0604020202020204" pitchFamily="34" charset="0"/>
                <a:cs typeface="Arial" panose="020B0604020202020204" pitchFamily="34" charset="0"/>
              </a:rPr>
              <a:t>ăș</a:t>
            </a:r>
            <a:r>
              <a:rPr lang="en-US" sz="900" baseline="0">
                <a:solidFill>
                  <a:sysClr val="windowText" lastClr="000000"/>
                </a:solidFill>
                <a:latin typeface="Arial" panose="020B0604020202020204" pitchFamily="34" charset="0"/>
                <a:cs typeface="Arial" panose="020B0604020202020204" pitchFamily="34" charset="0"/>
              </a:rPr>
              <a:t>irii ad</a:t>
            </a:r>
            <a:r>
              <a:rPr lang="ro-RO" sz="900" baseline="0">
                <a:solidFill>
                  <a:sysClr val="windowText" lastClr="000000"/>
                </a:solidFill>
                <a:latin typeface="Arial" panose="020B0604020202020204" pitchFamily="34" charset="0"/>
                <a:cs typeface="Arial" panose="020B0604020202020204" pitchFamily="34" charset="0"/>
              </a:rPr>
              <a:t>â</a:t>
            </a:r>
            <a:r>
              <a:rPr lang="en-US" sz="900" baseline="0">
                <a:solidFill>
                  <a:sysClr val="windowText" lastClr="000000"/>
                </a:solidFill>
                <a:latin typeface="Arial" panose="020B0604020202020204" pitchFamily="34" charset="0"/>
                <a:cs typeface="Arial" panose="020B0604020202020204" pitchFamily="34" charset="0"/>
              </a:rPr>
              <a:t>ncimilor medii lunare (2021&amp;2016-2020</a:t>
            </a:r>
            <a:r>
              <a:rPr lang="en-US" sz="900" baseline="0">
                <a:solidFill>
                  <a:sysClr val="windowText" lastClr="000000"/>
                </a:solidFill>
              </a:rPr>
              <a:t>)</a:t>
            </a:r>
          </a:p>
        </c:rich>
      </c:tx>
      <c:layout>
        <c:manualLayout>
          <c:xMode val="edge"/>
          <c:yMode val="edge"/>
          <c:x val="0.1976202513248797"/>
          <c:y val="3.2223415682062301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mn-lt"/>
              <a:ea typeface="+mn-ea"/>
              <a:cs typeface="+mn-cs"/>
            </a:defRPr>
          </a:pPr>
          <a:endParaRPr lang="ro-RO"/>
        </a:p>
      </c:txPr>
    </c:title>
    <c:autoTitleDeleted val="0"/>
    <c:plotArea>
      <c:layout/>
      <c:barChart>
        <c:barDir val="col"/>
        <c:grouping val="stacked"/>
        <c:varyColors val="0"/>
        <c:ser>
          <c:idx val="0"/>
          <c:order val="0"/>
          <c:spPr>
            <a:solidFill>
              <a:schemeClr val="accent1"/>
            </a:solidFill>
            <a:ln>
              <a:noFill/>
            </a:ln>
            <a:effectLst/>
          </c:spPr>
          <c:invertIfNegative val="0"/>
          <c:cat>
            <c:strRef>
              <c:f>prelucrari!$AZ$1:$BK$1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prelucrari!$AZ$273:$BK$273</c:f>
              <c:numCache>
                <c:formatCode>0%</c:formatCode>
                <c:ptCount val="12"/>
                <c:pt idx="0">
                  <c:v>0.58888888888888891</c:v>
                </c:pt>
                <c:pt idx="1">
                  <c:v>0.54074074074074074</c:v>
                </c:pt>
                <c:pt idx="2">
                  <c:v>0.5444444444444444</c:v>
                </c:pt>
                <c:pt idx="3">
                  <c:v>0.55185185185185182</c:v>
                </c:pt>
                <c:pt idx="4">
                  <c:v>0.62592592592592589</c:v>
                </c:pt>
                <c:pt idx="5">
                  <c:v>0.58148148148148149</c:v>
                </c:pt>
                <c:pt idx="6">
                  <c:v>0.64074074074074072</c:v>
                </c:pt>
                <c:pt idx="7">
                  <c:v>0.67777777777777781</c:v>
                </c:pt>
                <c:pt idx="8">
                  <c:v>0.67407407407407405</c:v>
                </c:pt>
                <c:pt idx="9">
                  <c:v>0.68888888888888888</c:v>
                </c:pt>
                <c:pt idx="10">
                  <c:v>0.70370370370370372</c:v>
                </c:pt>
                <c:pt idx="11">
                  <c:v>0.68888888888888888</c:v>
                </c:pt>
              </c:numCache>
            </c:numRef>
          </c:val>
          <c:extLst>
            <c:ext xmlns:c16="http://schemas.microsoft.com/office/drawing/2014/chart" uri="{C3380CC4-5D6E-409C-BE32-E72D297353CC}">
              <c16:uniqueId val="{00000000-8025-458A-B9E0-0DEB6A94BEA6}"/>
            </c:ext>
          </c:extLst>
        </c:ser>
        <c:dLbls>
          <c:showLegendKey val="0"/>
          <c:showVal val="0"/>
          <c:showCatName val="0"/>
          <c:showSerName val="0"/>
          <c:showPercent val="0"/>
          <c:showBubbleSize val="0"/>
        </c:dLbls>
        <c:gapWidth val="150"/>
        <c:overlap val="100"/>
        <c:axId val="672254264"/>
        <c:axId val="672253872"/>
      </c:barChart>
      <c:catAx>
        <c:axId val="67225426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750" baseline="0">
                    <a:solidFill>
                      <a:sysClr val="windowText" lastClr="000000"/>
                    </a:solidFill>
                    <a:latin typeface="Arial" panose="020B0604020202020204" pitchFamily="34" charset="0"/>
                    <a:cs typeface="Arial" panose="020B0604020202020204" pitchFamily="34" charset="0"/>
                  </a:rPr>
                  <a:t>Luna</a:t>
                </a:r>
              </a:p>
            </c:rich>
          </c:tx>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o-RO"/>
            </a:p>
          </c:txPr>
        </c:title>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672253872"/>
        <c:crosses val="autoZero"/>
        <c:auto val="1"/>
        <c:lblAlgn val="ctr"/>
        <c:lblOffset val="100"/>
        <c:noMultiLvlLbl val="0"/>
      </c:catAx>
      <c:valAx>
        <c:axId val="672253872"/>
        <c:scaling>
          <c:orientation val="minMax"/>
        </c:scaling>
        <c:delete val="0"/>
        <c:axPos val="l"/>
        <c:majorGridlines>
          <c:spPr>
            <a:ln w="9525" cap="flat" cmpd="sng" algn="ctr">
              <a:solidFill>
                <a:schemeClr val="bg1">
                  <a:lumMod val="6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750" baseline="0">
                    <a:solidFill>
                      <a:sysClr val="windowText" lastClr="000000"/>
                    </a:solidFill>
                  </a:rPr>
                  <a:t>Frecven</a:t>
                </a:r>
                <a:r>
                  <a:rPr lang="ro-RO" sz="750" baseline="0">
                    <a:solidFill>
                      <a:sysClr val="windowText" lastClr="000000"/>
                    </a:solidFill>
                  </a:rPr>
                  <a:t>ț</a:t>
                </a:r>
                <a:r>
                  <a:rPr lang="en-US" sz="750" baseline="0">
                    <a:solidFill>
                      <a:sysClr val="windowText" lastClr="000000"/>
                    </a:solidFill>
                  </a:rPr>
                  <a:t>a </a:t>
                </a:r>
                <a:r>
                  <a:rPr lang="en-US" sz="750" baseline="0">
                    <a:solidFill>
                      <a:sysClr val="windowText" lastClr="000000"/>
                    </a:solidFill>
                    <a:latin typeface="Arial" panose="020B0604020202020204" pitchFamily="34" charset="0"/>
                    <a:cs typeface="Arial" panose="020B0604020202020204" pitchFamily="34" charset="0"/>
                  </a:rPr>
                  <a:t>sc</a:t>
                </a:r>
                <a:r>
                  <a:rPr lang="ro-RO" sz="750" baseline="0">
                    <a:solidFill>
                      <a:sysClr val="windowText" lastClr="000000"/>
                    </a:solidFill>
                    <a:latin typeface="Arial" panose="020B0604020202020204" pitchFamily="34" charset="0"/>
                    <a:cs typeface="Arial" panose="020B0604020202020204" pitchFamily="34" charset="0"/>
                  </a:rPr>
                  <a:t>ă</a:t>
                </a:r>
                <a:r>
                  <a:rPr lang="en-US" sz="750" baseline="0">
                    <a:solidFill>
                      <a:sysClr val="windowText" lastClr="000000"/>
                    </a:solidFill>
                    <a:latin typeface="Arial" panose="020B0604020202020204" pitchFamily="34" charset="0"/>
                    <a:cs typeface="Arial" panose="020B0604020202020204" pitchFamily="34" charset="0"/>
                  </a:rPr>
                  <a:t>derii </a:t>
                </a:r>
                <a:r>
                  <a:rPr lang="en-US" sz="750" baseline="0">
                    <a:solidFill>
                      <a:sysClr val="windowText" lastClr="000000"/>
                    </a:solidFill>
                  </a:rPr>
                  <a:t>ad</a:t>
                </a:r>
                <a:r>
                  <a:rPr lang="ro-RO" sz="750" baseline="0">
                    <a:solidFill>
                      <a:sysClr val="windowText" lastClr="000000"/>
                    </a:solidFill>
                  </a:rPr>
                  <a:t>â</a:t>
                </a:r>
                <a:r>
                  <a:rPr lang="en-US" sz="750" baseline="0">
                    <a:solidFill>
                      <a:sysClr val="windowText" lastClr="000000"/>
                    </a:solidFill>
                  </a:rPr>
                  <a:t>ncimilor de nivel piezometric</a:t>
                </a:r>
              </a:p>
            </c:rich>
          </c:tx>
          <c:layout>
            <c:manualLayout>
              <c:xMode val="edge"/>
              <c:yMode val="edge"/>
              <c:x val="1.5820698747528016E-2"/>
              <c:y val="0.1610367313108417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o-R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672254264"/>
        <c:crosses val="autoZero"/>
        <c:crossBetween val="between"/>
      </c:valAx>
      <c:spPr>
        <a:noFill/>
        <a:ln>
          <a:noFill/>
        </a:ln>
        <a:effectLst/>
      </c:spPr>
    </c:plotArea>
    <c:plotVisOnly val="1"/>
    <c:dispBlanksAs val="gap"/>
    <c:showDLblsOverMax val="0"/>
  </c:chart>
  <c:spPr>
    <a:solidFill>
      <a:schemeClr val="accent2">
        <a:lumMod val="40000"/>
        <a:lumOff val="60000"/>
        <a:alpha val="90000"/>
      </a:schemeClr>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777877387979175"/>
          <c:y val="4.1583965080185317E-2"/>
          <c:w val="0.79563227004949399"/>
          <c:h val="0.70258179664120257"/>
        </c:manualLayout>
      </c:layout>
      <c:barChart>
        <c:barDir val="bar"/>
        <c:grouping val="stacked"/>
        <c:varyColors val="0"/>
        <c:ser>
          <c:idx val="1"/>
          <c:order val="0"/>
          <c:tx>
            <c:strRef>
              <c:f>'Tabel SOER'!$D$3</c:f>
              <c:strCache>
                <c:ptCount val="1"/>
                <c:pt idx="0">
                  <c:v>Metale prioritare (nr.)</c:v>
                </c:pt>
              </c:strCache>
            </c:strRef>
          </c:tx>
          <c:spPr>
            <a:solidFill>
              <a:schemeClr val="tx2">
                <a:lumMod val="60000"/>
                <a:lumOff val="40000"/>
              </a:schemeClr>
            </a:solidFill>
            <a:ln>
              <a:noFill/>
            </a:ln>
            <a:effectLst/>
          </c:spPr>
          <c:invertIfNegative val="0"/>
          <c:cat>
            <c:strRef>
              <c:f>'Tabel SOER'!$A$4:$A$14</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'Tabel SOER'!$D$4:$D$14</c:f>
              <c:numCache>
                <c:formatCode>General</c:formatCode>
                <c:ptCount val="11"/>
                <c:pt idx="0">
                  <c:v>3</c:v>
                </c:pt>
                <c:pt idx="1">
                  <c:v>3</c:v>
                </c:pt>
                <c:pt idx="2">
                  <c:v>3</c:v>
                </c:pt>
                <c:pt idx="3">
                  <c:v>3</c:v>
                </c:pt>
                <c:pt idx="4">
                  <c:v>3</c:v>
                </c:pt>
                <c:pt idx="5">
                  <c:v>3</c:v>
                </c:pt>
                <c:pt idx="6">
                  <c:v>3</c:v>
                </c:pt>
                <c:pt idx="7">
                  <c:v>3</c:v>
                </c:pt>
                <c:pt idx="8">
                  <c:v>3</c:v>
                </c:pt>
                <c:pt idx="9">
                  <c:v>3</c:v>
                </c:pt>
                <c:pt idx="10">
                  <c:v>3</c:v>
                </c:pt>
              </c:numCache>
            </c:numRef>
          </c:val>
          <c:extLst>
            <c:ext xmlns:c16="http://schemas.microsoft.com/office/drawing/2014/chart" uri="{C3380CC4-5D6E-409C-BE32-E72D297353CC}">
              <c16:uniqueId val="{00000000-F04F-433F-BFA1-7B6598E68203}"/>
            </c:ext>
          </c:extLst>
        </c:ser>
        <c:ser>
          <c:idx val="2"/>
          <c:order val="1"/>
          <c:tx>
            <c:strRef>
              <c:f>'Tabel SOER'!$E$3</c:f>
              <c:strCache>
                <c:ptCount val="1"/>
                <c:pt idx="0">
                  <c:v>Micropoluanţi organici (nr.)</c:v>
                </c:pt>
              </c:strCache>
            </c:strRef>
          </c:tx>
          <c:spPr>
            <a:solidFill>
              <a:schemeClr val="accent6">
                <a:lumMod val="75000"/>
              </a:schemeClr>
            </a:solidFill>
            <a:ln>
              <a:noFill/>
            </a:ln>
            <a:effectLst/>
          </c:spPr>
          <c:invertIfNegative val="0"/>
          <c:cat>
            <c:strRef>
              <c:f>'Tabel SOER'!$A$4:$A$14</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'Tabel SOER'!$E$4:$E$14</c:f>
              <c:numCache>
                <c:formatCode>General</c:formatCode>
                <c:ptCount val="11"/>
                <c:pt idx="0">
                  <c:v>26</c:v>
                </c:pt>
                <c:pt idx="1">
                  <c:v>28</c:v>
                </c:pt>
                <c:pt idx="2">
                  <c:v>28</c:v>
                </c:pt>
                <c:pt idx="3">
                  <c:v>12</c:v>
                </c:pt>
                <c:pt idx="4">
                  <c:v>15</c:v>
                </c:pt>
                <c:pt idx="5">
                  <c:v>21</c:v>
                </c:pt>
                <c:pt idx="6">
                  <c:v>30</c:v>
                </c:pt>
                <c:pt idx="7">
                  <c:v>28</c:v>
                </c:pt>
                <c:pt idx="8">
                  <c:v>25</c:v>
                </c:pt>
                <c:pt idx="9">
                  <c:v>26</c:v>
                </c:pt>
                <c:pt idx="10">
                  <c:v>25</c:v>
                </c:pt>
              </c:numCache>
            </c:numRef>
          </c:val>
          <c:extLst>
            <c:ext xmlns:c16="http://schemas.microsoft.com/office/drawing/2014/chart" uri="{C3380CC4-5D6E-409C-BE32-E72D297353CC}">
              <c16:uniqueId val="{00000001-F04F-433F-BFA1-7B6598E68203}"/>
            </c:ext>
          </c:extLst>
        </c:ser>
        <c:dLbls>
          <c:showLegendKey val="0"/>
          <c:showVal val="0"/>
          <c:showCatName val="0"/>
          <c:showSerName val="0"/>
          <c:showPercent val="0"/>
          <c:showBubbleSize val="0"/>
        </c:dLbls>
        <c:gapWidth val="150"/>
        <c:overlap val="100"/>
        <c:axId val="1252400688"/>
        <c:axId val="1252395792"/>
      </c:barChart>
      <c:catAx>
        <c:axId val="125240068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chemeClr val="tx1"/>
                    </a:solidFill>
                    <a:latin typeface="Arial" panose="020B0604020202020204" pitchFamily="34" charset="0"/>
                    <a:cs typeface="Arial" panose="020B0604020202020204" pitchFamily="34" charset="0"/>
                  </a:rPr>
                  <a:t>Bazine</a:t>
                </a:r>
                <a:r>
                  <a:rPr lang="ro-RO">
                    <a:solidFill>
                      <a:schemeClr val="tx1"/>
                    </a:solidFill>
                    <a:latin typeface="Arial" panose="020B0604020202020204" pitchFamily="34" charset="0"/>
                    <a:cs typeface="Arial" panose="020B0604020202020204" pitchFamily="34" charset="0"/>
                  </a:rPr>
                  <a:t>/spatii hidrografice</a:t>
                </a:r>
              </a:p>
            </c:rich>
          </c:tx>
          <c:layout>
            <c:manualLayout>
              <c:xMode val="edge"/>
              <c:yMode val="edge"/>
              <c:x val="2.3650386946661411E-2"/>
              <c:y val="0.2056307279079556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o-RO"/>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o-RO"/>
          </a:p>
        </c:txPr>
        <c:crossAx val="1252395792"/>
        <c:crosses val="autoZero"/>
        <c:auto val="1"/>
        <c:lblAlgn val="ctr"/>
        <c:lblOffset val="100"/>
        <c:noMultiLvlLbl val="0"/>
      </c:catAx>
      <c:valAx>
        <c:axId val="1252395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o-RO"/>
          </a:p>
        </c:txPr>
        <c:crossAx val="1252400688"/>
        <c:crosses val="autoZero"/>
        <c:crossBetween val="between"/>
      </c:valAx>
      <c:dTable>
        <c:showHorzBorder val="1"/>
        <c:showVertBorder val="1"/>
        <c:showOutline val="1"/>
        <c:showKeys val="1"/>
        <c:spPr>
          <a:noFill/>
          <a:ln w="12700" cap="flat" cmpd="sng" algn="ctr">
            <a:solidFill>
              <a:schemeClr val="tx1"/>
            </a:solidFill>
            <a:round/>
          </a:ln>
          <a:effectLst/>
        </c:spPr>
        <c:txPr>
          <a:bodyPr rot="0" spcFirstLastPara="1" vertOverflow="ellipsis" vert="horz" wrap="square" anchor="ctr" anchorCtr="1"/>
          <a:lstStyle/>
          <a:p>
            <a:pPr rtl="0">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o-RO"/>
          </a:p>
        </c:txPr>
      </c:dTable>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ro-R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637926959921192"/>
          <c:y val="4.1583965080185317E-2"/>
          <c:w val="0.80089949419944517"/>
          <c:h val="0.68905599947416929"/>
        </c:manualLayout>
      </c:layout>
      <c:barChart>
        <c:barDir val="bar"/>
        <c:grouping val="stacked"/>
        <c:varyColors val="0"/>
        <c:ser>
          <c:idx val="2"/>
          <c:order val="0"/>
          <c:tx>
            <c:strRef>
              <c:f>'Tabel SOER'!$F$3</c:f>
              <c:strCache>
                <c:ptCount val="1"/>
                <c:pt idx="0">
                  <c:v>Metale prioritare (nr.)</c:v>
                </c:pt>
              </c:strCache>
            </c:strRef>
          </c:tx>
          <c:spPr>
            <a:solidFill>
              <a:schemeClr val="tx2">
                <a:lumMod val="60000"/>
                <a:lumOff val="40000"/>
              </a:schemeClr>
            </a:solidFill>
            <a:ln>
              <a:noFill/>
            </a:ln>
            <a:effectLst/>
          </c:spPr>
          <c:invertIfNegative val="0"/>
          <c:cat>
            <c:strRef>
              <c:f>'Tabel SOER'!$A$4:$A$14</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'Tabel SOER'!$F$4:$F$14</c:f>
              <c:numCache>
                <c:formatCode>General</c:formatCode>
                <c:ptCount val="11"/>
                <c:pt idx="0">
                  <c:v>1</c:v>
                </c:pt>
                <c:pt idx="1">
                  <c:v>0</c:v>
                </c:pt>
                <c:pt idx="2">
                  <c:v>1</c:v>
                </c:pt>
                <c:pt idx="3">
                  <c:v>1</c:v>
                </c:pt>
                <c:pt idx="4">
                  <c:v>1</c:v>
                </c:pt>
                <c:pt idx="5">
                  <c:v>0</c:v>
                </c:pt>
                <c:pt idx="6">
                  <c:v>1</c:v>
                </c:pt>
                <c:pt idx="7">
                  <c:v>1</c:v>
                </c:pt>
                <c:pt idx="8">
                  <c:v>1</c:v>
                </c:pt>
                <c:pt idx="9">
                  <c:v>1</c:v>
                </c:pt>
                <c:pt idx="10">
                  <c:v>0</c:v>
                </c:pt>
              </c:numCache>
            </c:numRef>
          </c:val>
          <c:extLst>
            <c:ext xmlns:c16="http://schemas.microsoft.com/office/drawing/2014/chart" uri="{C3380CC4-5D6E-409C-BE32-E72D297353CC}">
              <c16:uniqueId val="{00000000-21B7-4F3A-8B07-4105988E5478}"/>
            </c:ext>
          </c:extLst>
        </c:ser>
        <c:ser>
          <c:idx val="0"/>
          <c:order val="1"/>
          <c:tx>
            <c:strRef>
              <c:f>'Tabel SOER'!$G$3</c:f>
              <c:strCache>
                <c:ptCount val="1"/>
                <c:pt idx="0">
                  <c:v>Micropoluanţi organici (nr.)</c:v>
                </c:pt>
              </c:strCache>
            </c:strRef>
          </c:tx>
          <c:spPr>
            <a:solidFill>
              <a:schemeClr val="accent6">
                <a:lumMod val="75000"/>
              </a:schemeClr>
            </a:solidFill>
            <a:ln>
              <a:noFill/>
            </a:ln>
            <a:effectLst/>
          </c:spPr>
          <c:invertIfNegative val="0"/>
          <c:cat>
            <c:strRef>
              <c:f>'Tabel SOER'!$A$4:$A$14</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'Tabel SOER'!$G$4:$G$14</c:f>
              <c:numCache>
                <c:formatCode>General</c:formatCode>
                <c:ptCount val="11"/>
                <c:pt idx="0">
                  <c:v>5</c:v>
                </c:pt>
                <c:pt idx="1">
                  <c:v>2</c:v>
                </c:pt>
                <c:pt idx="2">
                  <c:v>5</c:v>
                </c:pt>
                <c:pt idx="3">
                  <c:v>7</c:v>
                </c:pt>
                <c:pt idx="4">
                  <c:v>7</c:v>
                </c:pt>
                <c:pt idx="5">
                  <c:v>0</c:v>
                </c:pt>
                <c:pt idx="6">
                  <c:v>7</c:v>
                </c:pt>
                <c:pt idx="7">
                  <c:v>7</c:v>
                </c:pt>
                <c:pt idx="8">
                  <c:v>7</c:v>
                </c:pt>
                <c:pt idx="9">
                  <c:v>7</c:v>
                </c:pt>
                <c:pt idx="10">
                  <c:v>0</c:v>
                </c:pt>
              </c:numCache>
            </c:numRef>
          </c:val>
          <c:extLst>
            <c:ext xmlns:c16="http://schemas.microsoft.com/office/drawing/2014/chart" uri="{C3380CC4-5D6E-409C-BE32-E72D297353CC}">
              <c16:uniqueId val="{00000001-21B7-4F3A-8B07-4105988E5478}"/>
            </c:ext>
          </c:extLst>
        </c:ser>
        <c:dLbls>
          <c:showLegendKey val="0"/>
          <c:showVal val="0"/>
          <c:showCatName val="0"/>
          <c:showSerName val="0"/>
          <c:showPercent val="0"/>
          <c:showBubbleSize val="0"/>
        </c:dLbls>
        <c:gapWidth val="150"/>
        <c:overlap val="100"/>
        <c:axId val="1252400688"/>
        <c:axId val="1252395792"/>
      </c:barChart>
      <c:catAx>
        <c:axId val="125240068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chemeClr val="tx1"/>
                    </a:solidFill>
                    <a:latin typeface="Arial" panose="020B0604020202020204" pitchFamily="34" charset="0"/>
                    <a:cs typeface="Arial" panose="020B0604020202020204" pitchFamily="34" charset="0"/>
                  </a:rPr>
                  <a:t>Bazine</a:t>
                </a:r>
                <a:r>
                  <a:rPr lang="ro-RO">
                    <a:solidFill>
                      <a:schemeClr val="tx1"/>
                    </a:solidFill>
                    <a:latin typeface="Arial" panose="020B0604020202020204" pitchFamily="34" charset="0"/>
                    <a:cs typeface="Arial" panose="020B0604020202020204" pitchFamily="34" charset="0"/>
                  </a:rPr>
                  <a:t>/spatii hidrografice</a:t>
                </a:r>
              </a:p>
            </c:rich>
          </c:tx>
          <c:layout>
            <c:manualLayout>
              <c:xMode val="edge"/>
              <c:yMode val="edge"/>
              <c:x val="3.6305413789652762E-2"/>
              <c:y val="0.1916732986649415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o-RO"/>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o-RO"/>
          </a:p>
        </c:txPr>
        <c:crossAx val="1252395792"/>
        <c:crosses val="autoZero"/>
        <c:auto val="1"/>
        <c:lblAlgn val="ctr"/>
        <c:lblOffset val="100"/>
        <c:noMultiLvlLbl val="0"/>
      </c:catAx>
      <c:valAx>
        <c:axId val="1252395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o-RO"/>
          </a:p>
        </c:txPr>
        <c:crossAx val="1252400688"/>
        <c:crosses val="autoZero"/>
        <c:crossBetween val="between"/>
      </c:valAx>
      <c:dTable>
        <c:showHorzBorder val="1"/>
        <c:showVertBorder val="1"/>
        <c:showOutline val="1"/>
        <c:showKeys val="1"/>
        <c:spPr>
          <a:noFill/>
          <a:ln w="12700" cap="flat" cmpd="sng" algn="ctr">
            <a:solidFill>
              <a:schemeClr val="tx1"/>
            </a:solidFill>
            <a:round/>
          </a:ln>
          <a:effectLst/>
        </c:spPr>
        <c:txPr>
          <a:bodyPr rot="0" spcFirstLastPara="1" vertOverflow="ellipsis" vert="horz" wrap="square" anchor="ctr" anchorCtr="1"/>
          <a:lstStyle/>
          <a:p>
            <a:pPr rtl="0">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o-RO"/>
          </a:p>
        </c:txPr>
      </c:dTable>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ro-R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686271591134522"/>
          <c:y val="1.6726403823178016E-2"/>
          <c:w val="0.7564998987015088"/>
          <c:h val="0.79385544548866871"/>
        </c:manualLayout>
      </c:layout>
      <c:barChart>
        <c:barDir val="bar"/>
        <c:grouping val="stacked"/>
        <c:varyColors val="0"/>
        <c:ser>
          <c:idx val="0"/>
          <c:order val="0"/>
          <c:tx>
            <c:strRef>
              <c:f>'Rauri_km 2021'!$C$4</c:f>
              <c:strCache>
                <c:ptCount val="1"/>
                <c:pt idx="0">
                  <c:v>SE bună/bun (km)</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'Rauri_km 2021'!$D$3:$N$3</c:f>
              <c:strCache>
                <c:ptCount val="11"/>
                <c:pt idx="0">
                  <c:v>Someș-Tisa</c:v>
                </c:pt>
                <c:pt idx="1">
                  <c:v>Crișuri</c:v>
                </c:pt>
                <c:pt idx="2">
                  <c:v>Mureș</c:v>
                </c:pt>
                <c:pt idx="3">
                  <c:v>Banat</c:v>
                </c:pt>
                <c:pt idx="4">
                  <c:v>Jiu</c:v>
                </c:pt>
                <c:pt idx="5">
                  <c:v>Olt</c:v>
                </c:pt>
                <c:pt idx="6">
                  <c:v>Argeș-Vedea</c:v>
                </c:pt>
                <c:pt idx="7">
                  <c:v>Buzău-Ialomița</c:v>
                </c:pt>
                <c:pt idx="8">
                  <c:v>Prut-Bârlad</c:v>
                </c:pt>
                <c:pt idx="9">
                  <c:v>Siret</c:v>
                </c:pt>
                <c:pt idx="10">
                  <c:v>Dobrogea-Litoral</c:v>
                </c:pt>
              </c:strCache>
            </c:strRef>
          </c:cat>
          <c:val>
            <c:numRef>
              <c:f>'Rauri_km 2021'!$D$4:$N$4</c:f>
              <c:numCache>
                <c:formatCode>General</c:formatCode>
                <c:ptCount val="11"/>
                <c:pt idx="0">
                  <c:v>1623.4880000000001</c:v>
                </c:pt>
                <c:pt idx="1">
                  <c:v>809.54899999999998</c:v>
                </c:pt>
                <c:pt idx="2">
                  <c:v>2826.8020000000001</c:v>
                </c:pt>
                <c:pt idx="3">
                  <c:v>1785.03</c:v>
                </c:pt>
                <c:pt idx="4">
                  <c:v>1590.3</c:v>
                </c:pt>
                <c:pt idx="5">
                  <c:v>1715.5</c:v>
                </c:pt>
                <c:pt idx="6">
                  <c:v>660.82</c:v>
                </c:pt>
                <c:pt idx="7">
                  <c:v>993.1</c:v>
                </c:pt>
                <c:pt idx="8">
                  <c:v>517.53499999999997</c:v>
                </c:pt>
                <c:pt idx="9">
                  <c:v>1616.2249999999999</c:v>
                </c:pt>
                <c:pt idx="10">
                  <c:v>543.00800000000004</c:v>
                </c:pt>
              </c:numCache>
            </c:numRef>
          </c:val>
          <c:extLst>
            <c:ext xmlns:c16="http://schemas.microsoft.com/office/drawing/2014/chart" uri="{C3380CC4-5D6E-409C-BE32-E72D297353CC}">
              <c16:uniqueId val="{00000000-B085-4FFD-B107-2C5A7C6BEDE7}"/>
            </c:ext>
          </c:extLst>
        </c:ser>
        <c:ser>
          <c:idx val="1"/>
          <c:order val="1"/>
          <c:tx>
            <c:strRef>
              <c:f>'Rauri_km 2021'!$C$5</c:f>
              <c:strCache>
                <c:ptCount val="1"/>
                <c:pt idx="0">
                  <c:v>SE inferioară stării bune (km)</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'Rauri_km 2021'!$D$3:$N$3</c:f>
              <c:strCache>
                <c:ptCount val="11"/>
                <c:pt idx="0">
                  <c:v>Someș-Tisa</c:v>
                </c:pt>
                <c:pt idx="1">
                  <c:v>Crișuri</c:v>
                </c:pt>
                <c:pt idx="2">
                  <c:v>Mureș</c:v>
                </c:pt>
                <c:pt idx="3">
                  <c:v>Banat</c:v>
                </c:pt>
                <c:pt idx="4">
                  <c:v>Jiu</c:v>
                </c:pt>
                <c:pt idx="5">
                  <c:v>Olt</c:v>
                </c:pt>
                <c:pt idx="6">
                  <c:v>Argeș-Vedea</c:v>
                </c:pt>
                <c:pt idx="7">
                  <c:v>Buzău-Ialomița</c:v>
                </c:pt>
                <c:pt idx="8">
                  <c:v>Prut-Bârlad</c:v>
                </c:pt>
                <c:pt idx="9">
                  <c:v>Siret</c:v>
                </c:pt>
                <c:pt idx="10">
                  <c:v>Dobrogea-Litoral</c:v>
                </c:pt>
              </c:strCache>
            </c:strRef>
          </c:cat>
          <c:val>
            <c:numRef>
              <c:f>'Rauri_km 2021'!$D$5:$N$5</c:f>
              <c:numCache>
                <c:formatCode>General</c:formatCode>
                <c:ptCount val="11"/>
                <c:pt idx="0">
                  <c:v>2923.1709999999998</c:v>
                </c:pt>
                <c:pt idx="1">
                  <c:v>1421.61</c:v>
                </c:pt>
                <c:pt idx="2">
                  <c:v>1409.202</c:v>
                </c:pt>
                <c:pt idx="3">
                  <c:v>1911.96</c:v>
                </c:pt>
                <c:pt idx="4">
                  <c:v>1801.8</c:v>
                </c:pt>
                <c:pt idx="5">
                  <c:v>1939</c:v>
                </c:pt>
                <c:pt idx="6">
                  <c:v>3040.34</c:v>
                </c:pt>
                <c:pt idx="7">
                  <c:v>1637.1</c:v>
                </c:pt>
                <c:pt idx="8">
                  <c:v>2854.4169999999999</c:v>
                </c:pt>
                <c:pt idx="9">
                  <c:v>4176.9219999999996</c:v>
                </c:pt>
                <c:pt idx="10">
                  <c:v>1077.2940000000001</c:v>
                </c:pt>
              </c:numCache>
            </c:numRef>
          </c:val>
          <c:extLst>
            <c:ext xmlns:c16="http://schemas.microsoft.com/office/drawing/2014/chart" uri="{C3380CC4-5D6E-409C-BE32-E72D297353CC}">
              <c16:uniqueId val="{00000001-B085-4FFD-B107-2C5A7C6BEDE7}"/>
            </c:ext>
          </c:extLst>
        </c:ser>
        <c:dLbls>
          <c:dLblPos val="ctr"/>
          <c:showLegendKey val="0"/>
          <c:showVal val="1"/>
          <c:showCatName val="0"/>
          <c:showSerName val="0"/>
          <c:showPercent val="0"/>
          <c:showBubbleSize val="0"/>
        </c:dLbls>
        <c:gapWidth val="182"/>
        <c:overlap val="100"/>
        <c:axId val="565987072"/>
        <c:axId val="565991384"/>
      </c:barChart>
      <c:catAx>
        <c:axId val="56598707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o-RO" sz="800" b="1">
                    <a:solidFill>
                      <a:schemeClr val="tx1"/>
                    </a:solidFill>
                    <a:latin typeface="Arial" panose="020B0604020202020204" pitchFamily="34" charset="0"/>
                    <a:cs typeface="Arial" panose="020B0604020202020204" pitchFamily="34" charset="0"/>
                  </a:rPr>
                  <a:t>Bazine/spații</a:t>
                </a:r>
                <a:r>
                  <a:rPr lang="ro-RO" sz="800" b="1" baseline="0">
                    <a:solidFill>
                      <a:schemeClr val="tx1"/>
                    </a:solidFill>
                    <a:latin typeface="Arial" panose="020B0604020202020204" pitchFamily="34" charset="0"/>
                    <a:cs typeface="Arial" panose="020B0604020202020204" pitchFamily="34" charset="0"/>
                  </a:rPr>
                  <a:t> hidrografice</a:t>
                </a:r>
                <a:endParaRPr lang="en-US" sz="800" b="1">
                  <a:solidFill>
                    <a:schemeClr val="tx1"/>
                  </a:solidFill>
                  <a:latin typeface="Arial" panose="020B0604020202020204" pitchFamily="34" charset="0"/>
                  <a:cs typeface="Arial" panose="020B0604020202020204" pitchFamily="34" charset="0"/>
                </a:endParaRPr>
              </a:p>
            </c:rich>
          </c:tx>
          <c:layout>
            <c:manualLayout>
              <c:xMode val="edge"/>
              <c:yMode val="edge"/>
              <c:x val="4.4385245737412593E-2"/>
              <c:y val="0.2843929383435220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o-R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ro-RO"/>
          </a:p>
        </c:txPr>
        <c:crossAx val="565991384"/>
        <c:crosses val="autoZero"/>
        <c:auto val="1"/>
        <c:lblAlgn val="ctr"/>
        <c:lblOffset val="100"/>
        <c:noMultiLvlLbl val="0"/>
      </c:catAx>
      <c:valAx>
        <c:axId val="5659913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ro-RO"/>
          </a:p>
        </c:txPr>
        <c:crossAx val="5659870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o-R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'Rauri_km 2021'!$C$12</c:f>
              <c:strCache>
                <c:ptCount val="1"/>
                <c:pt idx="0">
                  <c:v>SE bună/bun (%)</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'Rauri_km 2021'!$D$11:$N$11</c:f>
              <c:strCache>
                <c:ptCount val="11"/>
                <c:pt idx="0">
                  <c:v>Someș-Tisa</c:v>
                </c:pt>
                <c:pt idx="1">
                  <c:v>Crișuri</c:v>
                </c:pt>
                <c:pt idx="2">
                  <c:v>Mureș</c:v>
                </c:pt>
                <c:pt idx="3">
                  <c:v>Banat</c:v>
                </c:pt>
                <c:pt idx="4">
                  <c:v>Jiu</c:v>
                </c:pt>
                <c:pt idx="5">
                  <c:v>Olt</c:v>
                </c:pt>
                <c:pt idx="6">
                  <c:v>Argeș-Vedea</c:v>
                </c:pt>
                <c:pt idx="7">
                  <c:v>Buzău-Ialomița</c:v>
                </c:pt>
                <c:pt idx="8">
                  <c:v>Prut-Bârlad</c:v>
                </c:pt>
                <c:pt idx="9">
                  <c:v>Siret</c:v>
                </c:pt>
                <c:pt idx="10">
                  <c:v>Dobrogea-Litoral</c:v>
                </c:pt>
              </c:strCache>
            </c:strRef>
          </c:cat>
          <c:val>
            <c:numRef>
              <c:f>'Rauri_km 2021'!$D$12:$N$12</c:f>
              <c:numCache>
                <c:formatCode>0.00%</c:formatCode>
                <c:ptCount val="11"/>
                <c:pt idx="0">
                  <c:v>0.35707274286459578</c:v>
                </c:pt>
                <c:pt idx="1">
                  <c:v>0.362837879326395</c:v>
                </c:pt>
                <c:pt idx="2">
                  <c:v>0.66732750960575116</c:v>
                </c:pt>
                <c:pt idx="3">
                  <c:v>0.48283333198088174</c:v>
                </c:pt>
                <c:pt idx="4">
                  <c:v>0.46882462191562746</c:v>
                </c:pt>
                <c:pt idx="5">
                  <c:v>0.46942126145847585</c:v>
                </c:pt>
                <c:pt idx="6">
                  <c:v>0.17854402403570771</c:v>
                </c:pt>
                <c:pt idx="7">
                  <c:v>0.37757584974526653</c:v>
                </c:pt>
                <c:pt idx="8">
                  <c:v>0.15348231528799935</c:v>
                </c:pt>
                <c:pt idx="9">
                  <c:v>0.27898912283772537</c:v>
                </c:pt>
                <c:pt idx="10">
                  <c:v>0.33512764904320308</c:v>
                </c:pt>
              </c:numCache>
            </c:numRef>
          </c:val>
          <c:extLst>
            <c:ext xmlns:c16="http://schemas.microsoft.com/office/drawing/2014/chart" uri="{C3380CC4-5D6E-409C-BE32-E72D297353CC}">
              <c16:uniqueId val="{00000000-73BB-4D06-AAD0-3512FE0706B1}"/>
            </c:ext>
          </c:extLst>
        </c:ser>
        <c:ser>
          <c:idx val="1"/>
          <c:order val="1"/>
          <c:tx>
            <c:strRef>
              <c:f>'Rauri_km 2021'!$C$13</c:f>
              <c:strCache>
                <c:ptCount val="1"/>
                <c:pt idx="0">
                  <c:v>SE inferioară stării bune (%)</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'Rauri_km 2021'!$D$11:$N$11</c:f>
              <c:strCache>
                <c:ptCount val="11"/>
                <c:pt idx="0">
                  <c:v>Someș-Tisa</c:v>
                </c:pt>
                <c:pt idx="1">
                  <c:v>Crișuri</c:v>
                </c:pt>
                <c:pt idx="2">
                  <c:v>Mureș</c:v>
                </c:pt>
                <c:pt idx="3">
                  <c:v>Banat</c:v>
                </c:pt>
                <c:pt idx="4">
                  <c:v>Jiu</c:v>
                </c:pt>
                <c:pt idx="5">
                  <c:v>Olt</c:v>
                </c:pt>
                <c:pt idx="6">
                  <c:v>Argeș-Vedea</c:v>
                </c:pt>
                <c:pt idx="7">
                  <c:v>Buzău-Ialomița</c:v>
                </c:pt>
                <c:pt idx="8">
                  <c:v>Prut-Bârlad</c:v>
                </c:pt>
                <c:pt idx="9">
                  <c:v>Siret</c:v>
                </c:pt>
                <c:pt idx="10">
                  <c:v>Dobrogea-Litoral</c:v>
                </c:pt>
              </c:strCache>
            </c:strRef>
          </c:cat>
          <c:val>
            <c:numRef>
              <c:f>'Rauri_km 2021'!$D$13:$N$13</c:f>
              <c:numCache>
                <c:formatCode>0.00%</c:formatCode>
                <c:ptCount val="11"/>
                <c:pt idx="0">
                  <c:v>0.64292725713540422</c:v>
                </c:pt>
                <c:pt idx="1">
                  <c:v>0.63716212067360511</c:v>
                </c:pt>
                <c:pt idx="2">
                  <c:v>0.33267249039424895</c:v>
                </c:pt>
                <c:pt idx="3">
                  <c:v>0.51716666801911826</c:v>
                </c:pt>
                <c:pt idx="4">
                  <c:v>0.53117537808437254</c:v>
                </c:pt>
                <c:pt idx="5">
                  <c:v>0.53057873854152415</c:v>
                </c:pt>
                <c:pt idx="6">
                  <c:v>0.82145597596429221</c:v>
                </c:pt>
                <c:pt idx="7">
                  <c:v>0.62242415025473352</c:v>
                </c:pt>
                <c:pt idx="8">
                  <c:v>0.84651768471200073</c:v>
                </c:pt>
                <c:pt idx="9">
                  <c:v>0.72101087716227474</c:v>
                </c:pt>
                <c:pt idx="10">
                  <c:v>0.66487235095679698</c:v>
                </c:pt>
              </c:numCache>
            </c:numRef>
          </c:val>
          <c:extLst>
            <c:ext xmlns:c16="http://schemas.microsoft.com/office/drawing/2014/chart" uri="{C3380CC4-5D6E-409C-BE32-E72D297353CC}">
              <c16:uniqueId val="{00000001-73BB-4D06-AAD0-3512FE0706B1}"/>
            </c:ext>
          </c:extLst>
        </c:ser>
        <c:dLbls>
          <c:showLegendKey val="0"/>
          <c:showVal val="0"/>
          <c:showCatName val="0"/>
          <c:showSerName val="0"/>
          <c:showPercent val="0"/>
          <c:showBubbleSize val="0"/>
        </c:dLbls>
        <c:gapWidth val="150"/>
        <c:overlap val="100"/>
        <c:axId val="565992560"/>
        <c:axId val="565986288"/>
      </c:barChart>
      <c:catAx>
        <c:axId val="565992560"/>
        <c:scaling>
          <c:orientation val="minMax"/>
        </c:scaling>
        <c:delete val="0"/>
        <c:axPos val="l"/>
        <c:title>
          <c:tx>
            <c:rich>
              <a:bodyPr rot="-54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r>
                  <a:rPr lang="ro-RO" sz="800" b="1">
                    <a:solidFill>
                      <a:schemeClr val="tx1"/>
                    </a:solidFill>
                    <a:latin typeface="Arial" panose="020B0604020202020204" pitchFamily="34" charset="0"/>
                    <a:cs typeface="Arial" panose="020B0604020202020204" pitchFamily="34" charset="0"/>
                  </a:rPr>
                  <a:t>Bazine/spații</a:t>
                </a:r>
                <a:r>
                  <a:rPr lang="ro-RO" sz="800" b="1" baseline="0">
                    <a:solidFill>
                      <a:schemeClr val="tx1"/>
                    </a:solidFill>
                    <a:latin typeface="Arial" panose="020B0604020202020204" pitchFamily="34" charset="0"/>
                    <a:cs typeface="Arial" panose="020B0604020202020204" pitchFamily="34" charset="0"/>
                  </a:rPr>
                  <a:t> hidrografice</a:t>
                </a:r>
                <a:endParaRPr lang="en-US" sz="800" b="1">
                  <a:solidFill>
                    <a:schemeClr val="tx1"/>
                  </a:solidFill>
                  <a:latin typeface="Arial" panose="020B0604020202020204" pitchFamily="34" charset="0"/>
                  <a:cs typeface="Arial" panose="020B0604020202020204" pitchFamily="34" charset="0"/>
                </a:endParaRPr>
              </a:p>
            </c:rich>
          </c:tx>
          <c:layout>
            <c:manualLayout>
              <c:xMode val="edge"/>
              <c:yMode val="edge"/>
              <c:x val="7.1005917159763315E-2"/>
              <c:y val="0.27148563233051592"/>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ro-R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ro-RO"/>
          </a:p>
        </c:txPr>
        <c:crossAx val="565986288"/>
        <c:crosses val="autoZero"/>
        <c:auto val="1"/>
        <c:lblAlgn val="ctr"/>
        <c:lblOffset val="100"/>
        <c:noMultiLvlLbl val="0"/>
      </c:catAx>
      <c:valAx>
        <c:axId val="5659862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ro-RO"/>
          </a:p>
        </c:txPr>
        <c:crossAx val="5659925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o-R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90890826754012"/>
          <c:y val="4.1583828712541585E-2"/>
          <c:w val="0.79563227004949399"/>
          <c:h val="0.70258179664120257"/>
        </c:manualLayout>
      </c:layout>
      <c:barChart>
        <c:barDir val="bar"/>
        <c:grouping val="stacked"/>
        <c:varyColors val="0"/>
        <c:ser>
          <c:idx val="0"/>
          <c:order val="0"/>
          <c:tx>
            <c:strRef>
              <c:f>'Tabel SOER'!$C$40</c:f>
              <c:strCache>
                <c:ptCount val="1"/>
                <c:pt idx="0">
                  <c:v>Metale prioritare (nr.)</c:v>
                </c:pt>
              </c:strCache>
            </c:strRef>
          </c:tx>
          <c:spPr>
            <a:solidFill>
              <a:schemeClr val="tx2">
                <a:lumMod val="60000"/>
                <a:lumOff val="40000"/>
              </a:schemeClr>
            </a:solidFill>
            <a:ln>
              <a:noFill/>
            </a:ln>
            <a:effectLst/>
          </c:spPr>
          <c:invertIfNegative val="0"/>
          <c:cat>
            <c:strRef>
              <c:f>'Tabel SOER'!$A$41:$A$51</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'Tabel SOER'!$C$41:$C$51</c:f>
              <c:numCache>
                <c:formatCode>General</c:formatCode>
                <c:ptCount val="11"/>
                <c:pt idx="0">
                  <c:v>3</c:v>
                </c:pt>
                <c:pt idx="1">
                  <c:v>0</c:v>
                </c:pt>
                <c:pt idx="2">
                  <c:v>3</c:v>
                </c:pt>
                <c:pt idx="3">
                  <c:v>3</c:v>
                </c:pt>
                <c:pt idx="4">
                  <c:v>3</c:v>
                </c:pt>
                <c:pt idx="5">
                  <c:v>3</c:v>
                </c:pt>
                <c:pt idx="6">
                  <c:v>2</c:v>
                </c:pt>
                <c:pt idx="7">
                  <c:v>0</c:v>
                </c:pt>
                <c:pt idx="8">
                  <c:v>3</c:v>
                </c:pt>
                <c:pt idx="9">
                  <c:v>3</c:v>
                </c:pt>
                <c:pt idx="10">
                  <c:v>3</c:v>
                </c:pt>
              </c:numCache>
            </c:numRef>
          </c:val>
          <c:extLst>
            <c:ext xmlns:c16="http://schemas.microsoft.com/office/drawing/2014/chart" uri="{C3380CC4-5D6E-409C-BE32-E72D297353CC}">
              <c16:uniqueId val="{00000000-0E0A-4B6B-A014-104713D67241}"/>
            </c:ext>
          </c:extLst>
        </c:ser>
        <c:ser>
          <c:idx val="1"/>
          <c:order val="1"/>
          <c:tx>
            <c:strRef>
              <c:f>'Tabel SOER'!$D$40</c:f>
              <c:strCache>
                <c:ptCount val="1"/>
                <c:pt idx="0">
                  <c:v>Micropoluanţi organici (nr.)</c:v>
                </c:pt>
              </c:strCache>
            </c:strRef>
          </c:tx>
          <c:spPr>
            <a:solidFill>
              <a:schemeClr val="accent6">
                <a:lumMod val="75000"/>
              </a:schemeClr>
            </a:solidFill>
            <a:ln>
              <a:noFill/>
            </a:ln>
            <a:effectLst/>
          </c:spPr>
          <c:invertIfNegative val="0"/>
          <c:cat>
            <c:strRef>
              <c:f>'Tabel SOER'!$A$41:$A$51</c:f>
              <c:strCache>
                <c:ptCount val="11"/>
                <c:pt idx="0">
                  <c:v>Someș-Tisa</c:v>
                </c:pt>
                <c:pt idx="1">
                  <c:v>Crișuri</c:v>
                </c:pt>
                <c:pt idx="2">
                  <c:v>Mureș</c:v>
                </c:pt>
                <c:pt idx="3">
                  <c:v>Banat</c:v>
                </c:pt>
                <c:pt idx="4">
                  <c:v>Jiu</c:v>
                </c:pt>
                <c:pt idx="5">
                  <c:v>Olt</c:v>
                </c:pt>
                <c:pt idx="6">
                  <c:v>Argeș-Vedea</c:v>
                </c:pt>
                <c:pt idx="7">
                  <c:v>Buzău-Ialomița</c:v>
                </c:pt>
                <c:pt idx="8">
                  <c:v>Siret</c:v>
                </c:pt>
                <c:pt idx="9">
                  <c:v>Prut- Bârlad</c:v>
                </c:pt>
                <c:pt idx="10">
                  <c:v>Dobrogea - Litoral*</c:v>
                </c:pt>
              </c:strCache>
            </c:strRef>
          </c:cat>
          <c:val>
            <c:numRef>
              <c:f>'Tabel SOER'!$D$41:$D$51</c:f>
              <c:numCache>
                <c:formatCode>General</c:formatCode>
                <c:ptCount val="11"/>
                <c:pt idx="0">
                  <c:v>10</c:v>
                </c:pt>
                <c:pt idx="1">
                  <c:v>0</c:v>
                </c:pt>
                <c:pt idx="2">
                  <c:v>22</c:v>
                </c:pt>
                <c:pt idx="3">
                  <c:v>6</c:v>
                </c:pt>
                <c:pt idx="4">
                  <c:v>9</c:v>
                </c:pt>
                <c:pt idx="5">
                  <c:v>9</c:v>
                </c:pt>
                <c:pt idx="6">
                  <c:v>7</c:v>
                </c:pt>
                <c:pt idx="7">
                  <c:v>8</c:v>
                </c:pt>
                <c:pt idx="8">
                  <c:v>7</c:v>
                </c:pt>
                <c:pt idx="9">
                  <c:v>9</c:v>
                </c:pt>
                <c:pt idx="10">
                  <c:v>5</c:v>
                </c:pt>
              </c:numCache>
            </c:numRef>
          </c:val>
          <c:extLst>
            <c:ext xmlns:c16="http://schemas.microsoft.com/office/drawing/2014/chart" uri="{C3380CC4-5D6E-409C-BE32-E72D297353CC}">
              <c16:uniqueId val="{00000001-0E0A-4B6B-A014-104713D67241}"/>
            </c:ext>
          </c:extLst>
        </c:ser>
        <c:dLbls>
          <c:showLegendKey val="0"/>
          <c:showVal val="0"/>
          <c:showCatName val="0"/>
          <c:showSerName val="0"/>
          <c:showPercent val="0"/>
          <c:showBubbleSize val="0"/>
        </c:dLbls>
        <c:gapWidth val="150"/>
        <c:overlap val="100"/>
        <c:axId val="1252400688"/>
        <c:axId val="1252395792"/>
      </c:barChart>
      <c:catAx>
        <c:axId val="125240068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chemeClr val="tx1"/>
                    </a:solidFill>
                    <a:latin typeface="Arial" panose="020B0604020202020204" pitchFamily="34" charset="0"/>
                    <a:cs typeface="Arial" panose="020B0604020202020204" pitchFamily="34" charset="0"/>
                  </a:rPr>
                  <a:t>Bazine</a:t>
                </a:r>
                <a:r>
                  <a:rPr lang="ro-RO">
                    <a:solidFill>
                      <a:schemeClr val="tx1"/>
                    </a:solidFill>
                    <a:latin typeface="Arial" panose="020B0604020202020204" pitchFamily="34" charset="0"/>
                    <a:cs typeface="Arial" panose="020B0604020202020204" pitchFamily="34" charset="0"/>
                  </a:rPr>
                  <a:t>/spatii hidrografice</a:t>
                </a:r>
              </a:p>
            </c:rich>
          </c:tx>
          <c:layout>
            <c:manualLayout>
              <c:xMode val="edge"/>
              <c:yMode val="edge"/>
              <c:x val="2.3650386946661411E-2"/>
              <c:y val="0.2056307279079556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o-RO"/>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o-RO"/>
          </a:p>
        </c:txPr>
        <c:crossAx val="1252395792"/>
        <c:crosses val="autoZero"/>
        <c:auto val="1"/>
        <c:lblAlgn val="ctr"/>
        <c:lblOffset val="100"/>
        <c:noMultiLvlLbl val="0"/>
      </c:catAx>
      <c:valAx>
        <c:axId val="1252395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o-RO"/>
          </a:p>
        </c:txPr>
        <c:crossAx val="1252400688"/>
        <c:crosses val="autoZero"/>
        <c:crossBetween val="between"/>
      </c:valAx>
      <c:dTable>
        <c:showHorzBorder val="1"/>
        <c:showVertBorder val="1"/>
        <c:showOutline val="1"/>
        <c:showKeys val="1"/>
        <c:spPr>
          <a:noFill/>
          <a:ln w="12700" cap="flat" cmpd="sng" algn="ctr">
            <a:solidFill>
              <a:schemeClr val="tx1"/>
            </a:solidFill>
            <a:round/>
          </a:ln>
          <a:effectLst/>
        </c:spPr>
        <c:txPr>
          <a:bodyPr rot="0" spcFirstLastPara="1" vertOverflow="ellipsis" vert="horz" wrap="square" anchor="ctr" anchorCtr="1"/>
          <a:lstStyle/>
          <a:p>
            <a:pPr rtl="0">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o-RO"/>
          </a:p>
        </c:txPr>
      </c:dTable>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ro-R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5624272606949775"/>
          <c:y val="2.4050437824506794E-2"/>
          <c:w val="0.60596881800031399"/>
          <c:h val="0.67164661802677805"/>
        </c:manualLayout>
      </c:layout>
      <c:barChart>
        <c:barDir val="col"/>
        <c:grouping val="clustered"/>
        <c:varyColors val="0"/>
        <c:ser>
          <c:idx val="0"/>
          <c:order val="0"/>
          <c:tx>
            <c:strRef>
              <c:f>Subterane_NO3!$A$37</c:f>
              <c:strCache>
                <c:ptCount val="1"/>
                <c:pt idx="0">
                  <c:v> Puncte de  monitorizare cu conc.      &lt; 50 mg NO₃/L (%)</c:v>
                </c:pt>
              </c:strCache>
            </c:strRef>
          </c:tx>
          <c:spPr>
            <a:solidFill>
              <a:schemeClr val="accent1"/>
            </a:solidFill>
            <a:ln>
              <a:noFill/>
            </a:ln>
            <a:effectLst/>
          </c:spPr>
          <c:invertIfNegative val="0"/>
          <c:cat>
            <c:numRef>
              <c:f>Subterane_NO3!$B$36:$H$36</c:f>
              <c:numCache>
                <c:formatCode>General</c:formatCode>
                <c:ptCount val="7"/>
                <c:pt idx="0">
                  <c:v>2015</c:v>
                </c:pt>
                <c:pt idx="1">
                  <c:v>2016</c:v>
                </c:pt>
                <c:pt idx="2">
                  <c:v>2017</c:v>
                </c:pt>
                <c:pt idx="3">
                  <c:v>2018</c:v>
                </c:pt>
                <c:pt idx="4">
                  <c:v>2019</c:v>
                </c:pt>
                <c:pt idx="5">
                  <c:v>2020</c:v>
                </c:pt>
                <c:pt idx="6">
                  <c:v>2021</c:v>
                </c:pt>
              </c:numCache>
            </c:numRef>
          </c:cat>
          <c:val>
            <c:numRef>
              <c:f>Subterane_NO3!$B$37:$H$37</c:f>
              <c:numCache>
                <c:formatCode>0.00</c:formatCode>
                <c:ptCount val="7"/>
                <c:pt idx="0">
                  <c:v>85.496183206106863</c:v>
                </c:pt>
                <c:pt idx="1">
                  <c:v>86.277084701247546</c:v>
                </c:pt>
                <c:pt idx="2">
                  <c:v>86.197916666666657</c:v>
                </c:pt>
                <c:pt idx="3">
                  <c:v>86.384364820846898</c:v>
                </c:pt>
                <c:pt idx="4">
                  <c:v>87.597911227154043</c:v>
                </c:pt>
                <c:pt idx="5">
                  <c:v>88.365837256220587</c:v>
                </c:pt>
                <c:pt idx="6">
                  <c:v>88.648293963254602</c:v>
                </c:pt>
              </c:numCache>
            </c:numRef>
          </c:val>
          <c:extLst>
            <c:ext xmlns:c16="http://schemas.microsoft.com/office/drawing/2014/chart" uri="{C3380CC4-5D6E-409C-BE32-E72D297353CC}">
              <c16:uniqueId val="{00000000-8B99-4C36-8E74-C4BB61D98CC6}"/>
            </c:ext>
          </c:extLst>
        </c:ser>
        <c:ser>
          <c:idx val="1"/>
          <c:order val="1"/>
          <c:tx>
            <c:strRef>
              <c:f>Subterane_NO3!$A$38</c:f>
              <c:strCache>
                <c:ptCount val="1"/>
                <c:pt idx="0">
                  <c:v>Depășiri ale conc. 50 mg NO₃/L (%)</c:v>
                </c:pt>
              </c:strCache>
            </c:strRef>
          </c:tx>
          <c:spPr>
            <a:solidFill>
              <a:schemeClr val="bg1">
                <a:lumMod val="75000"/>
              </a:schemeClr>
            </a:solidFill>
            <a:ln>
              <a:noFill/>
            </a:ln>
            <a:effectLst/>
          </c:spPr>
          <c:invertIfNegative val="0"/>
          <c:cat>
            <c:numRef>
              <c:f>Subterane_NO3!$B$36:$H$36</c:f>
              <c:numCache>
                <c:formatCode>General</c:formatCode>
                <c:ptCount val="7"/>
                <c:pt idx="0">
                  <c:v>2015</c:v>
                </c:pt>
                <c:pt idx="1">
                  <c:v>2016</c:v>
                </c:pt>
                <c:pt idx="2">
                  <c:v>2017</c:v>
                </c:pt>
                <c:pt idx="3">
                  <c:v>2018</c:v>
                </c:pt>
                <c:pt idx="4">
                  <c:v>2019</c:v>
                </c:pt>
                <c:pt idx="5">
                  <c:v>2020</c:v>
                </c:pt>
                <c:pt idx="6">
                  <c:v>2021</c:v>
                </c:pt>
              </c:numCache>
            </c:numRef>
          </c:cat>
          <c:val>
            <c:numRef>
              <c:f>Subterane_NO3!$B$38:$H$38</c:f>
              <c:numCache>
                <c:formatCode>0.00</c:formatCode>
                <c:ptCount val="7"/>
                <c:pt idx="0">
                  <c:v>14.503816793893129</c:v>
                </c:pt>
                <c:pt idx="1">
                  <c:v>13.722915298752461</c:v>
                </c:pt>
                <c:pt idx="2">
                  <c:v>13.802083333333334</c:v>
                </c:pt>
                <c:pt idx="3">
                  <c:v>13.615635179153093</c:v>
                </c:pt>
                <c:pt idx="4">
                  <c:v>12.402088772845952</c:v>
                </c:pt>
                <c:pt idx="5">
                  <c:v>11.634162743779422</c:v>
                </c:pt>
                <c:pt idx="6" formatCode="General">
                  <c:v>11.35</c:v>
                </c:pt>
              </c:numCache>
            </c:numRef>
          </c:val>
          <c:extLst>
            <c:ext xmlns:c16="http://schemas.microsoft.com/office/drawing/2014/chart" uri="{C3380CC4-5D6E-409C-BE32-E72D297353CC}">
              <c16:uniqueId val="{00000001-8B99-4C36-8E74-C4BB61D98CC6}"/>
            </c:ext>
          </c:extLst>
        </c:ser>
        <c:dLbls>
          <c:showLegendKey val="0"/>
          <c:showVal val="0"/>
          <c:showCatName val="0"/>
          <c:showSerName val="0"/>
          <c:showPercent val="0"/>
          <c:showBubbleSize val="0"/>
        </c:dLbls>
        <c:gapWidth val="219"/>
        <c:overlap val="-27"/>
        <c:axId val="384555936"/>
        <c:axId val="384555544"/>
      </c:barChart>
      <c:catAx>
        <c:axId val="384555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o-RO"/>
          </a:p>
        </c:txPr>
        <c:crossAx val="384555544"/>
        <c:crosses val="autoZero"/>
        <c:auto val="1"/>
        <c:lblAlgn val="ctr"/>
        <c:lblOffset val="100"/>
        <c:noMultiLvlLbl val="0"/>
      </c:catAx>
      <c:valAx>
        <c:axId val="384555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a:t>
                </a:r>
                <a:endParaRPr lang="ro-RO"/>
              </a:p>
            </c:rich>
          </c:tx>
          <c:layout>
            <c:manualLayout>
              <c:xMode val="edge"/>
              <c:yMode val="edge"/>
              <c:x val="0.2388888888888889"/>
              <c:y val="0.3546835812190142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o-RO"/>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o-RO"/>
          </a:p>
        </c:txPr>
        <c:crossAx val="384555936"/>
        <c:crosses val="autoZero"/>
        <c:crossBetween val="between"/>
      </c:valAx>
      <c:dTable>
        <c:showHorzBorder val="1"/>
        <c:showVertBorder val="1"/>
        <c:showOutline val="1"/>
        <c:showKeys val="1"/>
        <c:spPr>
          <a:noFill/>
          <a:ln w="9525" cap="flat" cmpd="sng" algn="ctr">
            <a:solidFill>
              <a:schemeClr val="tx1"/>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o-RO"/>
          </a:p>
        </c:txPr>
      </c:dTable>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ro-R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3888888888888889E-3"/>
          <c:y val="7.8793379994167412E-2"/>
          <c:w val="0.89582738988461552"/>
          <c:h val="0.62625729075532222"/>
        </c:manualLayout>
      </c:layout>
      <c:pie3DChart>
        <c:varyColors val="1"/>
        <c:ser>
          <c:idx val="0"/>
          <c:order val="0"/>
          <c:dPt>
            <c:idx val="0"/>
            <c:bubble3D val="0"/>
            <c:explosion val="16"/>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8A5-4ECB-A326-45232DBBE3B5}"/>
              </c:ext>
            </c:extLst>
          </c:dPt>
          <c:dPt>
            <c:idx val="1"/>
            <c:bubble3D val="0"/>
            <c:explosion val="34"/>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8A5-4ECB-A326-45232DBBE3B5}"/>
              </c:ext>
            </c:extLst>
          </c:dPt>
          <c:dPt>
            <c:idx val="2"/>
            <c:bubble3D val="0"/>
            <c:explosion val="21"/>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8A5-4ECB-A326-45232DBBE3B5}"/>
              </c:ext>
            </c:extLst>
          </c:dPt>
          <c:dPt>
            <c:idx val="3"/>
            <c:bubble3D val="0"/>
            <c:explosion val="15"/>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8A5-4ECB-A326-45232DBBE3B5}"/>
              </c:ext>
            </c:extLst>
          </c:dPt>
          <c:dPt>
            <c:idx val="4"/>
            <c:bubble3D val="0"/>
            <c:explosion val="24"/>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08A5-4ECB-A326-45232DBBE3B5}"/>
              </c:ext>
            </c:extLst>
          </c:dPt>
          <c:dLbls>
            <c:dLbl>
              <c:idx val="0"/>
              <c:tx>
                <c:rich>
                  <a:bodyPr rot="0" spcFirstLastPara="1" vertOverflow="ellipsis" horzOverflow="clip" vert="horz" wrap="square" lIns="38100" tIns="19050" rIns="38100" bIns="19050" anchor="ctr" anchorCtr="1">
                    <a:no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fld id="{A842F755-51FE-49F3-B6D2-972751188326}" type="VALUE">
                      <a:rPr lang="en-US"/>
                      <a:pPr>
                        <a:defRPr sz="1000" b="1">
                          <a:solidFill>
                            <a:schemeClr val="tx1">
                              <a:lumMod val="75000"/>
                              <a:lumOff val="25000"/>
                            </a:schemeClr>
                          </a:solidFill>
                          <a:latin typeface="Arial" panose="020B0604020202020204" pitchFamily="34" charset="0"/>
                          <a:cs typeface="Arial" panose="020B0604020202020204" pitchFamily="34" charset="0"/>
                        </a:defRPr>
                      </a:pPr>
                      <a:t>[VALUE]</a:t>
                    </a:fld>
                    <a:r>
                      <a:rPr lang="en-US"/>
                      <a:t>%</a:t>
                    </a:r>
                  </a:p>
                </c:rich>
              </c:tx>
              <c:spPr>
                <a:solidFill>
                  <a:schemeClr val="bg1"/>
                </a:solidFill>
                <a:ln>
                  <a:noFill/>
                </a:ln>
                <a:effectLst/>
              </c:spPr>
              <c:txPr>
                <a:bodyPr rot="0" spcFirstLastPara="1" vertOverflow="ellipsis" horzOverflow="clip" vert="horz" wrap="square" lIns="38100" tIns="19050" rIns="38100" bIns="19050" anchor="ctr" anchorCtr="1">
                  <a:no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ro-RO"/>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15:dlblFieldTable/>
                  <c15:showDataLabelsRange val="0"/>
                </c:ext>
                <c:ext xmlns:c16="http://schemas.microsoft.com/office/drawing/2014/chart" uri="{C3380CC4-5D6E-409C-BE32-E72D297353CC}">
                  <c16:uniqueId val="{00000001-08A5-4ECB-A326-45232DBBE3B5}"/>
                </c:ext>
              </c:extLst>
            </c:dLbl>
            <c:dLbl>
              <c:idx val="2"/>
              <c:tx>
                <c:rich>
                  <a:bodyPr/>
                  <a:lstStyle/>
                  <a:p>
                    <a:fld id="{6CCFBEFF-BB61-4129-B1B2-DBF892DBC61C}"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8A5-4ECB-A326-45232DBBE3B5}"/>
                </c:ext>
              </c:extLst>
            </c:dLbl>
            <c:dLbl>
              <c:idx val="3"/>
              <c:layout>
                <c:manualLayout>
                  <c:x val="-1.4869969378827647E-2"/>
                  <c:y val="-7.9627442403032961E-2"/>
                </c:manualLayout>
              </c:layout>
              <c:tx>
                <c:rich>
                  <a:bodyPr/>
                  <a:lstStyle/>
                  <a:p>
                    <a:fld id="{BD71F984-CD1E-4FC1-878C-4491B5FCBEB4}"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08A5-4ECB-A326-45232DBBE3B5}"/>
                </c:ext>
              </c:extLst>
            </c:dLbl>
            <c:dLbl>
              <c:idx val="4"/>
              <c:layout>
                <c:manualLayout>
                  <c:x val="5.0508748906386701E-2"/>
                  <c:y val="-7.0974044911052789E-2"/>
                </c:manualLayout>
              </c:layout>
              <c:tx>
                <c:rich>
                  <a:bodyPr/>
                  <a:lstStyle/>
                  <a:p>
                    <a:fld id="{4161524D-3694-44F3-81B1-8224AA417607}"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08A5-4ECB-A326-45232DBBE3B5}"/>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ro-R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Sheet1!$A$4:$A$8</c:f>
              <c:strCache>
                <c:ptCount val="5"/>
                <c:pt idx="0">
                  <c:v>aglomerări urbane</c:v>
                </c:pt>
                <c:pt idx="1">
                  <c:v>unități industriale</c:v>
                </c:pt>
                <c:pt idx="2">
                  <c:v>unități agricole</c:v>
                </c:pt>
                <c:pt idx="3">
                  <c:v>ferme acvacultură</c:v>
                </c:pt>
                <c:pt idx="4">
                  <c:v>alte presiuni punctiforme</c:v>
                </c:pt>
              </c:strCache>
            </c:strRef>
          </c:cat>
          <c:val>
            <c:numRef>
              <c:f>Sheet1!$C$4:$C$8</c:f>
              <c:numCache>
                <c:formatCode>0.0</c:formatCode>
                <c:ptCount val="5"/>
                <c:pt idx="0">
                  <c:v>45.5</c:v>
                </c:pt>
                <c:pt idx="1">
                  <c:v>34</c:v>
                </c:pt>
                <c:pt idx="2">
                  <c:v>2.2999999999999998</c:v>
                </c:pt>
                <c:pt idx="3">
                  <c:v>10.004116920543433</c:v>
                </c:pt>
                <c:pt idx="4">
                  <c:v>8.1999999999999993</c:v>
                </c:pt>
              </c:numCache>
            </c:numRef>
          </c:val>
          <c:extLst>
            <c:ext xmlns:c16="http://schemas.microsoft.com/office/drawing/2014/chart" uri="{C3380CC4-5D6E-409C-BE32-E72D297353CC}">
              <c16:uniqueId val="{0000000A-08A5-4ECB-A326-45232DBBE3B5}"/>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13018552552451287"/>
          <c:y val="0.74680701370662006"/>
          <c:w val="0.78531038009970378"/>
          <c:h val="0.22541520851560218"/>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o-R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12700" cap="flat" cmpd="sng" algn="ctr">
      <a:solidFill>
        <a:schemeClr val="tx1"/>
      </a:solidFill>
      <a:round/>
    </a:ln>
    <a:effectLst/>
  </c:spPr>
  <c:txPr>
    <a:bodyPr/>
    <a:lstStyle/>
    <a:p>
      <a:pPr>
        <a:defRPr/>
      </a:pPr>
      <a:endParaRPr lang="ro-R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28F445-691E-4530-9CD1-2EDA43E420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TotalTime>
  <Pages>119</Pages>
  <Words>43336</Words>
  <Characters>251350</Characters>
  <Application>Microsoft Office Word</Application>
  <DocSecurity>0</DocSecurity>
  <Lines>2094</Lines>
  <Paragraphs>588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Marina Neamtu</dc:creator>
  <cp:keywords/>
  <dc:description/>
  <cp:lastModifiedBy>Marina Neamtu</cp:lastModifiedBy>
  <cp:revision>32</cp:revision>
  <dcterms:created xsi:type="dcterms:W3CDTF">2022-08-02T06:14:00Z</dcterms:created>
  <dcterms:modified xsi:type="dcterms:W3CDTF">2022-08-05T08:51:00Z</dcterms:modified>
</cp:coreProperties>
</file>